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eastAsia="宋体"/>
          <w:color w:val="auto"/>
        </w:rPr>
      </w:pPr>
    </w:p>
    <w:tbl>
      <w:tblPr>
        <w:tblStyle w:val="47"/>
        <w:tblW w:w="0" w:type="auto"/>
        <w:jc w:val="center"/>
        <w:tblLayout w:type="fixed"/>
        <w:tblCellMar>
          <w:top w:w="0" w:type="dxa"/>
          <w:left w:w="108" w:type="dxa"/>
          <w:bottom w:w="0" w:type="dxa"/>
          <w:right w:w="108" w:type="dxa"/>
        </w:tblCellMar>
      </w:tblPr>
      <w:tblGrid>
        <w:gridCol w:w="8200"/>
      </w:tblGrid>
      <w:tr>
        <w:tblPrEx>
          <w:tblCellMar>
            <w:top w:w="0" w:type="dxa"/>
            <w:left w:w="108" w:type="dxa"/>
            <w:bottom w:w="0" w:type="dxa"/>
            <w:right w:w="108" w:type="dxa"/>
          </w:tblCellMar>
        </w:tblPrEx>
        <w:trPr>
          <w:trHeight w:val="90" w:hRule="atLeast"/>
          <w:jc w:val="center"/>
        </w:trPr>
        <w:tc>
          <w:tcPr>
            <w:tcW w:w="8200" w:type="dxa"/>
          </w:tcPr>
          <w:p>
            <w:pPr>
              <w:pStyle w:val="69"/>
              <w:rPr>
                <w:rFonts w:hint="default"/>
                <w:color w:val="auto"/>
              </w:rPr>
            </w:pPr>
          </w:p>
          <w:p>
            <w:pPr>
              <w:rPr>
                <w:rFonts w:ascii="Times New Roman"/>
                <w:color w:val="auto"/>
              </w:rPr>
            </w:pPr>
          </w:p>
          <w:p>
            <w:pPr>
              <w:pStyle w:val="69"/>
              <w:rPr>
                <w:rFonts w:hint="default"/>
                <w:color w:val="auto"/>
              </w:rPr>
            </w:pPr>
          </w:p>
        </w:tc>
      </w:tr>
      <w:tr>
        <w:tblPrEx>
          <w:tblCellMar>
            <w:top w:w="0" w:type="dxa"/>
            <w:left w:w="108" w:type="dxa"/>
            <w:bottom w:w="0" w:type="dxa"/>
            <w:right w:w="108" w:type="dxa"/>
          </w:tblCellMar>
        </w:tblPrEx>
        <w:trPr>
          <w:trHeight w:val="2197" w:hRule="atLeast"/>
          <w:jc w:val="center"/>
        </w:trPr>
        <w:tc>
          <w:tcPr>
            <w:tcW w:w="8200" w:type="dxa"/>
            <w:vAlign w:val="center"/>
          </w:tcPr>
          <w:p>
            <w:pPr>
              <w:pStyle w:val="340"/>
              <w:spacing w:line="600" w:lineRule="auto"/>
              <w:jc w:val="center"/>
              <w:rPr>
                <w:rFonts w:ascii="Times New Roman" w:hAnsi="Times New Roman"/>
                <w:b/>
                <w:bCs/>
                <w:color w:val="auto"/>
                <w:sz w:val="52"/>
                <w:szCs w:val="52"/>
              </w:rPr>
            </w:pPr>
            <w:r>
              <w:rPr>
                <w:rFonts w:hint="eastAsia" w:ascii="Times New Roman" w:hAnsi="Times New Roman"/>
                <w:b/>
                <w:bCs/>
                <w:color w:val="auto"/>
                <w:sz w:val="52"/>
                <w:szCs w:val="52"/>
              </w:rPr>
              <w:t>岳阳湘佳牧业有限公司</w:t>
            </w:r>
          </w:p>
          <w:p>
            <w:pPr>
              <w:pStyle w:val="340"/>
              <w:spacing w:line="600" w:lineRule="auto"/>
              <w:jc w:val="center"/>
              <w:rPr>
                <w:rFonts w:ascii="Times New Roman" w:hAnsi="Times New Roman"/>
                <w:b/>
                <w:bCs/>
                <w:color w:val="auto"/>
                <w:sz w:val="52"/>
                <w:szCs w:val="52"/>
              </w:rPr>
            </w:pPr>
            <w:r>
              <w:rPr>
                <w:rFonts w:hint="eastAsia" w:ascii="Times New Roman" w:hAnsi="Times New Roman"/>
                <w:b/>
                <w:bCs/>
                <w:color w:val="auto"/>
                <w:sz w:val="52"/>
                <w:szCs w:val="52"/>
              </w:rPr>
              <w:t>桃源肉鸡养殖场（年出栏100万羽）建设</w:t>
            </w:r>
            <w:r>
              <w:rPr>
                <w:rFonts w:ascii="Times New Roman" w:hAnsi="Times New Roman"/>
                <w:b/>
                <w:bCs/>
                <w:color w:val="auto"/>
                <w:sz w:val="52"/>
                <w:szCs w:val="52"/>
              </w:rPr>
              <w:t>项目</w:t>
            </w:r>
          </w:p>
        </w:tc>
      </w:tr>
      <w:tr>
        <w:tblPrEx>
          <w:tblCellMar>
            <w:top w:w="0" w:type="dxa"/>
            <w:left w:w="108" w:type="dxa"/>
            <w:bottom w:w="0" w:type="dxa"/>
            <w:right w:w="108" w:type="dxa"/>
          </w:tblCellMar>
        </w:tblPrEx>
        <w:trPr>
          <w:trHeight w:val="786" w:hRule="atLeast"/>
          <w:jc w:val="center"/>
        </w:trPr>
        <w:tc>
          <w:tcPr>
            <w:tcW w:w="8200" w:type="dxa"/>
            <w:vAlign w:val="center"/>
          </w:tcPr>
          <w:p>
            <w:pPr>
              <w:pStyle w:val="340"/>
              <w:jc w:val="center"/>
              <w:rPr>
                <w:rFonts w:ascii="Times New Roman" w:hAnsi="Times New Roman"/>
                <w:b/>
                <w:bCs/>
                <w:color w:val="auto"/>
                <w:sz w:val="52"/>
                <w:szCs w:val="52"/>
              </w:rPr>
            </w:pPr>
            <w:r>
              <w:rPr>
                <w:rFonts w:ascii="Times New Roman" w:hAnsi="Times New Roman"/>
                <w:b/>
                <w:bCs/>
                <w:color w:val="auto"/>
                <w:sz w:val="52"/>
                <w:szCs w:val="52"/>
              </w:rPr>
              <w:t>环境影响报告书</w:t>
            </w:r>
          </w:p>
        </w:tc>
      </w:tr>
    </w:tbl>
    <w:p>
      <w:pPr>
        <w:jc w:val="center"/>
        <w:rPr>
          <w:rFonts w:ascii="Times New Roman" w:eastAsia="宋体"/>
          <w:color w:val="auto"/>
          <w:kern w:val="2"/>
          <w:sz w:val="28"/>
          <w:szCs w:val="28"/>
        </w:rPr>
      </w:pPr>
      <w:r>
        <w:rPr>
          <w:rFonts w:hint="eastAsia" w:ascii="Times New Roman" w:eastAsia="宋体"/>
          <w:color w:val="auto"/>
          <w:kern w:val="2"/>
          <w:sz w:val="28"/>
          <w:szCs w:val="28"/>
        </w:rPr>
        <w:t>（</w:t>
      </w:r>
      <w:r>
        <w:rPr>
          <w:rFonts w:hint="eastAsia" w:ascii="Times New Roman" w:eastAsia="宋体"/>
          <w:color w:val="auto"/>
          <w:kern w:val="2"/>
          <w:sz w:val="28"/>
          <w:szCs w:val="28"/>
          <w:lang w:val="en-US" w:eastAsia="zh-CN"/>
        </w:rPr>
        <w:t>报批</w:t>
      </w:r>
      <w:r>
        <w:rPr>
          <w:rFonts w:hint="eastAsia" w:ascii="Times New Roman" w:eastAsia="宋体"/>
          <w:color w:val="auto"/>
          <w:kern w:val="2"/>
          <w:sz w:val="28"/>
          <w:szCs w:val="28"/>
        </w:rPr>
        <w:t>稿）</w:t>
      </w:r>
    </w:p>
    <w:p>
      <w:pPr>
        <w:pStyle w:val="231"/>
        <w:ind w:left="480" w:firstLine="560"/>
        <w:rPr>
          <w:color w:val="auto"/>
          <w:kern w:val="2"/>
          <w:sz w:val="28"/>
          <w:szCs w:val="28"/>
        </w:rPr>
      </w:pPr>
    </w:p>
    <w:p>
      <w:pPr>
        <w:pStyle w:val="231"/>
        <w:ind w:left="480" w:firstLine="560"/>
        <w:rPr>
          <w:color w:val="auto"/>
          <w:kern w:val="2"/>
          <w:sz w:val="28"/>
          <w:szCs w:val="28"/>
        </w:rPr>
      </w:pPr>
    </w:p>
    <w:p>
      <w:pPr>
        <w:pStyle w:val="231"/>
        <w:ind w:left="480" w:firstLine="560"/>
        <w:rPr>
          <w:color w:val="auto"/>
          <w:kern w:val="2"/>
          <w:sz w:val="28"/>
          <w:szCs w:val="28"/>
        </w:rPr>
      </w:pPr>
    </w:p>
    <w:p>
      <w:pPr>
        <w:pStyle w:val="231"/>
        <w:ind w:left="480" w:firstLine="560"/>
        <w:rPr>
          <w:color w:val="auto"/>
          <w:kern w:val="2"/>
          <w:sz w:val="28"/>
          <w:szCs w:val="28"/>
        </w:rPr>
      </w:pPr>
    </w:p>
    <w:p>
      <w:pPr>
        <w:kinsoku w:val="0"/>
        <w:overflowPunct w:val="0"/>
        <w:jc w:val="center"/>
        <w:rPr>
          <w:rFonts w:ascii="Times New Roman" w:eastAsiaTheme="minorEastAsia" w:cstheme="minorEastAsia"/>
          <w:b/>
          <w:bCs/>
          <w:color w:val="auto"/>
          <w:sz w:val="32"/>
          <w:szCs w:val="32"/>
        </w:rPr>
      </w:pPr>
      <w:bookmarkStart w:id="0" w:name="_Toc16018"/>
    </w:p>
    <w:p>
      <w:pPr>
        <w:kinsoku w:val="0"/>
        <w:overflowPunct w:val="0"/>
        <w:jc w:val="center"/>
        <w:rPr>
          <w:rFonts w:ascii="Times New Roman" w:eastAsiaTheme="minorEastAsia" w:cstheme="minorEastAsia"/>
          <w:b/>
          <w:bCs/>
          <w:color w:val="auto"/>
          <w:sz w:val="32"/>
          <w:szCs w:val="32"/>
        </w:rPr>
      </w:pPr>
    </w:p>
    <w:p>
      <w:pPr>
        <w:kinsoku w:val="0"/>
        <w:overflowPunct w:val="0"/>
        <w:jc w:val="center"/>
        <w:rPr>
          <w:rFonts w:ascii="Times New Roman" w:eastAsiaTheme="minorEastAsia" w:cstheme="minorEastAsia"/>
          <w:b/>
          <w:bCs/>
          <w:color w:val="auto"/>
          <w:sz w:val="32"/>
          <w:szCs w:val="32"/>
        </w:rPr>
      </w:pPr>
    </w:p>
    <w:p>
      <w:pPr>
        <w:kinsoku w:val="0"/>
        <w:overflowPunct w:val="0"/>
        <w:jc w:val="center"/>
        <w:rPr>
          <w:rFonts w:ascii="Times New Roman" w:eastAsiaTheme="minorEastAsia" w:cstheme="minorEastAsia"/>
          <w:b/>
          <w:bCs/>
          <w:color w:val="auto"/>
          <w:spacing w:val="2"/>
          <w:sz w:val="32"/>
          <w:szCs w:val="32"/>
        </w:rPr>
      </w:pPr>
      <w:bookmarkStart w:id="1" w:name="_Toc24494"/>
      <w:bookmarkStart w:id="2" w:name="_Toc28033"/>
      <w:bookmarkStart w:id="3" w:name="_Toc31317"/>
      <w:r>
        <w:rPr>
          <w:rFonts w:hint="eastAsia" w:ascii="Times New Roman" w:eastAsiaTheme="minorEastAsia" w:cstheme="minorEastAsia"/>
          <w:b/>
          <w:bCs/>
          <w:color w:val="auto"/>
          <w:sz w:val="32"/>
          <w:szCs w:val="32"/>
        </w:rPr>
        <w:t>建设单位：</w:t>
      </w:r>
      <w:bookmarkEnd w:id="0"/>
      <w:bookmarkStart w:id="4" w:name="_Toc6236"/>
      <w:r>
        <w:rPr>
          <w:rFonts w:hint="eastAsia" w:ascii="Times New Roman" w:eastAsiaTheme="minorEastAsia" w:cstheme="minorEastAsia"/>
          <w:b/>
          <w:bCs/>
          <w:color w:val="auto"/>
          <w:spacing w:val="2"/>
          <w:sz w:val="32"/>
          <w:szCs w:val="32"/>
        </w:rPr>
        <w:t>岳阳湘佳牧业有限公司</w:t>
      </w:r>
      <w:bookmarkEnd w:id="1"/>
      <w:bookmarkEnd w:id="2"/>
      <w:bookmarkEnd w:id="3"/>
    </w:p>
    <w:p>
      <w:pPr>
        <w:kinsoku w:val="0"/>
        <w:overflowPunct w:val="0"/>
        <w:jc w:val="center"/>
        <w:rPr>
          <w:rFonts w:ascii="Times New Roman" w:eastAsia="宋体"/>
          <w:b/>
          <w:bCs/>
          <w:color w:val="auto"/>
          <w:sz w:val="32"/>
          <w:szCs w:val="32"/>
        </w:rPr>
      </w:pPr>
      <w:bookmarkStart w:id="5" w:name="_Toc23634"/>
      <w:bookmarkStart w:id="6" w:name="_Toc539"/>
      <w:bookmarkStart w:id="7" w:name="_Toc13618"/>
      <w:r>
        <w:rPr>
          <w:rFonts w:hint="eastAsia" w:ascii="Times New Roman" w:eastAsiaTheme="minorEastAsia" w:cstheme="minorEastAsia"/>
          <w:b/>
          <w:bCs/>
          <w:color w:val="auto"/>
          <w:spacing w:val="2"/>
          <w:sz w:val="32"/>
          <w:szCs w:val="32"/>
        </w:rPr>
        <w:t>评价单位</w:t>
      </w:r>
      <w:r>
        <w:rPr>
          <w:rFonts w:hint="eastAsia" w:ascii="Times New Roman" w:eastAsiaTheme="minorEastAsia" w:cstheme="minorEastAsia"/>
          <w:b/>
          <w:bCs/>
          <w:color w:val="auto"/>
          <w:sz w:val="32"/>
          <w:szCs w:val="32"/>
        </w:rPr>
        <w:t>：</w:t>
      </w:r>
      <w:bookmarkEnd w:id="4"/>
      <w:r>
        <w:rPr>
          <w:rFonts w:hint="eastAsia" w:ascii="Times New Roman" w:eastAsiaTheme="minorEastAsia" w:cstheme="minorEastAsia"/>
          <w:b/>
          <w:bCs/>
          <w:color w:val="auto"/>
          <w:spacing w:val="2"/>
          <w:sz w:val="32"/>
          <w:szCs w:val="32"/>
        </w:rPr>
        <w:t>湖南衡润科技有限公司</w:t>
      </w:r>
      <w:bookmarkEnd w:id="5"/>
      <w:bookmarkEnd w:id="6"/>
      <w:bookmarkEnd w:id="7"/>
    </w:p>
    <w:p>
      <w:pPr>
        <w:kinsoku w:val="0"/>
        <w:overflowPunct w:val="0"/>
        <w:spacing w:before="2" w:line="150" w:lineRule="exact"/>
        <w:jc w:val="center"/>
        <w:rPr>
          <w:rFonts w:ascii="Times New Roman" w:eastAsia="宋体"/>
          <w:b/>
          <w:bCs/>
          <w:color w:val="auto"/>
          <w:sz w:val="15"/>
          <w:szCs w:val="15"/>
        </w:rPr>
      </w:pPr>
    </w:p>
    <w:p>
      <w:pPr>
        <w:kinsoku w:val="0"/>
        <w:overflowPunct w:val="0"/>
        <w:jc w:val="center"/>
        <w:rPr>
          <w:rFonts w:ascii="Times New Roman" w:eastAsia="宋体"/>
          <w:b/>
          <w:bCs/>
          <w:color w:val="auto"/>
          <w:spacing w:val="2"/>
          <w:sz w:val="32"/>
          <w:szCs w:val="32"/>
        </w:rPr>
      </w:pPr>
    </w:p>
    <w:p>
      <w:pPr>
        <w:kinsoku w:val="0"/>
        <w:overflowPunct w:val="0"/>
        <w:jc w:val="center"/>
        <w:rPr>
          <w:rFonts w:ascii="Times New Roman" w:eastAsia="宋体"/>
          <w:color w:val="auto"/>
          <w:kern w:val="2"/>
          <w:sz w:val="28"/>
          <w:szCs w:val="28"/>
        </w:rPr>
        <w:sectPr>
          <w:headerReference r:id="rId3" w:type="first"/>
          <w:pgSz w:w="11906" w:h="16838"/>
          <w:pgMar w:top="1440" w:right="1800" w:bottom="1440" w:left="1800" w:header="851" w:footer="992" w:gutter="0"/>
          <w:cols w:space="720" w:num="1"/>
          <w:docGrid w:type="lines" w:linePitch="312" w:charSpace="0"/>
        </w:sectPr>
      </w:pPr>
      <w:bookmarkStart w:id="8" w:name="_Toc8527"/>
      <w:r>
        <w:rPr>
          <w:rFonts w:ascii="Times New Roman" w:eastAsia="宋体"/>
          <w:b/>
          <w:bCs/>
          <w:color w:val="auto"/>
          <w:spacing w:val="2"/>
          <w:sz w:val="32"/>
          <w:szCs w:val="32"/>
        </w:rPr>
        <w:t>20</w:t>
      </w:r>
      <w:r>
        <w:rPr>
          <w:rFonts w:hint="eastAsia" w:ascii="Times New Roman" w:eastAsia="宋体"/>
          <w:b/>
          <w:bCs/>
          <w:color w:val="auto"/>
          <w:spacing w:val="2"/>
          <w:sz w:val="32"/>
          <w:szCs w:val="32"/>
        </w:rPr>
        <w:t>23</w:t>
      </w:r>
      <w:r>
        <w:rPr>
          <w:rFonts w:ascii="Times New Roman" w:eastAsia="宋体"/>
          <w:b/>
          <w:bCs/>
          <w:color w:val="auto"/>
          <w:spacing w:val="2"/>
          <w:sz w:val="32"/>
          <w:szCs w:val="32"/>
        </w:rPr>
        <w:t>年</w:t>
      </w:r>
      <w:r>
        <w:rPr>
          <w:rFonts w:hint="eastAsia" w:ascii="Times New Roman" w:eastAsia="宋体"/>
          <w:b/>
          <w:bCs/>
          <w:color w:val="auto"/>
          <w:spacing w:val="2"/>
          <w:sz w:val="32"/>
          <w:szCs w:val="32"/>
          <w:lang w:val="en-US" w:eastAsia="zh-CN"/>
        </w:rPr>
        <w:t>11</w:t>
      </w:r>
      <w:r>
        <w:rPr>
          <w:rFonts w:hint="eastAsia" w:ascii="Times New Roman" w:eastAsia="宋体"/>
          <w:b/>
          <w:bCs/>
          <w:color w:val="auto"/>
          <w:spacing w:val="2"/>
          <w:sz w:val="32"/>
          <w:szCs w:val="32"/>
        </w:rPr>
        <w:t>月</w:t>
      </w:r>
      <w:bookmarkEnd w:id="8"/>
    </w:p>
    <w:p>
      <w:pPr>
        <w:pStyle w:val="240"/>
        <w:outlineLvl w:val="0"/>
        <w:rPr>
          <w:rFonts w:ascii="Times New Roman" w:eastAsia="宋体"/>
          <w:color w:val="auto"/>
          <w:sz w:val="24"/>
          <w:szCs w:val="24"/>
        </w:rPr>
      </w:pPr>
      <w:bookmarkStart w:id="9" w:name="_Toc1615"/>
      <w:bookmarkStart w:id="10" w:name="_Toc7526"/>
      <w:bookmarkStart w:id="11" w:name="_Toc3895"/>
      <w:bookmarkStart w:id="12" w:name="_Toc15293"/>
      <w:bookmarkStart w:id="13" w:name="_Toc1682"/>
      <w:r>
        <w:rPr>
          <w:rFonts w:ascii="Times New Roman" w:eastAsia="宋体"/>
          <w:color w:val="auto"/>
          <w:sz w:val="24"/>
          <w:szCs w:val="24"/>
        </w:rPr>
        <w:t>目录</w:t>
      </w:r>
      <w:bookmarkEnd w:id="9"/>
      <w:bookmarkEnd w:id="10"/>
      <w:bookmarkEnd w:id="11"/>
      <w:bookmarkEnd w:id="12"/>
      <w:bookmarkEnd w:id="13"/>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color w:val="auto"/>
          <w:sz w:val="24"/>
          <w:szCs w:val="24"/>
        </w:rPr>
        <w:instrText xml:space="preserve"> TOC \o "1-2" \h \z \u </w:instrText>
      </w:r>
      <w:r>
        <w:rPr>
          <w:rFonts w:ascii="Times New Roman" w:eastAsia="宋体"/>
          <w:color w:val="auto"/>
          <w:sz w:val="24"/>
          <w:szCs w:val="24"/>
        </w:rPr>
        <w:fldChar w:fldCharType="separate"/>
      </w:r>
      <w:r>
        <w:rPr>
          <w:rFonts w:ascii="Times New Roman" w:eastAsia="宋体"/>
          <w:color w:val="auto"/>
          <w:sz w:val="24"/>
          <w:szCs w:val="24"/>
        </w:rPr>
        <w:fldChar w:fldCharType="begin"/>
      </w:r>
      <w:r>
        <w:rPr>
          <w:rFonts w:ascii="Times New Roman" w:eastAsia="宋体"/>
          <w:sz w:val="24"/>
          <w:szCs w:val="24"/>
        </w:rPr>
        <w:instrText xml:space="preserve"> HYPERLINK \l _Toc10756 </w:instrText>
      </w:r>
      <w:r>
        <w:rPr>
          <w:rFonts w:ascii="Times New Roman" w:eastAsia="宋体"/>
          <w:sz w:val="24"/>
          <w:szCs w:val="24"/>
        </w:rPr>
        <w:fldChar w:fldCharType="separate"/>
      </w:r>
      <w:r>
        <w:rPr>
          <w:rFonts w:hint="eastAsia" w:ascii="Times New Roman" w:eastAsia="宋体"/>
          <w:sz w:val="24"/>
          <w:szCs w:val="24"/>
        </w:rPr>
        <w:t>1</w:t>
      </w:r>
      <w:r>
        <w:rPr>
          <w:rFonts w:ascii="Times New Roman" w:eastAsia="宋体"/>
          <w:sz w:val="24"/>
          <w:szCs w:val="24"/>
        </w:rPr>
        <w:t>概述</w:t>
      </w:r>
      <w:r>
        <w:rPr>
          <w:sz w:val="24"/>
          <w:szCs w:val="24"/>
        </w:rPr>
        <w:tab/>
      </w:r>
      <w:r>
        <w:rPr>
          <w:sz w:val="24"/>
          <w:szCs w:val="24"/>
        </w:rPr>
        <w:fldChar w:fldCharType="begin"/>
      </w:r>
      <w:r>
        <w:rPr>
          <w:sz w:val="24"/>
          <w:szCs w:val="24"/>
        </w:rPr>
        <w:instrText xml:space="preserve"> PAGEREF _Toc10756 \h </w:instrText>
      </w:r>
      <w:r>
        <w:rPr>
          <w:sz w:val="24"/>
          <w:szCs w:val="24"/>
        </w:rPr>
        <w:fldChar w:fldCharType="separate"/>
      </w:r>
      <w:r>
        <w:rPr>
          <w:sz w:val="24"/>
          <w:szCs w:val="24"/>
        </w:rPr>
        <w:t>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_Toc2856 </w:instrText>
      </w:r>
      <w:r>
        <w:rPr>
          <w:rFonts w:ascii="Times New Roman" w:eastAsia="宋体"/>
          <w:sz w:val="24"/>
          <w:szCs w:val="24"/>
        </w:rPr>
        <w:fldChar w:fldCharType="separate"/>
      </w:r>
      <w:r>
        <w:rPr>
          <w:rFonts w:ascii="Times New Roman" w:hAnsi="Times New Roman" w:eastAsia="宋体"/>
          <w:kern w:val="2"/>
          <w:sz w:val="24"/>
          <w:szCs w:val="24"/>
        </w:rPr>
        <w:t>1.1项目特点</w:t>
      </w:r>
      <w:r>
        <w:rPr>
          <w:sz w:val="24"/>
          <w:szCs w:val="24"/>
        </w:rPr>
        <w:tab/>
      </w:r>
      <w:r>
        <w:rPr>
          <w:sz w:val="24"/>
          <w:szCs w:val="24"/>
        </w:rPr>
        <w:fldChar w:fldCharType="begin"/>
      </w:r>
      <w:r>
        <w:rPr>
          <w:sz w:val="24"/>
          <w:szCs w:val="24"/>
        </w:rPr>
        <w:instrText xml:space="preserve"> PAGEREF _Toc2856 \h </w:instrText>
      </w:r>
      <w:r>
        <w:rPr>
          <w:sz w:val="24"/>
          <w:szCs w:val="24"/>
        </w:rPr>
        <w:fldChar w:fldCharType="separate"/>
      </w:r>
      <w:r>
        <w:rPr>
          <w:sz w:val="24"/>
          <w:szCs w:val="24"/>
        </w:rPr>
        <w:t>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_Toc18049 </w:instrText>
      </w:r>
      <w:r>
        <w:rPr>
          <w:rFonts w:ascii="Times New Roman" w:eastAsia="宋体"/>
          <w:sz w:val="24"/>
          <w:szCs w:val="24"/>
        </w:rPr>
        <w:fldChar w:fldCharType="separate"/>
      </w:r>
      <w:r>
        <w:rPr>
          <w:rFonts w:hint="eastAsia" w:ascii="Times New Roman" w:hAnsi="Times New Roman" w:eastAsia="宋体"/>
          <w:kern w:val="2"/>
          <w:sz w:val="24"/>
          <w:szCs w:val="24"/>
        </w:rPr>
        <w:t>1.2环境影响评价的工作过程</w:t>
      </w:r>
      <w:r>
        <w:rPr>
          <w:sz w:val="24"/>
          <w:szCs w:val="24"/>
        </w:rPr>
        <w:tab/>
      </w:r>
      <w:r>
        <w:rPr>
          <w:sz w:val="24"/>
          <w:szCs w:val="24"/>
        </w:rPr>
        <w:fldChar w:fldCharType="begin"/>
      </w:r>
      <w:r>
        <w:rPr>
          <w:sz w:val="24"/>
          <w:szCs w:val="24"/>
        </w:rPr>
        <w:instrText xml:space="preserve"> PAGEREF _Toc18049 \h </w:instrText>
      </w:r>
      <w:r>
        <w:rPr>
          <w:sz w:val="24"/>
          <w:szCs w:val="24"/>
        </w:rPr>
        <w:fldChar w:fldCharType="separate"/>
      </w:r>
      <w:r>
        <w:rPr>
          <w:sz w:val="24"/>
          <w:szCs w:val="24"/>
        </w:rPr>
        <w:t>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_Toc4119 </w:instrText>
      </w:r>
      <w:r>
        <w:rPr>
          <w:rFonts w:ascii="Times New Roman" w:eastAsia="宋体"/>
          <w:sz w:val="24"/>
          <w:szCs w:val="24"/>
        </w:rPr>
        <w:fldChar w:fldCharType="separate"/>
      </w:r>
      <w:r>
        <w:rPr>
          <w:rFonts w:hint="eastAsia" w:ascii="Times New Roman" w:hAnsi="Times New Roman" w:eastAsia="宋体"/>
          <w:kern w:val="2"/>
          <w:sz w:val="24"/>
          <w:szCs w:val="24"/>
        </w:rPr>
        <w:t>1.3分析判定相关情况</w:t>
      </w:r>
      <w:r>
        <w:rPr>
          <w:sz w:val="24"/>
          <w:szCs w:val="24"/>
        </w:rPr>
        <w:tab/>
      </w:r>
      <w:r>
        <w:rPr>
          <w:sz w:val="24"/>
          <w:szCs w:val="24"/>
        </w:rPr>
        <w:fldChar w:fldCharType="begin"/>
      </w:r>
      <w:r>
        <w:rPr>
          <w:sz w:val="24"/>
          <w:szCs w:val="24"/>
        </w:rPr>
        <w:instrText xml:space="preserve"> PAGEREF _Toc4119 \h </w:instrText>
      </w:r>
      <w:r>
        <w:rPr>
          <w:sz w:val="24"/>
          <w:szCs w:val="24"/>
        </w:rPr>
        <w:fldChar w:fldCharType="separate"/>
      </w:r>
      <w:r>
        <w:rPr>
          <w:sz w:val="24"/>
          <w:szCs w:val="24"/>
        </w:rPr>
        <w:t>6</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_Toc14501 </w:instrText>
      </w:r>
      <w:r>
        <w:rPr>
          <w:rFonts w:ascii="Times New Roman" w:eastAsia="宋体"/>
          <w:sz w:val="24"/>
          <w:szCs w:val="24"/>
        </w:rPr>
        <w:fldChar w:fldCharType="separate"/>
      </w:r>
      <w:r>
        <w:rPr>
          <w:rFonts w:hint="eastAsia" w:ascii="Times New Roman" w:hAnsi="Times New Roman" w:eastAsia="宋体"/>
          <w:kern w:val="2"/>
          <w:sz w:val="24"/>
          <w:szCs w:val="24"/>
        </w:rPr>
        <w:t>1.4关注的主要环境问题及环境影响</w:t>
      </w:r>
      <w:r>
        <w:rPr>
          <w:sz w:val="24"/>
          <w:szCs w:val="24"/>
        </w:rPr>
        <w:tab/>
      </w:r>
      <w:r>
        <w:rPr>
          <w:sz w:val="24"/>
          <w:szCs w:val="24"/>
        </w:rPr>
        <w:fldChar w:fldCharType="begin"/>
      </w:r>
      <w:r>
        <w:rPr>
          <w:sz w:val="24"/>
          <w:szCs w:val="24"/>
        </w:rPr>
        <w:instrText xml:space="preserve"> PAGEREF _Toc14501 \h </w:instrText>
      </w:r>
      <w:r>
        <w:rPr>
          <w:sz w:val="24"/>
          <w:szCs w:val="24"/>
        </w:rPr>
        <w:fldChar w:fldCharType="separate"/>
      </w:r>
      <w:r>
        <w:rPr>
          <w:sz w:val="24"/>
          <w:szCs w:val="24"/>
        </w:rPr>
        <w:t>27</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_Toc1660 </w:instrText>
      </w:r>
      <w:r>
        <w:rPr>
          <w:rFonts w:ascii="Times New Roman" w:eastAsia="宋体"/>
          <w:sz w:val="24"/>
          <w:szCs w:val="24"/>
        </w:rPr>
        <w:fldChar w:fldCharType="separate"/>
      </w:r>
      <w:r>
        <w:rPr>
          <w:rFonts w:ascii="Times New Roman" w:hAnsi="Times New Roman" w:eastAsia="宋体"/>
          <w:kern w:val="2"/>
          <w:sz w:val="24"/>
          <w:szCs w:val="24"/>
        </w:rPr>
        <w:t>1.5环境影响报告书的主要结论</w:t>
      </w:r>
      <w:r>
        <w:rPr>
          <w:sz w:val="24"/>
          <w:szCs w:val="24"/>
        </w:rPr>
        <w:tab/>
      </w:r>
      <w:r>
        <w:rPr>
          <w:sz w:val="24"/>
          <w:szCs w:val="24"/>
        </w:rPr>
        <w:fldChar w:fldCharType="begin"/>
      </w:r>
      <w:r>
        <w:rPr>
          <w:sz w:val="24"/>
          <w:szCs w:val="24"/>
        </w:rPr>
        <w:instrText xml:space="preserve"> PAGEREF _Toc1660 \h </w:instrText>
      </w:r>
      <w:r>
        <w:rPr>
          <w:sz w:val="24"/>
          <w:szCs w:val="24"/>
        </w:rPr>
        <w:fldChar w:fldCharType="separate"/>
      </w:r>
      <w:r>
        <w:rPr>
          <w:sz w:val="24"/>
          <w:szCs w:val="24"/>
        </w:rPr>
        <w:t>27</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_Toc33 </w:instrText>
      </w:r>
      <w:r>
        <w:rPr>
          <w:rFonts w:ascii="Times New Roman" w:eastAsia="宋体"/>
          <w:sz w:val="24"/>
          <w:szCs w:val="24"/>
        </w:rPr>
        <w:fldChar w:fldCharType="separate"/>
      </w:r>
      <w:r>
        <w:rPr>
          <w:rFonts w:hint="eastAsia" w:ascii="Times New Roman" w:eastAsia="宋体"/>
          <w:sz w:val="24"/>
          <w:szCs w:val="24"/>
        </w:rPr>
        <w:t>2</w:t>
      </w:r>
      <w:r>
        <w:rPr>
          <w:rFonts w:ascii="Times New Roman" w:eastAsia="宋体"/>
          <w:sz w:val="24"/>
          <w:szCs w:val="24"/>
        </w:rPr>
        <w:t>总则</w:t>
      </w:r>
      <w:r>
        <w:rPr>
          <w:sz w:val="24"/>
          <w:szCs w:val="24"/>
        </w:rPr>
        <w:tab/>
      </w:r>
      <w:r>
        <w:rPr>
          <w:sz w:val="24"/>
          <w:szCs w:val="24"/>
        </w:rPr>
        <w:fldChar w:fldCharType="begin"/>
      </w:r>
      <w:r>
        <w:rPr>
          <w:sz w:val="24"/>
          <w:szCs w:val="24"/>
        </w:rPr>
        <w:instrText xml:space="preserve"> PAGEREF _Toc33 \h </w:instrText>
      </w:r>
      <w:r>
        <w:rPr>
          <w:sz w:val="24"/>
          <w:szCs w:val="24"/>
        </w:rPr>
        <w:fldChar w:fldCharType="separate"/>
      </w:r>
      <w:r>
        <w:rPr>
          <w:sz w:val="24"/>
          <w:szCs w:val="24"/>
        </w:rPr>
        <w:t>28</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_Toc31914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.1评价目的及原则</w:t>
      </w:r>
      <w:r>
        <w:rPr>
          <w:sz w:val="24"/>
          <w:szCs w:val="24"/>
        </w:rPr>
        <w:tab/>
      </w:r>
      <w:r>
        <w:rPr>
          <w:sz w:val="24"/>
          <w:szCs w:val="24"/>
        </w:rPr>
        <w:fldChar w:fldCharType="begin"/>
      </w:r>
      <w:r>
        <w:rPr>
          <w:sz w:val="24"/>
          <w:szCs w:val="24"/>
        </w:rPr>
        <w:instrText xml:space="preserve"> PAGEREF _Toc31914 \h </w:instrText>
      </w:r>
      <w:r>
        <w:rPr>
          <w:sz w:val="24"/>
          <w:szCs w:val="24"/>
        </w:rPr>
        <w:fldChar w:fldCharType="separate"/>
      </w:r>
      <w:r>
        <w:rPr>
          <w:sz w:val="24"/>
          <w:szCs w:val="24"/>
        </w:rPr>
        <w:t>28</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_Toc20951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.2编制依据</w:t>
      </w:r>
      <w:r>
        <w:rPr>
          <w:sz w:val="24"/>
          <w:szCs w:val="24"/>
        </w:rPr>
        <w:tab/>
      </w:r>
      <w:r>
        <w:rPr>
          <w:sz w:val="24"/>
          <w:szCs w:val="24"/>
        </w:rPr>
        <w:fldChar w:fldCharType="begin"/>
      </w:r>
      <w:r>
        <w:rPr>
          <w:sz w:val="24"/>
          <w:szCs w:val="24"/>
        </w:rPr>
        <w:instrText xml:space="preserve"> PAGEREF _Toc20951 \h </w:instrText>
      </w:r>
      <w:r>
        <w:rPr>
          <w:sz w:val="24"/>
          <w:szCs w:val="24"/>
        </w:rPr>
        <w:fldChar w:fldCharType="separate"/>
      </w:r>
      <w:r>
        <w:rPr>
          <w:sz w:val="24"/>
          <w:szCs w:val="24"/>
        </w:rPr>
        <w:t>28</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_Toc7272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.3环境影响</w:t>
      </w:r>
      <w:r>
        <w:rPr>
          <w:rFonts w:hint="eastAsia" w:ascii="Times New Roman" w:hAnsi="Times New Roman" w:eastAsia="宋体"/>
          <w:kern w:val="2"/>
          <w:sz w:val="24"/>
          <w:szCs w:val="24"/>
        </w:rPr>
        <w:t>要素</w:t>
      </w:r>
      <w:r>
        <w:rPr>
          <w:rFonts w:ascii="Times New Roman" w:hAnsi="Times New Roman" w:eastAsia="宋体"/>
          <w:kern w:val="2"/>
          <w:sz w:val="24"/>
          <w:szCs w:val="24"/>
        </w:rPr>
        <w:t>识别与评价因子筛选</w:t>
      </w:r>
      <w:r>
        <w:rPr>
          <w:sz w:val="24"/>
          <w:szCs w:val="24"/>
        </w:rPr>
        <w:tab/>
      </w:r>
      <w:r>
        <w:rPr>
          <w:sz w:val="24"/>
          <w:szCs w:val="24"/>
        </w:rPr>
        <w:fldChar w:fldCharType="begin"/>
      </w:r>
      <w:r>
        <w:rPr>
          <w:sz w:val="24"/>
          <w:szCs w:val="24"/>
        </w:rPr>
        <w:instrText xml:space="preserve"> PAGEREF _Toc7272 \h </w:instrText>
      </w:r>
      <w:r>
        <w:rPr>
          <w:sz w:val="24"/>
          <w:szCs w:val="24"/>
        </w:rPr>
        <w:fldChar w:fldCharType="separate"/>
      </w:r>
      <w:r>
        <w:rPr>
          <w:sz w:val="24"/>
          <w:szCs w:val="24"/>
        </w:rPr>
        <w:t>32</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_Toc7962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.4评价时段</w:t>
      </w:r>
      <w:r>
        <w:rPr>
          <w:sz w:val="24"/>
          <w:szCs w:val="24"/>
        </w:rPr>
        <w:tab/>
      </w:r>
      <w:r>
        <w:rPr>
          <w:sz w:val="24"/>
          <w:szCs w:val="24"/>
        </w:rPr>
        <w:fldChar w:fldCharType="begin"/>
      </w:r>
      <w:r>
        <w:rPr>
          <w:sz w:val="24"/>
          <w:szCs w:val="24"/>
        </w:rPr>
        <w:instrText xml:space="preserve"> PAGEREF _Toc7962 \h </w:instrText>
      </w:r>
      <w:r>
        <w:rPr>
          <w:sz w:val="24"/>
          <w:szCs w:val="24"/>
        </w:rPr>
        <w:fldChar w:fldCharType="separate"/>
      </w:r>
      <w:r>
        <w:rPr>
          <w:sz w:val="24"/>
          <w:szCs w:val="24"/>
        </w:rPr>
        <w:t>34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_Toc28096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w:t>
      </w:r>
      <w:r>
        <w:rPr>
          <w:rFonts w:hint="eastAsia" w:ascii="Times New Roman" w:hAnsi="Times New Roman" w:eastAsia="宋体"/>
          <w:kern w:val="2"/>
          <w:sz w:val="24"/>
          <w:szCs w:val="24"/>
        </w:rPr>
        <w:t>5</w:t>
      </w:r>
      <w:r>
        <w:rPr>
          <w:rFonts w:ascii="Times New Roman" w:hAnsi="Times New Roman" w:eastAsia="宋体"/>
          <w:kern w:val="2"/>
          <w:sz w:val="24"/>
          <w:szCs w:val="24"/>
        </w:rPr>
        <w:t>评价内容和重点</w:t>
      </w:r>
      <w:r>
        <w:rPr>
          <w:sz w:val="24"/>
          <w:szCs w:val="24"/>
        </w:rPr>
        <w:tab/>
      </w:r>
      <w:r>
        <w:rPr>
          <w:sz w:val="24"/>
          <w:szCs w:val="24"/>
        </w:rPr>
        <w:fldChar w:fldCharType="begin"/>
      </w:r>
      <w:r>
        <w:rPr>
          <w:sz w:val="24"/>
          <w:szCs w:val="24"/>
        </w:rPr>
        <w:instrText xml:space="preserve"> PAGEREF _Toc28096 \h </w:instrText>
      </w:r>
      <w:r>
        <w:rPr>
          <w:sz w:val="24"/>
          <w:szCs w:val="24"/>
        </w:rPr>
        <w:fldChar w:fldCharType="separate"/>
      </w:r>
      <w:r>
        <w:rPr>
          <w:sz w:val="24"/>
          <w:szCs w:val="24"/>
        </w:rPr>
        <w:t>34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_Toc17355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w:t>
      </w:r>
      <w:r>
        <w:rPr>
          <w:rFonts w:hint="eastAsia" w:ascii="Times New Roman" w:hAnsi="Times New Roman" w:eastAsia="宋体"/>
          <w:kern w:val="2"/>
          <w:sz w:val="24"/>
          <w:szCs w:val="24"/>
        </w:rPr>
        <w:t>6</w:t>
      </w:r>
      <w:r>
        <w:rPr>
          <w:rFonts w:ascii="Times New Roman" w:hAnsi="Times New Roman" w:eastAsia="宋体"/>
          <w:kern w:val="2"/>
          <w:sz w:val="24"/>
          <w:szCs w:val="24"/>
        </w:rPr>
        <w:t>环境影响评价标准</w:t>
      </w:r>
      <w:r>
        <w:rPr>
          <w:sz w:val="24"/>
          <w:szCs w:val="24"/>
        </w:rPr>
        <w:tab/>
      </w:r>
      <w:r>
        <w:rPr>
          <w:sz w:val="24"/>
          <w:szCs w:val="24"/>
        </w:rPr>
        <w:fldChar w:fldCharType="begin"/>
      </w:r>
      <w:r>
        <w:rPr>
          <w:sz w:val="24"/>
          <w:szCs w:val="24"/>
        </w:rPr>
        <w:instrText xml:space="preserve"> PAGEREF _Toc17355 \h </w:instrText>
      </w:r>
      <w:r>
        <w:rPr>
          <w:sz w:val="24"/>
          <w:szCs w:val="24"/>
        </w:rPr>
        <w:fldChar w:fldCharType="separate"/>
      </w:r>
      <w:r>
        <w:rPr>
          <w:sz w:val="24"/>
          <w:szCs w:val="24"/>
        </w:rPr>
        <w:t>35</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_Toc26915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w:t>
      </w:r>
      <w:r>
        <w:rPr>
          <w:rFonts w:hint="eastAsia" w:ascii="Times New Roman" w:hAnsi="Times New Roman" w:eastAsia="宋体"/>
          <w:kern w:val="2"/>
          <w:sz w:val="24"/>
          <w:szCs w:val="24"/>
        </w:rPr>
        <w:t>7</w:t>
      </w:r>
      <w:r>
        <w:rPr>
          <w:rFonts w:ascii="Times New Roman" w:hAnsi="Times New Roman" w:eastAsia="宋体"/>
          <w:kern w:val="2"/>
          <w:sz w:val="24"/>
          <w:szCs w:val="24"/>
        </w:rPr>
        <w:t>评价</w:t>
      </w:r>
      <w:r>
        <w:rPr>
          <w:rFonts w:hint="eastAsia" w:ascii="Times New Roman" w:hAnsi="Times New Roman" w:eastAsia="宋体"/>
          <w:kern w:val="2"/>
          <w:sz w:val="24"/>
          <w:szCs w:val="24"/>
        </w:rPr>
        <w:t>工作</w:t>
      </w:r>
      <w:r>
        <w:rPr>
          <w:rFonts w:ascii="Times New Roman" w:hAnsi="Times New Roman" w:eastAsia="宋体"/>
          <w:kern w:val="2"/>
          <w:sz w:val="24"/>
          <w:szCs w:val="24"/>
        </w:rPr>
        <w:t>等级</w:t>
      </w:r>
      <w:r>
        <w:rPr>
          <w:sz w:val="24"/>
          <w:szCs w:val="24"/>
        </w:rPr>
        <w:tab/>
      </w:r>
      <w:r>
        <w:rPr>
          <w:sz w:val="24"/>
          <w:szCs w:val="24"/>
        </w:rPr>
        <w:fldChar w:fldCharType="begin"/>
      </w:r>
      <w:r>
        <w:rPr>
          <w:sz w:val="24"/>
          <w:szCs w:val="24"/>
        </w:rPr>
        <w:instrText xml:space="preserve"> PAGEREF _Toc26915 \h </w:instrText>
      </w:r>
      <w:r>
        <w:rPr>
          <w:sz w:val="24"/>
          <w:szCs w:val="24"/>
        </w:rPr>
        <w:fldChar w:fldCharType="separate"/>
      </w:r>
      <w:r>
        <w:rPr>
          <w:sz w:val="24"/>
          <w:szCs w:val="24"/>
        </w:rPr>
        <w:t>41</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_Toc31325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w:t>
      </w:r>
      <w:r>
        <w:rPr>
          <w:rFonts w:hint="eastAsia" w:ascii="Times New Roman" w:hAnsi="Times New Roman" w:eastAsia="宋体"/>
          <w:kern w:val="2"/>
          <w:sz w:val="24"/>
          <w:szCs w:val="24"/>
        </w:rPr>
        <w:t>8</w:t>
      </w:r>
      <w:r>
        <w:rPr>
          <w:rFonts w:ascii="Times New Roman" w:hAnsi="Times New Roman" w:eastAsia="宋体"/>
          <w:kern w:val="2"/>
          <w:sz w:val="24"/>
          <w:szCs w:val="24"/>
        </w:rPr>
        <w:t>评价范围</w:t>
      </w:r>
      <w:r>
        <w:rPr>
          <w:sz w:val="24"/>
          <w:szCs w:val="24"/>
        </w:rPr>
        <w:tab/>
      </w:r>
      <w:r>
        <w:rPr>
          <w:sz w:val="24"/>
          <w:szCs w:val="24"/>
        </w:rPr>
        <w:fldChar w:fldCharType="begin"/>
      </w:r>
      <w:r>
        <w:rPr>
          <w:sz w:val="24"/>
          <w:szCs w:val="24"/>
        </w:rPr>
        <w:instrText xml:space="preserve"> PAGEREF _Toc31325 \h </w:instrText>
      </w:r>
      <w:r>
        <w:rPr>
          <w:sz w:val="24"/>
          <w:szCs w:val="24"/>
        </w:rPr>
        <w:fldChar w:fldCharType="separate"/>
      </w:r>
      <w:r>
        <w:rPr>
          <w:sz w:val="24"/>
          <w:szCs w:val="24"/>
        </w:rPr>
        <w:t>48</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_Toc7132 </w:instrText>
      </w:r>
      <w:r>
        <w:rPr>
          <w:rFonts w:ascii="Times New Roman" w:eastAsia="宋体"/>
          <w:sz w:val="24"/>
          <w:szCs w:val="24"/>
        </w:rPr>
        <w:fldChar w:fldCharType="separate"/>
      </w:r>
      <w:r>
        <w:rPr>
          <w:rFonts w:hint="eastAsia" w:ascii="Times New Roman" w:hAnsi="Times New Roman" w:eastAsia="宋体"/>
          <w:kern w:val="2"/>
          <w:sz w:val="24"/>
          <w:szCs w:val="24"/>
        </w:rPr>
        <w:t>2</w:t>
      </w:r>
      <w:r>
        <w:rPr>
          <w:rFonts w:ascii="Times New Roman" w:hAnsi="Times New Roman" w:eastAsia="宋体"/>
          <w:kern w:val="2"/>
          <w:sz w:val="24"/>
          <w:szCs w:val="24"/>
        </w:rPr>
        <w:t>.</w:t>
      </w:r>
      <w:r>
        <w:rPr>
          <w:rFonts w:hint="eastAsia" w:ascii="Times New Roman" w:hAnsi="Times New Roman" w:eastAsia="宋体"/>
          <w:kern w:val="2"/>
          <w:sz w:val="24"/>
          <w:szCs w:val="24"/>
        </w:rPr>
        <w:t>9</w:t>
      </w:r>
      <w:r>
        <w:rPr>
          <w:rFonts w:ascii="Times New Roman" w:hAnsi="Times New Roman" w:eastAsia="宋体"/>
          <w:kern w:val="2"/>
          <w:sz w:val="24"/>
          <w:szCs w:val="24"/>
        </w:rPr>
        <w:t>污染控制和环境保护目标</w:t>
      </w:r>
      <w:r>
        <w:rPr>
          <w:sz w:val="24"/>
          <w:szCs w:val="24"/>
        </w:rPr>
        <w:tab/>
      </w:r>
      <w:r>
        <w:rPr>
          <w:sz w:val="24"/>
          <w:szCs w:val="24"/>
        </w:rPr>
        <w:fldChar w:fldCharType="begin"/>
      </w:r>
      <w:r>
        <w:rPr>
          <w:sz w:val="24"/>
          <w:szCs w:val="24"/>
        </w:rPr>
        <w:instrText xml:space="preserve"> PAGEREF _Toc7132 \h </w:instrText>
      </w:r>
      <w:r>
        <w:rPr>
          <w:sz w:val="24"/>
          <w:szCs w:val="24"/>
        </w:rPr>
        <w:fldChar w:fldCharType="separate"/>
      </w:r>
      <w:r>
        <w:rPr>
          <w:sz w:val="24"/>
          <w:szCs w:val="24"/>
        </w:rPr>
        <w:t>50</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_Toc27915 </w:instrText>
      </w:r>
      <w:r>
        <w:rPr>
          <w:rFonts w:ascii="Times New Roman" w:eastAsia="宋体"/>
          <w:sz w:val="24"/>
          <w:szCs w:val="24"/>
        </w:rPr>
        <w:fldChar w:fldCharType="separate"/>
      </w:r>
      <w:r>
        <w:rPr>
          <w:rFonts w:hint="eastAsia" w:ascii="Times New Roman" w:eastAsia="宋体"/>
          <w:sz w:val="24"/>
          <w:szCs w:val="24"/>
        </w:rPr>
        <w:t>3</w:t>
      </w:r>
      <w:r>
        <w:rPr>
          <w:rFonts w:ascii="Times New Roman" w:eastAsia="宋体"/>
          <w:sz w:val="24"/>
          <w:szCs w:val="24"/>
        </w:rPr>
        <w:t>项目</w:t>
      </w:r>
      <w:r>
        <w:rPr>
          <w:rFonts w:hint="eastAsia" w:ascii="Times New Roman" w:eastAsia="宋体"/>
          <w:sz w:val="24"/>
          <w:szCs w:val="24"/>
        </w:rPr>
        <w:t>概况及</w:t>
      </w:r>
      <w:r>
        <w:rPr>
          <w:rFonts w:ascii="Times New Roman" w:eastAsia="宋体"/>
          <w:sz w:val="24"/>
          <w:szCs w:val="24"/>
        </w:rPr>
        <w:t>工程分析</w:t>
      </w:r>
      <w:r>
        <w:rPr>
          <w:sz w:val="24"/>
          <w:szCs w:val="24"/>
        </w:rPr>
        <w:tab/>
      </w:r>
      <w:r>
        <w:rPr>
          <w:sz w:val="24"/>
          <w:szCs w:val="24"/>
        </w:rPr>
        <w:fldChar w:fldCharType="begin"/>
      </w:r>
      <w:r>
        <w:rPr>
          <w:sz w:val="24"/>
          <w:szCs w:val="24"/>
        </w:rPr>
        <w:instrText xml:space="preserve"> PAGEREF _Toc27915 \h </w:instrText>
      </w:r>
      <w:r>
        <w:rPr>
          <w:sz w:val="24"/>
          <w:szCs w:val="24"/>
        </w:rPr>
        <w:fldChar w:fldCharType="separate"/>
      </w:r>
      <w:r>
        <w:rPr>
          <w:sz w:val="24"/>
          <w:szCs w:val="24"/>
        </w:rPr>
        <w:t>52</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_Toc30950 </w:instrText>
      </w:r>
      <w:r>
        <w:rPr>
          <w:rFonts w:ascii="Times New Roman" w:eastAsia="宋体"/>
          <w:sz w:val="24"/>
          <w:szCs w:val="24"/>
        </w:rPr>
        <w:fldChar w:fldCharType="separate"/>
      </w:r>
      <w:r>
        <w:rPr>
          <w:rFonts w:hint="eastAsia" w:ascii="Times New Roman" w:hAnsi="Times New Roman" w:eastAsia="宋体"/>
          <w:kern w:val="2"/>
          <w:sz w:val="24"/>
          <w:szCs w:val="24"/>
        </w:rPr>
        <w:t>3</w:t>
      </w:r>
      <w:r>
        <w:rPr>
          <w:rFonts w:ascii="Times New Roman" w:hAnsi="Times New Roman" w:eastAsia="宋体"/>
          <w:kern w:val="2"/>
          <w:sz w:val="24"/>
          <w:szCs w:val="24"/>
        </w:rPr>
        <w:t>.1建设项目概况</w:t>
      </w:r>
      <w:r>
        <w:rPr>
          <w:sz w:val="24"/>
          <w:szCs w:val="24"/>
        </w:rPr>
        <w:tab/>
      </w:r>
      <w:r>
        <w:rPr>
          <w:sz w:val="24"/>
          <w:szCs w:val="24"/>
        </w:rPr>
        <w:fldChar w:fldCharType="begin"/>
      </w:r>
      <w:r>
        <w:rPr>
          <w:sz w:val="24"/>
          <w:szCs w:val="24"/>
        </w:rPr>
        <w:instrText xml:space="preserve"> PAGEREF _Toc30950 \h </w:instrText>
      </w:r>
      <w:r>
        <w:rPr>
          <w:sz w:val="24"/>
          <w:szCs w:val="24"/>
        </w:rPr>
        <w:fldChar w:fldCharType="separate"/>
      </w:r>
      <w:r>
        <w:rPr>
          <w:sz w:val="24"/>
          <w:szCs w:val="24"/>
        </w:rPr>
        <w:t>52</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_Toc414 </w:instrText>
      </w:r>
      <w:r>
        <w:rPr>
          <w:rFonts w:ascii="Times New Roman" w:eastAsia="宋体"/>
          <w:sz w:val="24"/>
          <w:szCs w:val="24"/>
        </w:rPr>
        <w:fldChar w:fldCharType="separate"/>
      </w:r>
      <w:r>
        <w:rPr>
          <w:rFonts w:hint="eastAsia" w:ascii="Times New Roman" w:hAnsi="Times New Roman" w:eastAsia="宋体"/>
          <w:kern w:val="2"/>
          <w:sz w:val="24"/>
          <w:szCs w:val="24"/>
        </w:rPr>
        <w:t>3</w:t>
      </w:r>
      <w:r>
        <w:rPr>
          <w:rFonts w:ascii="Times New Roman" w:hAnsi="Times New Roman" w:eastAsia="宋体"/>
          <w:kern w:val="2"/>
          <w:sz w:val="24"/>
          <w:szCs w:val="24"/>
        </w:rPr>
        <w:t>.2依托工程及依托可行性分析</w:t>
      </w:r>
      <w:r>
        <w:rPr>
          <w:sz w:val="24"/>
          <w:szCs w:val="24"/>
        </w:rPr>
        <w:tab/>
      </w:r>
      <w:r>
        <w:rPr>
          <w:sz w:val="24"/>
          <w:szCs w:val="24"/>
        </w:rPr>
        <w:fldChar w:fldCharType="begin"/>
      </w:r>
      <w:r>
        <w:rPr>
          <w:sz w:val="24"/>
          <w:szCs w:val="24"/>
        </w:rPr>
        <w:instrText xml:space="preserve"> PAGEREF _Toc414 \h </w:instrText>
      </w:r>
      <w:r>
        <w:rPr>
          <w:sz w:val="24"/>
          <w:szCs w:val="24"/>
        </w:rPr>
        <w:fldChar w:fldCharType="separate"/>
      </w:r>
      <w:r>
        <w:rPr>
          <w:sz w:val="24"/>
          <w:szCs w:val="24"/>
        </w:rPr>
        <w:t>65</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_Toc27334 </w:instrText>
      </w:r>
      <w:r>
        <w:rPr>
          <w:rFonts w:ascii="Times New Roman" w:eastAsia="宋体"/>
          <w:sz w:val="24"/>
          <w:szCs w:val="24"/>
        </w:rPr>
        <w:fldChar w:fldCharType="separate"/>
      </w:r>
      <w:r>
        <w:rPr>
          <w:rFonts w:hint="eastAsia" w:ascii="Times New Roman" w:hAnsi="Times New Roman" w:eastAsia="宋体"/>
          <w:kern w:val="2"/>
          <w:sz w:val="24"/>
          <w:szCs w:val="24"/>
        </w:rPr>
        <w:t>3</w:t>
      </w:r>
      <w:r>
        <w:rPr>
          <w:rFonts w:ascii="Times New Roman" w:hAnsi="Times New Roman" w:eastAsia="宋体"/>
          <w:kern w:val="2"/>
          <w:sz w:val="24"/>
          <w:szCs w:val="24"/>
        </w:rPr>
        <w:t>.</w:t>
      </w:r>
      <w:r>
        <w:rPr>
          <w:rFonts w:hint="eastAsia" w:ascii="Times New Roman" w:hAnsi="Times New Roman" w:eastAsia="宋体"/>
          <w:kern w:val="2"/>
          <w:sz w:val="24"/>
          <w:szCs w:val="24"/>
        </w:rPr>
        <w:t>3</w:t>
      </w:r>
      <w:r>
        <w:rPr>
          <w:rFonts w:ascii="Times New Roman" w:hAnsi="Times New Roman" w:eastAsia="宋体"/>
          <w:kern w:val="2"/>
          <w:sz w:val="24"/>
          <w:szCs w:val="24"/>
        </w:rPr>
        <w:t>工程分析</w:t>
      </w:r>
      <w:r>
        <w:rPr>
          <w:sz w:val="24"/>
          <w:szCs w:val="24"/>
        </w:rPr>
        <w:tab/>
      </w:r>
      <w:r>
        <w:rPr>
          <w:sz w:val="24"/>
          <w:szCs w:val="24"/>
        </w:rPr>
        <w:fldChar w:fldCharType="begin"/>
      </w:r>
      <w:r>
        <w:rPr>
          <w:sz w:val="24"/>
          <w:szCs w:val="24"/>
        </w:rPr>
        <w:instrText xml:space="preserve"> PAGEREF _Toc27334 \h </w:instrText>
      </w:r>
      <w:r>
        <w:rPr>
          <w:sz w:val="24"/>
          <w:szCs w:val="24"/>
        </w:rPr>
        <w:fldChar w:fldCharType="separate"/>
      </w:r>
      <w:r>
        <w:rPr>
          <w:sz w:val="24"/>
          <w:szCs w:val="24"/>
        </w:rPr>
        <w:t>65</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_Toc3313 </w:instrText>
      </w:r>
      <w:r>
        <w:rPr>
          <w:rFonts w:ascii="Times New Roman" w:eastAsia="宋体"/>
          <w:sz w:val="24"/>
          <w:szCs w:val="24"/>
        </w:rPr>
        <w:fldChar w:fldCharType="separate"/>
      </w:r>
      <w:r>
        <w:rPr>
          <w:rFonts w:ascii="Times New Roman" w:eastAsia="宋体"/>
          <w:sz w:val="24"/>
          <w:szCs w:val="24"/>
        </w:rPr>
        <w:t>4环境现状调查与评价</w:t>
      </w:r>
      <w:r>
        <w:rPr>
          <w:sz w:val="24"/>
          <w:szCs w:val="24"/>
        </w:rPr>
        <w:tab/>
      </w:r>
      <w:r>
        <w:rPr>
          <w:sz w:val="24"/>
          <w:szCs w:val="24"/>
        </w:rPr>
        <w:fldChar w:fldCharType="begin"/>
      </w:r>
      <w:r>
        <w:rPr>
          <w:sz w:val="24"/>
          <w:szCs w:val="24"/>
        </w:rPr>
        <w:instrText xml:space="preserve"> PAGEREF _Toc3313 \h </w:instrText>
      </w:r>
      <w:r>
        <w:rPr>
          <w:sz w:val="24"/>
          <w:szCs w:val="24"/>
        </w:rPr>
        <w:fldChar w:fldCharType="separate"/>
      </w:r>
      <w:r>
        <w:rPr>
          <w:sz w:val="24"/>
          <w:szCs w:val="24"/>
        </w:rPr>
        <w:t>86</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_Toc828 </w:instrText>
      </w:r>
      <w:r>
        <w:rPr>
          <w:rFonts w:ascii="Times New Roman" w:eastAsia="宋体"/>
          <w:sz w:val="24"/>
          <w:szCs w:val="24"/>
        </w:rPr>
        <w:fldChar w:fldCharType="separate"/>
      </w:r>
      <w:r>
        <w:rPr>
          <w:rFonts w:hint="eastAsia" w:ascii="Times New Roman" w:hAnsi="Times New Roman" w:eastAsia="宋体"/>
          <w:kern w:val="2"/>
          <w:sz w:val="24"/>
          <w:szCs w:val="24"/>
        </w:rPr>
        <w:t>4</w:t>
      </w:r>
      <w:r>
        <w:rPr>
          <w:rFonts w:ascii="Times New Roman" w:hAnsi="Times New Roman" w:eastAsia="宋体"/>
          <w:kern w:val="2"/>
          <w:sz w:val="24"/>
          <w:szCs w:val="24"/>
        </w:rPr>
        <w:t>.1项目地区环境概况</w:t>
      </w:r>
      <w:r>
        <w:rPr>
          <w:sz w:val="24"/>
          <w:szCs w:val="24"/>
        </w:rPr>
        <w:tab/>
      </w:r>
      <w:r>
        <w:rPr>
          <w:sz w:val="24"/>
          <w:szCs w:val="24"/>
        </w:rPr>
        <w:fldChar w:fldCharType="begin"/>
      </w:r>
      <w:r>
        <w:rPr>
          <w:sz w:val="24"/>
          <w:szCs w:val="24"/>
        </w:rPr>
        <w:instrText xml:space="preserve"> PAGEREF _Toc828 \h </w:instrText>
      </w:r>
      <w:r>
        <w:rPr>
          <w:sz w:val="24"/>
          <w:szCs w:val="24"/>
        </w:rPr>
        <w:fldChar w:fldCharType="separate"/>
      </w:r>
      <w:r>
        <w:rPr>
          <w:sz w:val="24"/>
          <w:szCs w:val="24"/>
        </w:rPr>
        <w:t>86</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_Toc26856 </w:instrText>
      </w:r>
      <w:r>
        <w:rPr>
          <w:rFonts w:ascii="Times New Roman" w:eastAsia="宋体"/>
          <w:sz w:val="24"/>
          <w:szCs w:val="24"/>
        </w:rPr>
        <w:fldChar w:fldCharType="separate"/>
      </w:r>
      <w:r>
        <w:rPr>
          <w:rFonts w:hint="eastAsia" w:ascii="Times New Roman" w:hAnsi="Times New Roman" w:eastAsia="宋体"/>
          <w:kern w:val="2"/>
          <w:sz w:val="24"/>
          <w:szCs w:val="24"/>
        </w:rPr>
        <w:t>4</w:t>
      </w:r>
      <w:r>
        <w:rPr>
          <w:rFonts w:ascii="Times New Roman" w:hAnsi="Times New Roman" w:eastAsia="宋体"/>
          <w:kern w:val="2"/>
          <w:sz w:val="24"/>
          <w:szCs w:val="24"/>
        </w:rPr>
        <w:t>.2环境空气质量现状</w:t>
      </w:r>
      <w:r>
        <w:rPr>
          <w:sz w:val="24"/>
          <w:szCs w:val="24"/>
        </w:rPr>
        <w:tab/>
      </w:r>
      <w:r>
        <w:rPr>
          <w:sz w:val="24"/>
          <w:szCs w:val="24"/>
        </w:rPr>
        <w:fldChar w:fldCharType="begin"/>
      </w:r>
      <w:r>
        <w:rPr>
          <w:sz w:val="24"/>
          <w:szCs w:val="24"/>
        </w:rPr>
        <w:instrText xml:space="preserve"> PAGEREF _Toc26856 \h </w:instrText>
      </w:r>
      <w:r>
        <w:rPr>
          <w:sz w:val="24"/>
          <w:szCs w:val="24"/>
        </w:rPr>
        <w:fldChar w:fldCharType="separate"/>
      </w:r>
      <w:r>
        <w:rPr>
          <w:sz w:val="24"/>
          <w:szCs w:val="24"/>
        </w:rPr>
        <w:t>90</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_Toc360 </w:instrText>
      </w:r>
      <w:r>
        <w:rPr>
          <w:rFonts w:ascii="Times New Roman" w:eastAsia="宋体"/>
          <w:sz w:val="24"/>
          <w:szCs w:val="24"/>
        </w:rPr>
        <w:fldChar w:fldCharType="separate"/>
      </w:r>
      <w:r>
        <w:rPr>
          <w:rFonts w:ascii="Times New Roman" w:hAnsi="Times New Roman" w:eastAsia="宋体"/>
          <w:kern w:val="2"/>
          <w:sz w:val="24"/>
          <w:szCs w:val="24"/>
        </w:rPr>
        <w:t>4.3地下水环境质量现状调查及评价</w:t>
      </w:r>
      <w:r>
        <w:rPr>
          <w:sz w:val="24"/>
          <w:szCs w:val="24"/>
        </w:rPr>
        <w:tab/>
      </w:r>
      <w:r>
        <w:rPr>
          <w:sz w:val="24"/>
          <w:szCs w:val="24"/>
        </w:rPr>
        <w:fldChar w:fldCharType="begin"/>
      </w:r>
      <w:r>
        <w:rPr>
          <w:sz w:val="24"/>
          <w:szCs w:val="24"/>
        </w:rPr>
        <w:instrText xml:space="preserve"> PAGEREF _Toc360 \h </w:instrText>
      </w:r>
      <w:r>
        <w:rPr>
          <w:sz w:val="24"/>
          <w:szCs w:val="24"/>
        </w:rPr>
        <w:fldChar w:fldCharType="separate"/>
      </w:r>
      <w:r>
        <w:rPr>
          <w:sz w:val="24"/>
          <w:szCs w:val="24"/>
        </w:rPr>
        <w:t>102</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_Toc12750 </w:instrText>
      </w:r>
      <w:r>
        <w:rPr>
          <w:rFonts w:ascii="Times New Roman" w:eastAsia="宋体"/>
          <w:sz w:val="24"/>
          <w:szCs w:val="24"/>
        </w:rPr>
        <w:fldChar w:fldCharType="separate"/>
      </w:r>
      <w:r>
        <w:rPr>
          <w:rFonts w:ascii="Times New Roman" w:hAnsi="Times New Roman" w:eastAsia="宋体"/>
          <w:kern w:val="2"/>
          <w:sz w:val="24"/>
          <w:szCs w:val="24"/>
        </w:rPr>
        <w:t>4.4地表水环境质量现状监测与评价</w:t>
      </w:r>
      <w:r>
        <w:rPr>
          <w:sz w:val="24"/>
          <w:szCs w:val="24"/>
        </w:rPr>
        <w:tab/>
      </w:r>
      <w:r>
        <w:rPr>
          <w:sz w:val="24"/>
          <w:szCs w:val="24"/>
        </w:rPr>
        <w:fldChar w:fldCharType="begin"/>
      </w:r>
      <w:r>
        <w:rPr>
          <w:sz w:val="24"/>
          <w:szCs w:val="24"/>
        </w:rPr>
        <w:instrText xml:space="preserve"> PAGEREF _Toc12750 \h </w:instrText>
      </w:r>
      <w:r>
        <w:rPr>
          <w:sz w:val="24"/>
          <w:szCs w:val="24"/>
        </w:rPr>
        <w:fldChar w:fldCharType="separate"/>
      </w:r>
      <w:r>
        <w:rPr>
          <w:sz w:val="24"/>
          <w:szCs w:val="24"/>
        </w:rPr>
        <w:t>104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_Toc28567 </w:instrText>
      </w:r>
      <w:r>
        <w:rPr>
          <w:rFonts w:ascii="Times New Roman" w:eastAsia="宋体"/>
          <w:sz w:val="24"/>
          <w:szCs w:val="24"/>
        </w:rPr>
        <w:fldChar w:fldCharType="separate"/>
      </w:r>
      <w:r>
        <w:rPr>
          <w:rFonts w:ascii="Times New Roman" w:hAnsi="Times New Roman" w:eastAsia="宋体"/>
          <w:kern w:val="2"/>
          <w:sz w:val="24"/>
          <w:szCs w:val="24"/>
        </w:rPr>
        <w:t>4.</w:t>
      </w:r>
      <w:r>
        <w:rPr>
          <w:rFonts w:hint="eastAsia" w:ascii="Times New Roman" w:hAnsi="Times New Roman" w:eastAsia="宋体"/>
          <w:kern w:val="2"/>
          <w:sz w:val="24"/>
          <w:szCs w:val="24"/>
        </w:rPr>
        <w:t>5</w:t>
      </w:r>
      <w:r>
        <w:rPr>
          <w:rFonts w:ascii="Times New Roman" w:hAnsi="Times New Roman" w:eastAsia="宋体"/>
          <w:kern w:val="2"/>
          <w:sz w:val="24"/>
          <w:szCs w:val="24"/>
        </w:rPr>
        <w:t>声环境质量现状调查及评价</w:t>
      </w:r>
      <w:r>
        <w:rPr>
          <w:sz w:val="24"/>
          <w:szCs w:val="24"/>
        </w:rPr>
        <w:tab/>
      </w:r>
      <w:r>
        <w:rPr>
          <w:sz w:val="24"/>
          <w:szCs w:val="24"/>
        </w:rPr>
        <w:fldChar w:fldCharType="begin"/>
      </w:r>
      <w:r>
        <w:rPr>
          <w:sz w:val="24"/>
          <w:szCs w:val="24"/>
        </w:rPr>
        <w:instrText xml:space="preserve"> PAGEREF _Toc28567 \h </w:instrText>
      </w:r>
      <w:r>
        <w:rPr>
          <w:sz w:val="24"/>
          <w:szCs w:val="24"/>
        </w:rPr>
        <w:fldChar w:fldCharType="separate"/>
      </w:r>
      <w:r>
        <w:rPr>
          <w:sz w:val="24"/>
          <w:szCs w:val="24"/>
        </w:rPr>
        <w:t>106</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_Toc21311 </w:instrText>
      </w:r>
      <w:r>
        <w:rPr>
          <w:rFonts w:ascii="Times New Roman" w:eastAsia="宋体"/>
          <w:sz w:val="24"/>
          <w:szCs w:val="24"/>
        </w:rPr>
        <w:fldChar w:fldCharType="separate"/>
      </w:r>
      <w:r>
        <w:rPr>
          <w:rFonts w:hint="eastAsia" w:ascii="Times New Roman" w:hAnsi="Times New Roman" w:eastAsia="宋体"/>
          <w:kern w:val="2"/>
          <w:sz w:val="24"/>
          <w:szCs w:val="24"/>
        </w:rPr>
        <w:t>4</w:t>
      </w:r>
      <w:r>
        <w:rPr>
          <w:rFonts w:ascii="Times New Roman" w:hAnsi="Times New Roman" w:eastAsia="宋体"/>
          <w:kern w:val="2"/>
          <w:sz w:val="24"/>
          <w:szCs w:val="24"/>
        </w:rPr>
        <w:t>.</w:t>
      </w:r>
      <w:r>
        <w:rPr>
          <w:rFonts w:hint="eastAsia" w:ascii="Times New Roman" w:hAnsi="Times New Roman" w:eastAsia="宋体"/>
          <w:kern w:val="2"/>
          <w:sz w:val="24"/>
          <w:szCs w:val="24"/>
        </w:rPr>
        <w:t>6</w:t>
      </w:r>
      <w:r>
        <w:rPr>
          <w:rFonts w:ascii="Times New Roman" w:hAnsi="Times New Roman" w:eastAsia="宋体"/>
          <w:kern w:val="2"/>
          <w:sz w:val="24"/>
          <w:szCs w:val="24"/>
        </w:rPr>
        <w:t>土壤环境质量现状调查及评价</w:t>
      </w:r>
      <w:r>
        <w:rPr>
          <w:sz w:val="24"/>
          <w:szCs w:val="24"/>
        </w:rPr>
        <w:tab/>
      </w:r>
      <w:r>
        <w:rPr>
          <w:sz w:val="24"/>
          <w:szCs w:val="24"/>
        </w:rPr>
        <w:fldChar w:fldCharType="begin"/>
      </w:r>
      <w:r>
        <w:rPr>
          <w:sz w:val="24"/>
          <w:szCs w:val="24"/>
        </w:rPr>
        <w:instrText xml:space="preserve"> PAGEREF _Toc21311 \h </w:instrText>
      </w:r>
      <w:r>
        <w:rPr>
          <w:sz w:val="24"/>
          <w:szCs w:val="24"/>
        </w:rPr>
        <w:fldChar w:fldCharType="separate"/>
      </w:r>
      <w:r>
        <w:rPr>
          <w:sz w:val="24"/>
          <w:szCs w:val="24"/>
        </w:rPr>
        <w:t>108</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_Toc29550 </w:instrText>
      </w:r>
      <w:r>
        <w:rPr>
          <w:rFonts w:ascii="Times New Roman" w:eastAsia="宋体"/>
          <w:sz w:val="24"/>
          <w:szCs w:val="24"/>
        </w:rPr>
        <w:fldChar w:fldCharType="separate"/>
      </w:r>
      <w:r>
        <w:rPr>
          <w:rFonts w:hint="eastAsia" w:ascii="Times New Roman" w:eastAsia="宋体"/>
          <w:bCs/>
          <w:kern w:val="2"/>
          <w:sz w:val="24"/>
          <w:szCs w:val="24"/>
        </w:rPr>
        <w:t xml:space="preserve">4.7 </w:t>
      </w:r>
      <w:r>
        <w:rPr>
          <w:rFonts w:ascii="Times New Roman" w:eastAsia="宋体"/>
          <w:bCs/>
          <w:kern w:val="2"/>
          <w:sz w:val="24"/>
          <w:szCs w:val="24"/>
        </w:rPr>
        <w:t>生态环境质量现状</w:t>
      </w:r>
      <w:r>
        <w:rPr>
          <w:sz w:val="24"/>
          <w:szCs w:val="24"/>
        </w:rPr>
        <w:tab/>
      </w:r>
      <w:r>
        <w:rPr>
          <w:sz w:val="24"/>
          <w:szCs w:val="24"/>
        </w:rPr>
        <w:fldChar w:fldCharType="begin"/>
      </w:r>
      <w:r>
        <w:rPr>
          <w:sz w:val="24"/>
          <w:szCs w:val="24"/>
        </w:rPr>
        <w:instrText xml:space="preserve"> PAGEREF _Toc29550 \h </w:instrText>
      </w:r>
      <w:r>
        <w:rPr>
          <w:sz w:val="24"/>
          <w:szCs w:val="24"/>
        </w:rPr>
        <w:fldChar w:fldCharType="separate"/>
      </w:r>
      <w:r>
        <w:rPr>
          <w:sz w:val="24"/>
          <w:szCs w:val="24"/>
        </w:rPr>
        <w:t>108</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_Toc2777 </w:instrText>
      </w:r>
      <w:r>
        <w:rPr>
          <w:rFonts w:ascii="Times New Roman" w:eastAsia="宋体"/>
          <w:sz w:val="24"/>
          <w:szCs w:val="24"/>
        </w:rPr>
        <w:fldChar w:fldCharType="separate"/>
      </w:r>
      <w:r>
        <w:rPr>
          <w:rFonts w:hint="eastAsia" w:ascii="Times New Roman" w:hAnsi="Times New Roman" w:eastAsia="宋体"/>
          <w:kern w:val="2"/>
          <w:sz w:val="24"/>
          <w:szCs w:val="24"/>
        </w:rPr>
        <w:t>4</w:t>
      </w:r>
      <w:r>
        <w:rPr>
          <w:rFonts w:ascii="Times New Roman" w:hAnsi="Times New Roman" w:eastAsia="宋体"/>
          <w:kern w:val="2"/>
          <w:sz w:val="24"/>
          <w:szCs w:val="24"/>
        </w:rPr>
        <w:t>.</w:t>
      </w:r>
      <w:r>
        <w:rPr>
          <w:rFonts w:hint="eastAsia" w:ascii="Times New Roman" w:hAnsi="Times New Roman" w:eastAsia="宋体"/>
          <w:kern w:val="2"/>
          <w:sz w:val="24"/>
          <w:szCs w:val="24"/>
        </w:rPr>
        <w:t>8</w:t>
      </w:r>
      <w:r>
        <w:rPr>
          <w:rFonts w:ascii="Times New Roman" w:hAnsi="Times New Roman" w:eastAsia="宋体"/>
          <w:kern w:val="2"/>
          <w:sz w:val="24"/>
          <w:szCs w:val="24"/>
        </w:rPr>
        <w:t>区域污染源调查</w:t>
      </w:r>
      <w:r>
        <w:rPr>
          <w:sz w:val="24"/>
          <w:szCs w:val="24"/>
        </w:rPr>
        <w:tab/>
      </w:r>
      <w:r>
        <w:rPr>
          <w:sz w:val="24"/>
          <w:szCs w:val="24"/>
        </w:rPr>
        <w:fldChar w:fldCharType="begin"/>
      </w:r>
      <w:r>
        <w:rPr>
          <w:sz w:val="24"/>
          <w:szCs w:val="24"/>
        </w:rPr>
        <w:instrText xml:space="preserve"> PAGEREF _Toc2777 \h </w:instrText>
      </w:r>
      <w:r>
        <w:rPr>
          <w:sz w:val="24"/>
          <w:szCs w:val="24"/>
        </w:rPr>
        <w:fldChar w:fldCharType="separate"/>
      </w:r>
      <w:r>
        <w:rPr>
          <w:sz w:val="24"/>
          <w:szCs w:val="24"/>
        </w:rPr>
        <w:t>109</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_Toc4189 </w:instrText>
      </w:r>
      <w:r>
        <w:rPr>
          <w:rFonts w:ascii="Times New Roman" w:eastAsia="宋体"/>
          <w:sz w:val="24"/>
          <w:szCs w:val="24"/>
        </w:rPr>
        <w:fldChar w:fldCharType="separate"/>
      </w:r>
      <w:r>
        <w:rPr>
          <w:rFonts w:hint="eastAsia" w:ascii="Times New Roman" w:eastAsia="宋体"/>
          <w:sz w:val="24"/>
          <w:szCs w:val="24"/>
        </w:rPr>
        <w:t>5</w:t>
      </w:r>
      <w:r>
        <w:rPr>
          <w:rFonts w:ascii="Times New Roman" w:eastAsia="宋体"/>
          <w:sz w:val="24"/>
          <w:szCs w:val="24"/>
        </w:rPr>
        <w:t>环境影响预测与评价</w:t>
      </w:r>
      <w:r>
        <w:rPr>
          <w:sz w:val="24"/>
          <w:szCs w:val="24"/>
        </w:rPr>
        <w:tab/>
      </w:r>
      <w:r>
        <w:rPr>
          <w:sz w:val="24"/>
          <w:szCs w:val="24"/>
        </w:rPr>
        <w:fldChar w:fldCharType="begin"/>
      </w:r>
      <w:r>
        <w:rPr>
          <w:sz w:val="24"/>
          <w:szCs w:val="24"/>
        </w:rPr>
        <w:instrText xml:space="preserve"> PAGEREF _Toc4189 \h </w:instrText>
      </w:r>
      <w:r>
        <w:rPr>
          <w:sz w:val="24"/>
          <w:szCs w:val="24"/>
        </w:rPr>
        <w:fldChar w:fldCharType="separate"/>
      </w:r>
      <w:r>
        <w:rPr>
          <w:sz w:val="24"/>
          <w:szCs w:val="24"/>
        </w:rPr>
        <w:t>110</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_Toc16756 </w:instrText>
      </w:r>
      <w:r>
        <w:rPr>
          <w:rFonts w:ascii="Times New Roman" w:eastAsia="宋体"/>
          <w:sz w:val="24"/>
          <w:szCs w:val="24"/>
        </w:rPr>
        <w:fldChar w:fldCharType="separate"/>
      </w:r>
      <w:r>
        <w:rPr>
          <w:rFonts w:hint="eastAsia" w:ascii="Times New Roman" w:hAnsi="Times New Roman" w:eastAsia="宋体"/>
          <w:kern w:val="2"/>
          <w:sz w:val="24"/>
          <w:szCs w:val="24"/>
        </w:rPr>
        <w:t>5</w:t>
      </w:r>
      <w:r>
        <w:rPr>
          <w:rFonts w:ascii="Times New Roman" w:hAnsi="Times New Roman" w:eastAsia="宋体"/>
          <w:kern w:val="2"/>
          <w:sz w:val="24"/>
          <w:szCs w:val="24"/>
        </w:rPr>
        <w:t>.1</w:t>
      </w:r>
      <w:r>
        <w:rPr>
          <w:rFonts w:hint="eastAsia" w:ascii="Times New Roman" w:hAnsi="Times New Roman" w:eastAsia="宋体"/>
          <w:kern w:val="2"/>
          <w:sz w:val="24"/>
          <w:szCs w:val="24"/>
        </w:rPr>
        <w:t>施工期</w:t>
      </w:r>
      <w:r>
        <w:rPr>
          <w:rFonts w:ascii="Times New Roman" w:hAnsi="Times New Roman" w:eastAsia="宋体"/>
          <w:kern w:val="2"/>
          <w:sz w:val="24"/>
          <w:szCs w:val="24"/>
        </w:rPr>
        <w:t>环境影响预测与评价</w:t>
      </w:r>
      <w:r>
        <w:rPr>
          <w:sz w:val="24"/>
          <w:szCs w:val="24"/>
        </w:rPr>
        <w:tab/>
      </w:r>
      <w:r>
        <w:rPr>
          <w:sz w:val="24"/>
          <w:szCs w:val="24"/>
        </w:rPr>
        <w:fldChar w:fldCharType="begin"/>
      </w:r>
      <w:r>
        <w:rPr>
          <w:sz w:val="24"/>
          <w:szCs w:val="24"/>
        </w:rPr>
        <w:instrText xml:space="preserve"> PAGEREF _Toc16756 \h </w:instrText>
      </w:r>
      <w:r>
        <w:rPr>
          <w:sz w:val="24"/>
          <w:szCs w:val="24"/>
        </w:rPr>
        <w:fldChar w:fldCharType="separate"/>
      </w:r>
      <w:r>
        <w:rPr>
          <w:sz w:val="24"/>
          <w:szCs w:val="24"/>
        </w:rPr>
        <w:t>110</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_Toc14969 </w:instrText>
      </w:r>
      <w:r>
        <w:rPr>
          <w:rFonts w:ascii="Times New Roman" w:eastAsia="宋体"/>
          <w:sz w:val="24"/>
          <w:szCs w:val="24"/>
        </w:rPr>
        <w:fldChar w:fldCharType="separate"/>
      </w:r>
      <w:r>
        <w:rPr>
          <w:rFonts w:ascii="Times New Roman" w:hAnsi="Times New Roman" w:eastAsia="宋体"/>
          <w:kern w:val="2"/>
          <w:sz w:val="24"/>
          <w:szCs w:val="24"/>
        </w:rPr>
        <w:t>5.2运营期环境影响预测与评价</w:t>
      </w:r>
      <w:r>
        <w:rPr>
          <w:sz w:val="24"/>
          <w:szCs w:val="24"/>
        </w:rPr>
        <w:tab/>
      </w:r>
      <w:r>
        <w:rPr>
          <w:sz w:val="24"/>
          <w:szCs w:val="24"/>
        </w:rPr>
        <w:fldChar w:fldCharType="begin"/>
      </w:r>
      <w:r>
        <w:rPr>
          <w:sz w:val="24"/>
          <w:szCs w:val="24"/>
        </w:rPr>
        <w:instrText xml:space="preserve"> PAGEREF _Toc14969 \h </w:instrText>
      </w:r>
      <w:r>
        <w:rPr>
          <w:sz w:val="24"/>
          <w:szCs w:val="24"/>
        </w:rPr>
        <w:fldChar w:fldCharType="separate"/>
      </w:r>
      <w:r>
        <w:rPr>
          <w:sz w:val="24"/>
          <w:szCs w:val="24"/>
        </w:rPr>
        <w:t>114</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_Toc30464 </w:instrText>
      </w:r>
      <w:r>
        <w:rPr>
          <w:rFonts w:ascii="Times New Roman" w:eastAsia="宋体"/>
          <w:sz w:val="24"/>
          <w:szCs w:val="24"/>
        </w:rPr>
        <w:fldChar w:fldCharType="separate"/>
      </w:r>
      <w:r>
        <w:rPr>
          <w:rFonts w:hint="eastAsia" w:ascii="Times New Roman" w:eastAsia="宋体"/>
          <w:sz w:val="24"/>
          <w:szCs w:val="24"/>
        </w:rPr>
        <w:t>6</w:t>
      </w:r>
      <w:r>
        <w:rPr>
          <w:rFonts w:ascii="Times New Roman" w:eastAsia="宋体"/>
          <w:sz w:val="24"/>
          <w:szCs w:val="24"/>
        </w:rPr>
        <w:t>环境保护措施及其可行性论证</w:t>
      </w:r>
      <w:r>
        <w:rPr>
          <w:sz w:val="24"/>
          <w:szCs w:val="24"/>
        </w:rPr>
        <w:tab/>
      </w:r>
      <w:r>
        <w:rPr>
          <w:sz w:val="24"/>
          <w:szCs w:val="24"/>
        </w:rPr>
        <w:fldChar w:fldCharType="begin"/>
      </w:r>
      <w:r>
        <w:rPr>
          <w:sz w:val="24"/>
          <w:szCs w:val="24"/>
        </w:rPr>
        <w:instrText xml:space="preserve"> PAGEREF _Toc30464 \h </w:instrText>
      </w:r>
      <w:r>
        <w:rPr>
          <w:sz w:val="24"/>
          <w:szCs w:val="24"/>
        </w:rPr>
        <w:fldChar w:fldCharType="separate"/>
      </w:r>
      <w:r>
        <w:rPr>
          <w:sz w:val="24"/>
          <w:szCs w:val="24"/>
        </w:rPr>
        <w:t>149</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_Toc9558 </w:instrText>
      </w:r>
      <w:r>
        <w:rPr>
          <w:rFonts w:ascii="Times New Roman" w:eastAsia="宋体"/>
          <w:sz w:val="24"/>
          <w:szCs w:val="24"/>
        </w:rPr>
        <w:fldChar w:fldCharType="separate"/>
      </w:r>
      <w:r>
        <w:rPr>
          <w:rFonts w:hint="eastAsia" w:ascii="Times New Roman" w:hAnsi="Times New Roman" w:eastAsia="宋体"/>
          <w:kern w:val="2"/>
          <w:sz w:val="24"/>
          <w:szCs w:val="24"/>
        </w:rPr>
        <w:t>6</w:t>
      </w:r>
      <w:r>
        <w:rPr>
          <w:rFonts w:ascii="Times New Roman" w:hAnsi="Times New Roman" w:eastAsia="宋体"/>
          <w:kern w:val="2"/>
          <w:sz w:val="24"/>
          <w:szCs w:val="24"/>
        </w:rPr>
        <w:t>.1施工期环境保护措施可行性分析</w:t>
      </w:r>
      <w:r>
        <w:rPr>
          <w:sz w:val="24"/>
          <w:szCs w:val="24"/>
        </w:rPr>
        <w:tab/>
      </w:r>
      <w:r>
        <w:rPr>
          <w:sz w:val="24"/>
          <w:szCs w:val="24"/>
        </w:rPr>
        <w:fldChar w:fldCharType="begin"/>
      </w:r>
      <w:r>
        <w:rPr>
          <w:sz w:val="24"/>
          <w:szCs w:val="24"/>
        </w:rPr>
        <w:instrText xml:space="preserve"> PAGEREF _Toc9558 \h </w:instrText>
      </w:r>
      <w:r>
        <w:rPr>
          <w:sz w:val="24"/>
          <w:szCs w:val="24"/>
        </w:rPr>
        <w:fldChar w:fldCharType="separate"/>
      </w:r>
      <w:r>
        <w:rPr>
          <w:sz w:val="24"/>
          <w:szCs w:val="24"/>
        </w:rPr>
        <w:t>149</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_Toc7811 </w:instrText>
      </w:r>
      <w:r>
        <w:rPr>
          <w:rFonts w:ascii="Times New Roman" w:eastAsia="宋体"/>
          <w:sz w:val="24"/>
          <w:szCs w:val="24"/>
        </w:rPr>
        <w:fldChar w:fldCharType="separate"/>
      </w:r>
      <w:r>
        <w:rPr>
          <w:rFonts w:hint="eastAsia" w:ascii="Times New Roman" w:hAnsi="Times New Roman" w:eastAsia="宋体"/>
          <w:kern w:val="2"/>
          <w:sz w:val="24"/>
          <w:szCs w:val="24"/>
        </w:rPr>
        <w:t>6</w:t>
      </w:r>
      <w:r>
        <w:rPr>
          <w:rFonts w:ascii="Times New Roman" w:hAnsi="Times New Roman" w:eastAsia="宋体"/>
          <w:kern w:val="2"/>
          <w:sz w:val="24"/>
          <w:szCs w:val="24"/>
        </w:rPr>
        <w:t>.</w:t>
      </w:r>
      <w:r>
        <w:rPr>
          <w:rFonts w:hint="eastAsia" w:ascii="Times New Roman" w:hAnsi="Times New Roman" w:eastAsia="宋体"/>
          <w:kern w:val="2"/>
          <w:sz w:val="24"/>
          <w:szCs w:val="24"/>
        </w:rPr>
        <w:t>2</w:t>
      </w:r>
      <w:r>
        <w:rPr>
          <w:rFonts w:ascii="Times New Roman" w:hAnsi="Times New Roman" w:eastAsia="宋体"/>
          <w:kern w:val="2"/>
          <w:sz w:val="24"/>
          <w:szCs w:val="24"/>
        </w:rPr>
        <w:t>运营期环境保护措施可行性分析</w:t>
      </w:r>
      <w:r>
        <w:rPr>
          <w:sz w:val="24"/>
          <w:szCs w:val="24"/>
        </w:rPr>
        <w:tab/>
      </w:r>
      <w:r>
        <w:rPr>
          <w:sz w:val="24"/>
          <w:szCs w:val="24"/>
        </w:rPr>
        <w:fldChar w:fldCharType="begin"/>
      </w:r>
      <w:r>
        <w:rPr>
          <w:sz w:val="24"/>
          <w:szCs w:val="24"/>
        </w:rPr>
        <w:instrText xml:space="preserve"> PAGEREF _Toc7811 \h </w:instrText>
      </w:r>
      <w:r>
        <w:rPr>
          <w:sz w:val="24"/>
          <w:szCs w:val="24"/>
        </w:rPr>
        <w:fldChar w:fldCharType="separate"/>
      </w:r>
      <w:r>
        <w:rPr>
          <w:sz w:val="24"/>
          <w:szCs w:val="24"/>
        </w:rPr>
        <w:t>153</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_Toc22177 </w:instrText>
      </w:r>
      <w:r>
        <w:rPr>
          <w:rFonts w:ascii="Times New Roman" w:eastAsia="宋体"/>
          <w:sz w:val="24"/>
          <w:szCs w:val="24"/>
        </w:rPr>
        <w:fldChar w:fldCharType="separate"/>
      </w:r>
      <w:r>
        <w:rPr>
          <w:rFonts w:hint="eastAsia" w:ascii="Times New Roman" w:eastAsia="宋体"/>
          <w:kern w:val="2"/>
          <w:sz w:val="24"/>
          <w:szCs w:val="24"/>
        </w:rPr>
        <w:t>7</w:t>
      </w:r>
      <w:r>
        <w:rPr>
          <w:rFonts w:ascii="Times New Roman" w:eastAsia="宋体"/>
          <w:sz w:val="24"/>
          <w:szCs w:val="24"/>
        </w:rPr>
        <w:t>环境影响经济损益分析</w:t>
      </w:r>
      <w:r>
        <w:rPr>
          <w:sz w:val="24"/>
          <w:szCs w:val="24"/>
        </w:rPr>
        <w:tab/>
      </w:r>
      <w:r>
        <w:rPr>
          <w:sz w:val="24"/>
          <w:szCs w:val="24"/>
        </w:rPr>
        <w:fldChar w:fldCharType="begin"/>
      </w:r>
      <w:r>
        <w:rPr>
          <w:sz w:val="24"/>
          <w:szCs w:val="24"/>
        </w:rPr>
        <w:instrText xml:space="preserve"> PAGEREF _Toc22177 \h </w:instrText>
      </w:r>
      <w:r>
        <w:rPr>
          <w:sz w:val="24"/>
          <w:szCs w:val="24"/>
        </w:rPr>
        <w:fldChar w:fldCharType="separate"/>
      </w:r>
      <w:r>
        <w:rPr>
          <w:sz w:val="24"/>
          <w:szCs w:val="24"/>
        </w:rPr>
        <w:t>164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_Toc29384 </w:instrText>
      </w:r>
      <w:r>
        <w:rPr>
          <w:rFonts w:ascii="Times New Roman" w:eastAsia="宋体"/>
          <w:sz w:val="24"/>
          <w:szCs w:val="24"/>
        </w:rPr>
        <w:fldChar w:fldCharType="separate"/>
      </w:r>
      <w:r>
        <w:rPr>
          <w:rFonts w:hint="eastAsia" w:ascii="Times New Roman" w:hAnsi="Times New Roman" w:eastAsia="宋体"/>
          <w:kern w:val="2"/>
          <w:sz w:val="24"/>
          <w:szCs w:val="24"/>
        </w:rPr>
        <w:t>7</w:t>
      </w:r>
      <w:r>
        <w:rPr>
          <w:rFonts w:ascii="Times New Roman" w:hAnsi="Times New Roman" w:eastAsia="宋体"/>
          <w:kern w:val="2"/>
          <w:sz w:val="24"/>
          <w:szCs w:val="24"/>
        </w:rPr>
        <w:t>.1社会效益和经济效益分析</w:t>
      </w:r>
      <w:r>
        <w:rPr>
          <w:sz w:val="24"/>
          <w:szCs w:val="24"/>
        </w:rPr>
        <w:tab/>
      </w:r>
      <w:r>
        <w:rPr>
          <w:sz w:val="24"/>
          <w:szCs w:val="24"/>
        </w:rPr>
        <w:fldChar w:fldCharType="begin"/>
      </w:r>
      <w:r>
        <w:rPr>
          <w:sz w:val="24"/>
          <w:szCs w:val="24"/>
        </w:rPr>
        <w:instrText xml:space="preserve"> PAGEREF _Toc29384 \h </w:instrText>
      </w:r>
      <w:r>
        <w:rPr>
          <w:sz w:val="24"/>
          <w:szCs w:val="24"/>
        </w:rPr>
        <w:fldChar w:fldCharType="separate"/>
      </w:r>
      <w:r>
        <w:rPr>
          <w:sz w:val="24"/>
          <w:szCs w:val="24"/>
        </w:rPr>
        <w:t>164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_Toc641 </w:instrText>
      </w:r>
      <w:r>
        <w:rPr>
          <w:rFonts w:ascii="Times New Roman" w:eastAsia="宋体"/>
          <w:sz w:val="24"/>
          <w:szCs w:val="24"/>
        </w:rPr>
        <w:fldChar w:fldCharType="separate"/>
      </w:r>
      <w:r>
        <w:rPr>
          <w:rFonts w:hint="eastAsia" w:ascii="Times New Roman" w:hAnsi="Times New Roman" w:eastAsia="宋体"/>
          <w:kern w:val="2"/>
          <w:sz w:val="24"/>
          <w:szCs w:val="24"/>
        </w:rPr>
        <w:t>7</w:t>
      </w:r>
      <w:r>
        <w:rPr>
          <w:rFonts w:ascii="Times New Roman" w:hAnsi="Times New Roman" w:eastAsia="宋体"/>
          <w:kern w:val="2"/>
          <w:sz w:val="24"/>
          <w:szCs w:val="24"/>
        </w:rPr>
        <w:t>.2环境效益分析</w:t>
      </w:r>
      <w:r>
        <w:rPr>
          <w:sz w:val="24"/>
          <w:szCs w:val="24"/>
        </w:rPr>
        <w:tab/>
      </w:r>
      <w:r>
        <w:rPr>
          <w:sz w:val="24"/>
          <w:szCs w:val="24"/>
        </w:rPr>
        <w:fldChar w:fldCharType="begin"/>
      </w:r>
      <w:r>
        <w:rPr>
          <w:sz w:val="24"/>
          <w:szCs w:val="24"/>
        </w:rPr>
        <w:instrText xml:space="preserve"> PAGEREF _Toc641 \h </w:instrText>
      </w:r>
      <w:r>
        <w:rPr>
          <w:sz w:val="24"/>
          <w:szCs w:val="24"/>
        </w:rPr>
        <w:fldChar w:fldCharType="separate"/>
      </w:r>
      <w:r>
        <w:rPr>
          <w:sz w:val="24"/>
          <w:szCs w:val="24"/>
        </w:rPr>
        <w:t>165</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_Toc20923 </w:instrText>
      </w:r>
      <w:r>
        <w:rPr>
          <w:rFonts w:ascii="Times New Roman" w:eastAsia="宋体"/>
          <w:sz w:val="24"/>
          <w:szCs w:val="24"/>
        </w:rPr>
        <w:fldChar w:fldCharType="separate"/>
      </w:r>
      <w:r>
        <w:rPr>
          <w:rFonts w:hint="eastAsia" w:ascii="Times New Roman" w:eastAsia="宋体"/>
          <w:sz w:val="24"/>
          <w:szCs w:val="24"/>
        </w:rPr>
        <w:t>8</w:t>
      </w:r>
      <w:r>
        <w:rPr>
          <w:rFonts w:ascii="Times New Roman" w:eastAsia="宋体"/>
          <w:sz w:val="24"/>
          <w:szCs w:val="24"/>
        </w:rPr>
        <w:t>环境管理与监测</w:t>
      </w:r>
      <w:r>
        <w:rPr>
          <w:rFonts w:hint="eastAsia" w:ascii="Times New Roman" w:eastAsia="宋体"/>
          <w:sz w:val="24"/>
          <w:szCs w:val="24"/>
        </w:rPr>
        <w:t>计划</w:t>
      </w:r>
      <w:r>
        <w:rPr>
          <w:sz w:val="24"/>
          <w:szCs w:val="24"/>
        </w:rPr>
        <w:tab/>
      </w:r>
      <w:r>
        <w:rPr>
          <w:sz w:val="24"/>
          <w:szCs w:val="24"/>
        </w:rPr>
        <w:fldChar w:fldCharType="begin"/>
      </w:r>
      <w:r>
        <w:rPr>
          <w:sz w:val="24"/>
          <w:szCs w:val="24"/>
        </w:rPr>
        <w:instrText xml:space="preserve"> PAGEREF _Toc20923 \h </w:instrText>
      </w:r>
      <w:r>
        <w:rPr>
          <w:sz w:val="24"/>
          <w:szCs w:val="24"/>
        </w:rPr>
        <w:fldChar w:fldCharType="separate"/>
      </w:r>
      <w:r>
        <w:rPr>
          <w:sz w:val="24"/>
          <w:szCs w:val="24"/>
        </w:rPr>
        <w:t>167</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_Toc10251 </w:instrText>
      </w:r>
      <w:r>
        <w:rPr>
          <w:rFonts w:ascii="Times New Roman" w:eastAsia="宋体"/>
          <w:sz w:val="24"/>
          <w:szCs w:val="24"/>
        </w:rPr>
        <w:fldChar w:fldCharType="separate"/>
      </w:r>
      <w:r>
        <w:rPr>
          <w:rFonts w:hint="eastAsia" w:ascii="Times New Roman" w:hAnsi="Times New Roman" w:eastAsia="宋体"/>
          <w:kern w:val="2"/>
          <w:sz w:val="24"/>
          <w:szCs w:val="24"/>
        </w:rPr>
        <w:t>8</w:t>
      </w:r>
      <w:r>
        <w:rPr>
          <w:rFonts w:ascii="Times New Roman" w:hAnsi="Times New Roman" w:eastAsia="宋体"/>
          <w:kern w:val="2"/>
          <w:sz w:val="24"/>
          <w:szCs w:val="24"/>
        </w:rPr>
        <w:t>.1环境管理</w:t>
      </w:r>
      <w:r>
        <w:rPr>
          <w:sz w:val="24"/>
          <w:szCs w:val="24"/>
        </w:rPr>
        <w:tab/>
      </w:r>
      <w:r>
        <w:rPr>
          <w:sz w:val="24"/>
          <w:szCs w:val="24"/>
        </w:rPr>
        <w:fldChar w:fldCharType="begin"/>
      </w:r>
      <w:r>
        <w:rPr>
          <w:sz w:val="24"/>
          <w:szCs w:val="24"/>
        </w:rPr>
        <w:instrText xml:space="preserve"> PAGEREF _Toc10251 \h </w:instrText>
      </w:r>
      <w:r>
        <w:rPr>
          <w:sz w:val="24"/>
          <w:szCs w:val="24"/>
        </w:rPr>
        <w:fldChar w:fldCharType="separate"/>
      </w:r>
      <w:r>
        <w:rPr>
          <w:sz w:val="24"/>
          <w:szCs w:val="24"/>
        </w:rPr>
        <w:t>167</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_Toc23440 </w:instrText>
      </w:r>
      <w:r>
        <w:rPr>
          <w:rFonts w:ascii="Times New Roman" w:eastAsia="宋体"/>
          <w:sz w:val="24"/>
          <w:szCs w:val="24"/>
        </w:rPr>
        <w:fldChar w:fldCharType="separate"/>
      </w:r>
      <w:r>
        <w:rPr>
          <w:rFonts w:hint="eastAsia" w:ascii="Times New Roman" w:hAnsi="Times New Roman" w:eastAsia="宋体"/>
          <w:kern w:val="2"/>
          <w:sz w:val="24"/>
          <w:szCs w:val="24"/>
        </w:rPr>
        <w:t>8</w:t>
      </w:r>
      <w:r>
        <w:rPr>
          <w:rFonts w:ascii="Times New Roman" w:hAnsi="Times New Roman" w:eastAsia="宋体"/>
          <w:kern w:val="2"/>
          <w:sz w:val="24"/>
          <w:szCs w:val="24"/>
        </w:rPr>
        <w:t>.2环境监测</w:t>
      </w:r>
      <w:r>
        <w:rPr>
          <w:sz w:val="24"/>
          <w:szCs w:val="24"/>
        </w:rPr>
        <w:tab/>
      </w:r>
      <w:r>
        <w:rPr>
          <w:sz w:val="24"/>
          <w:szCs w:val="24"/>
        </w:rPr>
        <w:fldChar w:fldCharType="begin"/>
      </w:r>
      <w:r>
        <w:rPr>
          <w:sz w:val="24"/>
          <w:szCs w:val="24"/>
        </w:rPr>
        <w:instrText xml:space="preserve"> PAGEREF _Toc23440 \h </w:instrText>
      </w:r>
      <w:r>
        <w:rPr>
          <w:sz w:val="24"/>
          <w:szCs w:val="24"/>
        </w:rPr>
        <w:fldChar w:fldCharType="separate"/>
      </w:r>
      <w:r>
        <w:rPr>
          <w:sz w:val="24"/>
          <w:szCs w:val="24"/>
        </w:rPr>
        <w:t>171</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_Toc22094 </w:instrText>
      </w:r>
      <w:r>
        <w:rPr>
          <w:rFonts w:ascii="Times New Roman" w:eastAsia="宋体"/>
          <w:sz w:val="24"/>
          <w:szCs w:val="24"/>
        </w:rPr>
        <w:fldChar w:fldCharType="separate"/>
      </w:r>
      <w:r>
        <w:rPr>
          <w:rFonts w:hint="eastAsia" w:ascii="Times New Roman" w:hAnsi="Times New Roman" w:eastAsia="宋体"/>
          <w:kern w:val="2"/>
          <w:sz w:val="24"/>
          <w:szCs w:val="24"/>
        </w:rPr>
        <w:t>8</w:t>
      </w:r>
      <w:r>
        <w:rPr>
          <w:rFonts w:ascii="Times New Roman" w:hAnsi="Times New Roman" w:eastAsia="宋体"/>
          <w:kern w:val="2"/>
          <w:sz w:val="24"/>
          <w:szCs w:val="24"/>
        </w:rPr>
        <w:t>.3“三同时”验收内容</w:t>
      </w:r>
      <w:r>
        <w:rPr>
          <w:sz w:val="24"/>
          <w:szCs w:val="24"/>
        </w:rPr>
        <w:tab/>
      </w:r>
      <w:r>
        <w:rPr>
          <w:sz w:val="24"/>
          <w:szCs w:val="24"/>
        </w:rPr>
        <w:fldChar w:fldCharType="begin"/>
      </w:r>
      <w:r>
        <w:rPr>
          <w:sz w:val="24"/>
          <w:szCs w:val="24"/>
        </w:rPr>
        <w:instrText xml:space="preserve"> PAGEREF _Toc22094 \h </w:instrText>
      </w:r>
      <w:r>
        <w:rPr>
          <w:sz w:val="24"/>
          <w:szCs w:val="24"/>
        </w:rPr>
        <w:fldChar w:fldCharType="separate"/>
      </w:r>
      <w:r>
        <w:rPr>
          <w:sz w:val="24"/>
          <w:szCs w:val="24"/>
        </w:rPr>
        <w:t>172</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_Toc15391 </w:instrText>
      </w:r>
      <w:r>
        <w:rPr>
          <w:rFonts w:ascii="Times New Roman" w:eastAsia="宋体"/>
          <w:sz w:val="24"/>
          <w:szCs w:val="24"/>
        </w:rPr>
        <w:fldChar w:fldCharType="separate"/>
      </w:r>
      <w:r>
        <w:rPr>
          <w:rFonts w:hint="eastAsia" w:ascii="Times New Roman" w:hAnsi="Times New Roman" w:eastAsia="宋体"/>
          <w:kern w:val="2"/>
          <w:sz w:val="24"/>
          <w:szCs w:val="24"/>
        </w:rPr>
        <w:t>8</w:t>
      </w:r>
      <w:r>
        <w:rPr>
          <w:rFonts w:ascii="Times New Roman" w:hAnsi="Times New Roman" w:eastAsia="宋体"/>
          <w:kern w:val="2"/>
          <w:sz w:val="24"/>
          <w:szCs w:val="24"/>
        </w:rPr>
        <w:t>.4总量控制</w:t>
      </w:r>
      <w:r>
        <w:rPr>
          <w:sz w:val="24"/>
          <w:szCs w:val="24"/>
        </w:rPr>
        <w:tab/>
      </w:r>
      <w:r>
        <w:rPr>
          <w:sz w:val="24"/>
          <w:szCs w:val="24"/>
        </w:rPr>
        <w:fldChar w:fldCharType="begin"/>
      </w:r>
      <w:r>
        <w:rPr>
          <w:sz w:val="24"/>
          <w:szCs w:val="24"/>
        </w:rPr>
        <w:instrText xml:space="preserve"> PAGEREF _Toc15391 \h </w:instrText>
      </w:r>
      <w:r>
        <w:rPr>
          <w:sz w:val="24"/>
          <w:szCs w:val="24"/>
        </w:rPr>
        <w:fldChar w:fldCharType="separate"/>
      </w:r>
      <w:r>
        <w:rPr>
          <w:sz w:val="24"/>
          <w:szCs w:val="24"/>
        </w:rPr>
        <w:t>177</w:t>
      </w:r>
      <w:r>
        <w:rPr>
          <w:sz w:val="24"/>
          <w:szCs w:val="24"/>
        </w:rPr>
        <w:fldChar w:fldCharType="end"/>
      </w:r>
      <w:r>
        <w:rPr>
          <w:rFonts w:ascii="Times New Roman" w:eastAsia="宋体"/>
          <w:color w:val="auto"/>
          <w:sz w:val="24"/>
          <w:szCs w:val="24"/>
        </w:rPr>
        <w:fldChar w:fldCharType="end"/>
      </w:r>
    </w:p>
    <w:p>
      <w:pPr>
        <w:pStyle w:val="35"/>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_Toc1726 </w:instrText>
      </w:r>
      <w:r>
        <w:rPr>
          <w:rFonts w:ascii="Times New Roman" w:eastAsia="宋体"/>
          <w:sz w:val="24"/>
          <w:szCs w:val="24"/>
        </w:rPr>
        <w:fldChar w:fldCharType="separate"/>
      </w:r>
      <w:r>
        <w:rPr>
          <w:rFonts w:hint="eastAsia" w:ascii="Times New Roman" w:eastAsia="宋体"/>
          <w:sz w:val="24"/>
          <w:szCs w:val="24"/>
        </w:rPr>
        <w:t>9</w:t>
      </w:r>
      <w:r>
        <w:rPr>
          <w:rFonts w:ascii="Times New Roman" w:eastAsia="宋体"/>
          <w:sz w:val="24"/>
          <w:szCs w:val="24"/>
        </w:rPr>
        <w:t>结论</w:t>
      </w:r>
      <w:r>
        <w:rPr>
          <w:sz w:val="24"/>
          <w:szCs w:val="24"/>
        </w:rPr>
        <w:tab/>
      </w:r>
      <w:r>
        <w:rPr>
          <w:sz w:val="24"/>
          <w:szCs w:val="24"/>
        </w:rPr>
        <w:fldChar w:fldCharType="begin"/>
      </w:r>
      <w:r>
        <w:rPr>
          <w:sz w:val="24"/>
          <w:szCs w:val="24"/>
        </w:rPr>
        <w:instrText xml:space="preserve"> PAGEREF _Toc1726 \h </w:instrText>
      </w:r>
      <w:r>
        <w:rPr>
          <w:sz w:val="24"/>
          <w:szCs w:val="24"/>
        </w:rPr>
        <w:fldChar w:fldCharType="separate"/>
      </w:r>
      <w:r>
        <w:rPr>
          <w:sz w:val="24"/>
          <w:szCs w:val="24"/>
        </w:rPr>
        <w:t>180</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_Toc30746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.1建设项目概况</w:t>
      </w:r>
      <w:r>
        <w:rPr>
          <w:sz w:val="24"/>
          <w:szCs w:val="24"/>
        </w:rPr>
        <w:tab/>
      </w:r>
      <w:r>
        <w:rPr>
          <w:sz w:val="24"/>
          <w:szCs w:val="24"/>
        </w:rPr>
        <w:fldChar w:fldCharType="begin"/>
      </w:r>
      <w:r>
        <w:rPr>
          <w:sz w:val="24"/>
          <w:szCs w:val="24"/>
        </w:rPr>
        <w:instrText xml:space="preserve"> PAGEREF _Toc30746 \h </w:instrText>
      </w:r>
      <w:r>
        <w:rPr>
          <w:sz w:val="24"/>
          <w:szCs w:val="24"/>
        </w:rPr>
        <w:fldChar w:fldCharType="separate"/>
      </w:r>
      <w:r>
        <w:rPr>
          <w:sz w:val="24"/>
          <w:szCs w:val="24"/>
        </w:rPr>
        <w:t>180</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_Toc8205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.2环境质量现状</w:t>
      </w:r>
      <w:r>
        <w:rPr>
          <w:sz w:val="24"/>
          <w:szCs w:val="24"/>
        </w:rPr>
        <w:tab/>
      </w:r>
      <w:r>
        <w:rPr>
          <w:sz w:val="24"/>
          <w:szCs w:val="24"/>
        </w:rPr>
        <w:fldChar w:fldCharType="begin"/>
      </w:r>
      <w:r>
        <w:rPr>
          <w:sz w:val="24"/>
          <w:szCs w:val="24"/>
        </w:rPr>
        <w:instrText xml:space="preserve"> PAGEREF _Toc8205 \h </w:instrText>
      </w:r>
      <w:r>
        <w:rPr>
          <w:sz w:val="24"/>
          <w:szCs w:val="24"/>
        </w:rPr>
        <w:fldChar w:fldCharType="separate"/>
      </w:r>
      <w:r>
        <w:rPr>
          <w:sz w:val="24"/>
          <w:szCs w:val="24"/>
        </w:rPr>
        <w:t>180</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_Toc9485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.3环境影响与评价</w:t>
      </w:r>
      <w:r>
        <w:rPr>
          <w:sz w:val="24"/>
          <w:szCs w:val="24"/>
        </w:rPr>
        <w:tab/>
      </w:r>
      <w:r>
        <w:rPr>
          <w:sz w:val="24"/>
          <w:szCs w:val="24"/>
        </w:rPr>
        <w:fldChar w:fldCharType="begin"/>
      </w:r>
      <w:r>
        <w:rPr>
          <w:sz w:val="24"/>
          <w:szCs w:val="24"/>
        </w:rPr>
        <w:instrText xml:space="preserve"> PAGEREF _Toc9485 \h </w:instrText>
      </w:r>
      <w:r>
        <w:rPr>
          <w:sz w:val="24"/>
          <w:szCs w:val="24"/>
        </w:rPr>
        <w:fldChar w:fldCharType="separate"/>
      </w:r>
      <w:r>
        <w:rPr>
          <w:sz w:val="24"/>
          <w:szCs w:val="24"/>
        </w:rPr>
        <w:t>180</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_Toc3250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.4 污染防治对策与措施</w:t>
      </w:r>
      <w:r>
        <w:rPr>
          <w:sz w:val="24"/>
          <w:szCs w:val="24"/>
        </w:rPr>
        <w:tab/>
      </w:r>
      <w:r>
        <w:rPr>
          <w:sz w:val="24"/>
          <w:szCs w:val="24"/>
        </w:rPr>
        <w:fldChar w:fldCharType="begin"/>
      </w:r>
      <w:r>
        <w:rPr>
          <w:sz w:val="24"/>
          <w:szCs w:val="24"/>
        </w:rPr>
        <w:instrText xml:space="preserve"> PAGEREF _Toc3250 \h </w:instrText>
      </w:r>
      <w:r>
        <w:rPr>
          <w:sz w:val="24"/>
          <w:szCs w:val="24"/>
        </w:rPr>
        <w:fldChar w:fldCharType="separate"/>
      </w:r>
      <w:r>
        <w:rPr>
          <w:sz w:val="24"/>
          <w:szCs w:val="24"/>
        </w:rPr>
        <w:t>182</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_Toc27207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.5总量控制结论</w:t>
      </w:r>
      <w:r>
        <w:rPr>
          <w:sz w:val="24"/>
          <w:szCs w:val="24"/>
        </w:rPr>
        <w:tab/>
      </w:r>
      <w:r>
        <w:rPr>
          <w:sz w:val="24"/>
          <w:szCs w:val="24"/>
        </w:rPr>
        <w:fldChar w:fldCharType="begin"/>
      </w:r>
      <w:r>
        <w:rPr>
          <w:sz w:val="24"/>
          <w:szCs w:val="24"/>
        </w:rPr>
        <w:instrText xml:space="preserve"> PAGEREF _Toc27207 \h </w:instrText>
      </w:r>
      <w:r>
        <w:rPr>
          <w:sz w:val="24"/>
          <w:szCs w:val="24"/>
        </w:rPr>
        <w:fldChar w:fldCharType="separate"/>
      </w:r>
      <w:r>
        <w:rPr>
          <w:sz w:val="24"/>
          <w:szCs w:val="24"/>
        </w:rPr>
        <w:t>183</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_Toc27303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.6公众参与结论</w:t>
      </w:r>
      <w:r>
        <w:rPr>
          <w:sz w:val="24"/>
          <w:szCs w:val="24"/>
        </w:rPr>
        <w:tab/>
      </w:r>
      <w:r>
        <w:rPr>
          <w:sz w:val="24"/>
          <w:szCs w:val="24"/>
        </w:rPr>
        <w:fldChar w:fldCharType="begin"/>
      </w:r>
      <w:r>
        <w:rPr>
          <w:sz w:val="24"/>
          <w:szCs w:val="24"/>
        </w:rPr>
        <w:instrText xml:space="preserve"> PAGEREF _Toc27303 \h </w:instrText>
      </w:r>
      <w:r>
        <w:rPr>
          <w:sz w:val="24"/>
          <w:szCs w:val="24"/>
        </w:rPr>
        <w:fldChar w:fldCharType="separate"/>
      </w:r>
      <w:r>
        <w:rPr>
          <w:sz w:val="24"/>
          <w:szCs w:val="24"/>
        </w:rPr>
        <w:t>184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_Toc23069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.7选址合理性及产业政策分析</w:t>
      </w:r>
      <w:r>
        <w:rPr>
          <w:sz w:val="24"/>
          <w:szCs w:val="24"/>
        </w:rPr>
        <w:tab/>
      </w:r>
      <w:r>
        <w:rPr>
          <w:sz w:val="24"/>
          <w:szCs w:val="24"/>
        </w:rPr>
        <w:fldChar w:fldCharType="begin"/>
      </w:r>
      <w:r>
        <w:rPr>
          <w:sz w:val="24"/>
          <w:szCs w:val="24"/>
        </w:rPr>
        <w:instrText xml:space="preserve"> PAGEREF _Toc23069 \h </w:instrText>
      </w:r>
      <w:r>
        <w:rPr>
          <w:sz w:val="24"/>
          <w:szCs w:val="24"/>
        </w:rPr>
        <w:fldChar w:fldCharType="separate"/>
      </w:r>
      <w:r>
        <w:rPr>
          <w:sz w:val="24"/>
          <w:szCs w:val="24"/>
        </w:rPr>
        <w:t>184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_Toc17962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w:t>
      </w:r>
      <w:r>
        <w:rPr>
          <w:rFonts w:hint="eastAsia" w:ascii="Times New Roman" w:hAnsi="Times New Roman" w:eastAsia="宋体"/>
          <w:kern w:val="2"/>
          <w:sz w:val="24"/>
          <w:szCs w:val="24"/>
        </w:rPr>
        <w:t>8环境影响经济损益分析</w:t>
      </w:r>
      <w:r>
        <w:rPr>
          <w:sz w:val="24"/>
          <w:szCs w:val="24"/>
        </w:rPr>
        <w:tab/>
      </w:r>
      <w:r>
        <w:rPr>
          <w:sz w:val="24"/>
          <w:szCs w:val="24"/>
        </w:rPr>
        <w:fldChar w:fldCharType="begin"/>
      </w:r>
      <w:r>
        <w:rPr>
          <w:sz w:val="24"/>
          <w:szCs w:val="24"/>
        </w:rPr>
        <w:instrText xml:space="preserve"> PAGEREF _Toc17962 \h </w:instrText>
      </w:r>
      <w:r>
        <w:rPr>
          <w:sz w:val="24"/>
          <w:szCs w:val="24"/>
        </w:rPr>
        <w:fldChar w:fldCharType="separate"/>
      </w:r>
      <w:r>
        <w:rPr>
          <w:sz w:val="24"/>
          <w:szCs w:val="24"/>
        </w:rPr>
        <w:t>184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_Toc28194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w:t>
      </w:r>
      <w:r>
        <w:rPr>
          <w:rFonts w:hint="eastAsia" w:ascii="Times New Roman" w:hAnsi="Times New Roman" w:eastAsia="宋体"/>
          <w:kern w:val="2"/>
          <w:sz w:val="24"/>
          <w:szCs w:val="24"/>
        </w:rPr>
        <w:t>9环境管理与监测计划</w:t>
      </w:r>
      <w:r>
        <w:rPr>
          <w:sz w:val="24"/>
          <w:szCs w:val="24"/>
        </w:rPr>
        <w:tab/>
      </w:r>
      <w:r>
        <w:rPr>
          <w:sz w:val="24"/>
          <w:szCs w:val="24"/>
        </w:rPr>
        <w:fldChar w:fldCharType="begin"/>
      </w:r>
      <w:r>
        <w:rPr>
          <w:sz w:val="24"/>
          <w:szCs w:val="24"/>
        </w:rPr>
        <w:instrText xml:space="preserve"> PAGEREF _Toc28194 \h </w:instrText>
      </w:r>
      <w:r>
        <w:rPr>
          <w:sz w:val="24"/>
          <w:szCs w:val="24"/>
        </w:rPr>
        <w:fldChar w:fldCharType="separate"/>
      </w:r>
      <w:r>
        <w:rPr>
          <w:sz w:val="24"/>
          <w:szCs w:val="24"/>
        </w:rPr>
        <w:t>184</w:t>
      </w:r>
      <w:r>
        <w:rPr>
          <w:sz w:val="24"/>
          <w:szCs w:val="24"/>
        </w:rPr>
        <w:fldChar w:fldCharType="end"/>
      </w:r>
      <w:r>
        <w:rPr>
          <w:rFonts w:ascii="Times New Roman" w:eastAsia="宋体"/>
          <w:color w:val="auto"/>
          <w:sz w:val="24"/>
          <w:szCs w:val="24"/>
        </w:rPr>
        <w:fldChar w:fldCharType="end"/>
      </w:r>
    </w:p>
    <w:p>
      <w:pPr>
        <w:pStyle w:val="40"/>
        <w:keepNext w:val="0"/>
        <w:keepLines w:val="0"/>
        <w:pageBreakBefore w:val="0"/>
        <w:widowControl w:val="0"/>
        <w:tabs>
          <w:tab w:val="right" w:leader="dot" w:pos="8300"/>
        </w:tabs>
        <w:kinsoku/>
        <w:wordWrap/>
        <w:overflowPunct/>
        <w:topLinePunct w:val="0"/>
        <w:autoSpaceDE/>
        <w:autoSpaceDN/>
        <w:bidi w:val="0"/>
        <w:adjustRightInd/>
        <w:snapToGrid w:val="0"/>
        <w:spacing w:line="240" w:lineRule="auto"/>
        <w:textAlignment w:val="auto"/>
        <w:rPr>
          <w:sz w:val="24"/>
          <w:szCs w:val="24"/>
        </w:rPr>
      </w:pPr>
      <w:r>
        <w:rPr>
          <w:rFonts w:ascii="Times New Roman" w:eastAsia="宋体"/>
          <w:color w:val="auto"/>
          <w:sz w:val="24"/>
          <w:szCs w:val="24"/>
        </w:rPr>
        <w:fldChar w:fldCharType="begin"/>
      </w:r>
      <w:r>
        <w:rPr>
          <w:rFonts w:ascii="Times New Roman" w:eastAsia="宋体"/>
          <w:sz w:val="24"/>
          <w:szCs w:val="24"/>
        </w:rPr>
        <w:instrText xml:space="preserve"> HYPERLINK \l _Toc8076 </w:instrText>
      </w:r>
      <w:r>
        <w:rPr>
          <w:rFonts w:ascii="Times New Roman" w:eastAsia="宋体"/>
          <w:sz w:val="24"/>
          <w:szCs w:val="24"/>
        </w:rPr>
        <w:fldChar w:fldCharType="separate"/>
      </w:r>
      <w:r>
        <w:rPr>
          <w:rFonts w:hint="eastAsia" w:ascii="Times New Roman" w:hAnsi="Times New Roman" w:eastAsia="宋体"/>
          <w:kern w:val="2"/>
          <w:sz w:val="24"/>
          <w:szCs w:val="24"/>
        </w:rPr>
        <w:t>9</w:t>
      </w:r>
      <w:r>
        <w:rPr>
          <w:rFonts w:ascii="Times New Roman" w:hAnsi="Times New Roman" w:eastAsia="宋体"/>
          <w:kern w:val="2"/>
          <w:sz w:val="24"/>
          <w:szCs w:val="24"/>
        </w:rPr>
        <w:t>.</w:t>
      </w:r>
      <w:r>
        <w:rPr>
          <w:rFonts w:hint="eastAsia" w:ascii="Times New Roman" w:hAnsi="Times New Roman" w:eastAsia="宋体"/>
          <w:kern w:val="2"/>
          <w:sz w:val="24"/>
          <w:szCs w:val="24"/>
        </w:rPr>
        <w:t>10</w:t>
      </w:r>
      <w:r>
        <w:rPr>
          <w:rFonts w:ascii="Times New Roman" w:hAnsi="Times New Roman" w:eastAsia="宋体"/>
          <w:kern w:val="2"/>
          <w:sz w:val="24"/>
          <w:szCs w:val="24"/>
        </w:rPr>
        <w:t>综合性结论</w:t>
      </w:r>
      <w:r>
        <w:rPr>
          <w:sz w:val="24"/>
          <w:szCs w:val="24"/>
        </w:rPr>
        <w:tab/>
      </w:r>
      <w:r>
        <w:rPr>
          <w:sz w:val="24"/>
          <w:szCs w:val="24"/>
        </w:rPr>
        <w:fldChar w:fldCharType="begin"/>
      </w:r>
      <w:r>
        <w:rPr>
          <w:sz w:val="24"/>
          <w:szCs w:val="24"/>
        </w:rPr>
        <w:instrText xml:space="preserve"> PAGEREF _Toc8076 \h </w:instrText>
      </w:r>
      <w:r>
        <w:rPr>
          <w:sz w:val="24"/>
          <w:szCs w:val="24"/>
        </w:rPr>
        <w:fldChar w:fldCharType="separate"/>
      </w:r>
      <w:r>
        <w:rPr>
          <w:sz w:val="24"/>
          <w:szCs w:val="24"/>
        </w:rPr>
        <w:t>185</w:t>
      </w:r>
      <w:r>
        <w:rPr>
          <w:sz w:val="24"/>
          <w:szCs w:val="24"/>
        </w:rPr>
        <w:fldChar w:fldCharType="end"/>
      </w:r>
      <w:r>
        <w:rPr>
          <w:rFonts w:ascii="Times New Roman" w:eastAsia="宋体"/>
          <w:color w:val="auto"/>
          <w:sz w:val="24"/>
          <w:szCs w:val="24"/>
        </w:rPr>
        <w:fldChar w:fldCharType="end"/>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eastAsia="宋体"/>
          <w:color w:val="auto"/>
          <w:szCs w:val="24"/>
          <w:lang w:val="en-US" w:eastAsia="zh-CN"/>
        </w:rPr>
      </w:pPr>
      <w:r>
        <w:rPr>
          <w:rFonts w:ascii="Times New Roman" w:eastAsia="宋体"/>
          <w:color w:val="auto"/>
          <w:sz w:val="24"/>
          <w:szCs w:val="24"/>
        </w:rPr>
        <w:fldChar w:fldCharType="end"/>
      </w:r>
      <w:r>
        <w:rPr>
          <w:rFonts w:hint="eastAsia" w:ascii="Times New Roman" w:eastAsia="宋体"/>
          <w:color w:val="auto"/>
          <w:szCs w:val="24"/>
          <w:lang w:val="en-US" w:eastAsia="zh-CN"/>
        </w:rPr>
        <w:t>10附件、附图</w:t>
      </w:r>
    </w:p>
    <w:p>
      <w:pPr>
        <w:pStyle w:val="23"/>
        <w:ind w:firstLine="420" w:firstLineChars="0"/>
        <w:rPr>
          <w:rFonts w:hint="default"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 xml:space="preserve">附件1 </w:t>
      </w:r>
      <w:r>
        <w:rPr>
          <w:rFonts w:hint="default" w:ascii="Times New Roman" w:hAnsi="Times New Roman" w:eastAsia="宋体" w:cs="Times New Roman"/>
          <w:color w:val="auto"/>
          <w:kern w:val="2"/>
          <w:sz w:val="24"/>
          <w:szCs w:val="28"/>
          <w:lang w:val="en-US" w:eastAsia="zh-CN" w:bidi="ar-SA"/>
        </w:rPr>
        <w:t>环评委托书</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 xml:space="preserve">附件2 </w:t>
      </w:r>
      <w:r>
        <w:rPr>
          <w:rFonts w:hint="eastAsia" w:ascii="Times New Roman" w:eastAsia="宋体"/>
          <w:color w:val="auto"/>
          <w:szCs w:val="24"/>
        </w:rPr>
        <w:t>岳阳湘佳牧业有限公司</w:t>
      </w:r>
      <w:r>
        <w:rPr>
          <w:rFonts w:hint="eastAsia" w:ascii="Times New Roman" w:hAnsi="Times New Roman" w:eastAsia="宋体" w:cs="Times New Roman"/>
          <w:color w:val="auto"/>
          <w:kern w:val="2"/>
          <w:sz w:val="24"/>
          <w:szCs w:val="28"/>
          <w:lang w:val="en-US" w:eastAsia="zh-CN" w:bidi="ar-SA"/>
        </w:rPr>
        <w:t>营业执照</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附件3 企业投资项目备案证明</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附件4 设施农用地备案申请表</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附件5 选址联合审批备案申请表</w:t>
      </w:r>
    </w:p>
    <w:p>
      <w:pPr>
        <w:pStyle w:val="23"/>
        <w:ind w:firstLine="420" w:firstLineChars="0"/>
        <w:rPr>
          <w:rFonts w:hint="eastAsia" w:ascii="Times New Roman" w:hAnsi="Times New Roman" w:eastAsia="宋体" w:cs="Times New Roman"/>
          <w:color w:val="auto"/>
          <w:kern w:val="2"/>
          <w:sz w:val="24"/>
          <w:szCs w:val="28"/>
          <w:lang w:val="en-US" w:eastAsia="zh-CN" w:bidi="ar-SA"/>
        </w:rPr>
      </w:pPr>
      <w:bookmarkStart w:id="14" w:name="_Toc5461"/>
      <w:r>
        <w:rPr>
          <w:rFonts w:hint="eastAsia" w:ascii="Times New Roman" w:hAnsi="Times New Roman" w:eastAsia="宋体" w:cs="Times New Roman"/>
          <w:color w:val="auto"/>
          <w:kern w:val="2"/>
          <w:sz w:val="24"/>
          <w:szCs w:val="28"/>
          <w:lang w:val="en-US" w:eastAsia="zh-CN" w:bidi="ar-SA"/>
        </w:rPr>
        <w:t>附件6 土地承包合同</w:t>
      </w:r>
      <w:bookmarkEnd w:id="14"/>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w:t>
      </w:r>
      <w:r>
        <w:rPr>
          <w:rFonts w:hint="eastAsia" w:ascii="Times New Roman" w:eastAsia="宋体" w:cs="Times New Roman"/>
          <w:color w:val="auto"/>
          <w:kern w:val="2"/>
          <w:sz w:val="24"/>
          <w:szCs w:val="28"/>
          <w:lang w:val="en-US" w:eastAsia="zh-CN" w:bidi="ar-SA"/>
        </w:rPr>
        <w:t>7土地租赁合同书</w:t>
      </w:r>
    </w:p>
    <w:p>
      <w:pPr>
        <w:pStyle w:val="23"/>
        <w:ind w:firstLine="420" w:firstLineChars="0"/>
        <w:rPr>
          <w:rFonts w:hint="default" w:ascii="Times New Roman" w:hAnsi="Times New Roman" w:eastAsia="宋体" w:cs="Times New Roman"/>
          <w:color w:val="auto"/>
          <w:kern w:val="2"/>
          <w:sz w:val="24"/>
          <w:szCs w:val="28"/>
          <w:lang w:val="en-US" w:eastAsia="zh-CN" w:bidi="ar-SA"/>
        </w:rPr>
      </w:pPr>
      <w:bookmarkStart w:id="15" w:name="_Toc27341"/>
      <w:bookmarkStart w:id="16" w:name="_Toc23299"/>
      <w:bookmarkStart w:id="17" w:name="_Toc11978"/>
      <w:r>
        <w:rPr>
          <w:rFonts w:hint="eastAsia" w:ascii="Times New Roman" w:hAnsi="Times New Roman" w:eastAsia="宋体" w:cs="Times New Roman"/>
          <w:color w:val="auto"/>
          <w:kern w:val="2"/>
          <w:sz w:val="24"/>
          <w:szCs w:val="28"/>
          <w:lang w:val="en-US" w:eastAsia="zh-CN" w:bidi="ar-SA"/>
        </w:rPr>
        <w:t>附件</w:t>
      </w:r>
      <w:r>
        <w:rPr>
          <w:rFonts w:hint="eastAsia" w:ascii="Times New Roman" w:eastAsia="宋体" w:cs="Times New Roman"/>
          <w:color w:val="auto"/>
          <w:kern w:val="2"/>
          <w:sz w:val="24"/>
          <w:szCs w:val="28"/>
          <w:lang w:val="en-US" w:eastAsia="zh-CN" w:bidi="ar-SA"/>
        </w:rPr>
        <w:t>8</w:t>
      </w:r>
      <w:r>
        <w:rPr>
          <w:rFonts w:hint="eastAsia" w:ascii="Times New Roman" w:hAnsi="Times New Roman" w:eastAsia="宋体" w:cs="Times New Roman"/>
          <w:color w:val="auto"/>
          <w:kern w:val="2"/>
          <w:sz w:val="24"/>
          <w:szCs w:val="28"/>
          <w:lang w:val="en-US" w:eastAsia="zh-CN" w:bidi="ar-SA"/>
        </w:rPr>
        <w:t xml:space="preserve"> 生物质成分分析单</w:t>
      </w:r>
      <w:bookmarkEnd w:id="15"/>
      <w:bookmarkEnd w:id="16"/>
      <w:bookmarkEnd w:id="17"/>
    </w:p>
    <w:p>
      <w:pPr>
        <w:pStyle w:val="23"/>
        <w:ind w:firstLine="420" w:firstLineChars="0"/>
        <w:rPr>
          <w:rFonts w:hint="default"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w:t>
      </w:r>
      <w:r>
        <w:rPr>
          <w:rFonts w:hint="eastAsia" w:ascii="Times New Roman" w:eastAsia="宋体" w:cs="Times New Roman"/>
          <w:color w:val="auto"/>
          <w:kern w:val="2"/>
          <w:sz w:val="24"/>
          <w:szCs w:val="28"/>
          <w:lang w:val="en-US" w:eastAsia="zh-CN" w:bidi="ar-SA"/>
        </w:rPr>
        <w:t>9</w:t>
      </w:r>
      <w:r>
        <w:rPr>
          <w:rFonts w:hint="eastAsia" w:ascii="Times New Roman" w:hAnsi="Times New Roman" w:eastAsia="宋体" w:cs="Times New Roman"/>
          <w:color w:val="auto"/>
          <w:kern w:val="2"/>
          <w:sz w:val="24"/>
          <w:szCs w:val="28"/>
          <w:lang w:val="en-US" w:eastAsia="zh-CN" w:bidi="ar-SA"/>
        </w:rPr>
        <w:t xml:space="preserve"> 鸡粪购销协议</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w:t>
      </w:r>
      <w:r>
        <w:rPr>
          <w:rFonts w:hint="eastAsia" w:ascii="Times New Roman" w:eastAsia="宋体" w:cs="Times New Roman"/>
          <w:color w:val="auto"/>
          <w:kern w:val="2"/>
          <w:sz w:val="24"/>
          <w:szCs w:val="28"/>
          <w:lang w:val="en-US" w:eastAsia="zh-CN" w:bidi="ar-SA"/>
        </w:rPr>
        <w:t>10</w:t>
      </w:r>
      <w:r>
        <w:rPr>
          <w:rFonts w:hint="eastAsia" w:ascii="Times New Roman" w:hAnsi="Times New Roman" w:eastAsia="宋体" w:cs="Times New Roman"/>
          <w:color w:val="auto"/>
          <w:kern w:val="2"/>
          <w:sz w:val="24"/>
          <w:szCs w:val="28"/>
          <w:lang w:val="en-US" w:eastAsia="zh-CN" w:bidi="ar-SA"/>
        </w:rPr>
        <w:t xml:space="preserve"> 废水运输协议</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附件1</w:t>
      </w:r>
      <w:r>
        <w:rPr>
          <w:rFonts w:hint="eastAsia" w:ascii="Times New Roman" w:eastAsia="宋体" w:cs="Times New Roman"/>
          <w:color w:val="auto"/>
          <w:kern w:val="2"/>
          <w:sz w:val="24"/>
          <w:szCs w:val="28"/>
          <w:lang w:val="en-US" w:eastAsia="zh-CN" w:bidi="ar-SA"/>
        </w:rPr>
        <w:t>1</w:t>
      </w:r>
      <w:r>
        <w:rPr>
          <w:rFonts w:hint="eastAsia" w:ascii="Times New Roman" w:hAnsi="Times New Roman" w:eastAsia="宋体" w:cs="Times New Roman"/>
          <w:color w:val="auto"/>
          <w:kern w:val="2"/>
          <w:sz w:val="24"/>
          <w:szCs w:val="28"/>
          <w:lang w:val="en-US" w:eastAsia="zh-CN" w:bidi="ar-SA"/>
        </w:rPr>
        <w:t xml:space="preserve"> 现状检测报告</w:t>
      </w:r>
    </w:p>
    <w:p>
      <w:pPr>
        <w:pStyle w:val="23"/>
        <w:ind w:firstLine="420" w:firstLineChars="0"/>
        <w:rPr>
          <w:rFonts w:hint="default"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附件1</w:t>
      </w:r>
      <w:r>
        <w:rPr>
          <w:rFonts w:hint="eastAsia" w:ascii="Times New Roman" w:eastAsia="宋体" w:cs="Times New Roman"/>
          <w:color w:val="auto"/>
          <w:kern w:val="2"/>
          <w:sz w:val="24"/>
          <w:szCs w:val="28"/>
          <w:lang w:val="en-US" w:eastAsia="zh-CN" w:bidi="ar-SA"/>
        </w:rPr>
        <w:t>2</w:t>
      </w:r>
      <w:r>
        <w:rPr>
          <w:rFonts w:hint="eastAsia" w:ascii="Times New Roman" w:hAnsi="Times New Roman" w:eastAsia="宋体" w:cs="Times New Roman"/>
          <w:color w:val="auto"/>
          <w:kern w:val="2"/>
          <w:sz w:val="24"/>
          <w:szCs w:val="28"/>
          <w:lang w:val="en-US" w:eastAsia="zh-CN" w:bidi="ar-SA"/>
        </w:rPr>
        <w:t xml:space="preserve"> 新华养殖场环评批复</w:t>
      </w:r>
      <w:r>
        <w:rPr>
          <w:rFonts w:hint="eastAsia" w:ascii="Times New Roman" w:eastAsia="宋体" w:cs="Times New Roman"/>
          <w:color w:val="auto"/>
          <w:kern w:val="2"/>
          <w:sz w:val="24"/>
          <w:szCs w:val="28"/>
          <w:lang w:val="en-US" w:eastAsia="zh-CN" w:bidi="ar-SA"/>
        </w:rPr>
        <w:t>和竣工验收备案表</w:t>
      </w:r>
    </w:p>
    <w:p>
      <w:pPr>
        <w:pStyle w:val="23"/>
        <w:ind w:firstLine="420" w:firstLineChars="0"/>
        <w:rPr>
          <w:rFonts w:hint="default"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附件1</w:t>
      </w:r>
      <w:r>
        <w:rPr>
          <w:rFonts w:hint="eastAsia" w:ascii="Times New Roman" w:eastAsia="宋体" w:cs="Times New Roman"/>
          <w:color w:val="auto"/>
          <w:kern w:val="2"/>
          <w:sz w:val="24"/>
          <w:szCs w:val="28"/>
          <w:lang w:val="en-US" w:eastAsia="zh-CN" w:bidi="ar-SA"/>
        </w:rPr>
        <w:t>3</w:t>
      </w:r>
      <w:r>
        <w:rPr>
          <w:rFonts w:hint="eastAsia" w:ascii="Times New Roman" w:hAnsi="Times New Roman" w:eastAsia="宋体" w:cs="Times New Roman"/>
          <w:color w:val="auto"/>
          <w:kern w:val="2"/>
          <w:sz w:val="24"/>
          <w:szCs w:val="28"/>
          <w:lang w:val="en-US" w:eastAsia="zh-CN" w:bidi="ar-SA"/>
        </w:rPr>
        <w:t>新华养殖场</w:t>
      </w:r>
      <w:r>
        <w:rPr>
          <w:rFonts w:hint="eastAsia" w:ascii="Times New Roman" w:eastAsia="宋体" w:cs="Times New Roman"/>
          <w:color w:val="auto"/>
          <w:kern w:val="2"/>
          <w:sz w:val="24"/>
          <w:szCs w:val="28"/>
          <w:lang w:val="en-US" w:eastAsia="zh-CN" w:bidi="ar-SA"/>
        </w:rPr>
        <w:t>和前进养殖场</w:t>
      </w:r>
      <w:r>
        <w:rPr>
          <w:rFonts w:hint="eastAsia" w:ascii="Times New Roman" w:hAnsi="Times New Roman" w:eastAsia="宋体" w:cs="Times New Roman"/>
          <w:color w:val="auto"/>
          <w:kern w:val="2"/>
          <w:sz w:val="24"/>
          <w:szCs w:val="28"/>
          <w:lang w:val="en-US" w:eastAsia="zh-CN" w:bidi="ar-SA"/>
        </w:rPr>
        <w:t>日常检测报告</w:t>
      </w:r>
      <w:r>
        <w:rPr>
          <w:rFonts w:hint="eastAsia" w:ascii="Times New Roman" w:eastAsia="宋体" w:cs="Times New Roman"/>
          <w:color w:val="auto"/>
          <w:kern w:val="2"/>
          <w:sz w:val="24"/>
          <w:szCs w:val="28"/>
          <w:lang w:val="en-US" w:eastAsia="zh-CN" w:bidi="ar-SA"/>
        </w:rPr>
        <w:t>和补充检测</w:t>
      </w:r>
    </w:p>
    <w:p>
      <w:pPr>
        <w:pStyle w:val="23"/>
        <w:ind w:firstLine="420" w:firstLineChars="0"/>
        <w:rPr>
          <w:rFonts w:hint="default"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附件1</w:t>
      </w:r>
      <w:r>
        <w:rPr>
          <w:rFonts w:hint="eastAsia" w:ascii="Times New Roman" w:eastAsia="宋体" w:cs="Times New Roman"/>
          <w:color w:val="auto"/>
          <w:kern w:val="2"/>
          <w:sz w:val="24"/>
          <w:szCs w:val="28"/>
          <w:lang w:val="en-US" w:eastAsia="zh-CN" w:bidi="ar-SA"/>
        </w:rPr>
        <w:t>4</w:t>
      </w:r>
      <w:r>
        <w:rPr>
          <w:rFonts w:hint="eastAsia" w:ascii="Times New Roman" w:hAnsi="Times New Roman" w:eastAsia="宋体" w:cs="Times New Roman"/>
          <w:color w:val="auto"/>
          <w:kern w:val="2"/>
          <w:sz w:val="24"/>
          <w:szCs w:val="28"/>
          <w:lang w:val="en-US" w:eastAsia="zh-CN" w:bidi="ar-SA"/>
        </w:rPr>
        <w:t xml:space="preserve"> </w:t>
      </w:r>
      <w:r>
        <w:rPr>
          <w:rFonts w:hint="eastAsia" w:ascii="Times New Roman" w:eastAsia="宋体" w:cs="Times New Roman"/>
          <w:color w:val="auto"/>
          <w:kern w:val="2"/>
          <w:sz w:val="24"/>
          <w:szCs w:val="28"/>
          <w:lang w:val="en-US" w:eastAsia="zh-CN" w:bidi="ar-SA"/>
        </w:rPr>
        <w:t>新华养殖场竣工环保验收备案表</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eastAsia="宋体" w:cs="Times New Roman"/>
          <w:color w:val="auto"/>
          <w:kern w:val="2"/>
          <w:sz w:val="24"/>
          <w:szCs w:val="28"/>
          <w:lang w:val="en-US" w:eastAsia="zh-CN" w:bidi="ar-SA"/>
        </w:rPr>
        <w:t xml:space="preserve">附件15 </w:t>
      </w:r>
      <w:r>
        <w:rPr>
          <w:rFonts w:hint="eastAsia" w:ascii="Times New Roman" w:hAnsi="Times New Roman" w:eastAsia="宋体" w:cs="Times New Roman"/>
          <w:color w:val="auto"/>
          <w:kern w:val="2"/>
          <w:sz w:val="24"/>
          <w:szCs w:val="28"/>
          <w:lang w:val="en-US" w:eastAsia="zh-CN" w:bidi="ar-SA"/>
        </w:rPr>
        <w:t>关于新华养殖场污水处理站情况说明</w:t>
      </w:r>
    </w:p>
    <w:p>
      <w:pPr>
        <w:pStyle w:val="23"/>
        <w:ind w:firstLine="420" w:firstLineChars="0"/>
        <w:rPr>
          <w:rFonts w:hint="eastAsia" w:asci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附件1</w:t>
      </w:r>
      <w:r>
        <w:rPr>
          <w:rFonts w:hint="eastAsia" w:ascii="Times New Roman" w:eastAsia="宋体" w:cs="Times New Roman"/>
          <w:color w:val="auto"/>
          <w:kern w:val="2"/>
          <w:sz w:val="24"/>
          <w:szCs w:val="28"/>
          <w:lang w:val="en-US" w:eastAsia="zh-CN" w:bidi="ar-SA"/>
        </w:rPr>
        <w:t>6</w:t>
      </w:r>
      <w:r>
        <w:rPr>
          <w:rFonts w:hint="eastAsia" w:ascii="Times New Roman" w:hAnsi="Times New Roman" w:eastAsia="宋体" w:cs="Times New Roman"/>
          <w:color w:val="auto"/>
          <w:kern w:val="2"/>
          <w:sz w:val="24"/>
          <w:szCs w:val="28"/>
          <w:lang w:val="en-US" w:eastAsia="zh-CN" w:bidi="ar-SA"/>
        </w:rPr>
        <w:t xml:space="preserve"> 执行标准函</w:t>
      </w:r>
      <w:bookmarkStart w:id="18" w:name="_Toc4612"/>
      <w:r>
        <w:rPr>
          <w:rFonts w:hint="eastAsia" w:ascii="Times New Roman" w:eastAsia="宋体" w:cs="Times New Roman"/>
          <w:color w:val="auto"/>
          <w:kern w:val="2"/>
          <w:sz w:val="24"/>
          <w:szCs w:val="28"/>
          <w:lang w:val="en-US" w:eastAsia="zh-CN" w:bidi="ar-SA"/>
        </w:rPr>
        <w:t>和专家意见</w:t>
      </w:r>
    </w:p>
    <w:p>
      <w:pPr>
        <w:rPr>
          <w:rFonts w:hint="default"/>
          <w:lang w:val="en-US" w:eastAsia="zh-CN"/>
        </w:rPr>
      </w:pP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 xml:space="preserve">附图1 </w:t>
      </w:r>
      <w:bookmarkEnd w:id="18"/>
      <w:r>
        <w:rPr>
          <w:rFonts w:hint="default" w:ascii="Times New Roman" w:hAnsi="Times New Roman" w:eastAsia="宋体" w:cs="Times New Roman"/>
          <w:color w:val="auto"/>
          <w:kern w:val="2"/>
          <w:sz w:val="24"/>
          <w:szCs w:val="28"/>
          <w:lang w:val="en-US" w:eastAsia="zh-CN" w:bidi="ar-SA"/>
        </w:rPr>
        <w:t>项目地理位置</w:t>
      </w:r>
      <w:r>
        <w:rPr>
          <w:rFonts w:hint="eastAsia" w:ascii="Times New Roman" w:hAnsi="Times New Roman" w:eastAsia="宋体" w:cs="Times New Roman"/>
          <w:color w:val="auto"/>
          <w:kern w:val="2"/>
          <w:sz w:val="24"/>
          <w:szCs w:val="28"/>
          <w:lang w:val="en-US" w:eastAsia="zh-CN" w:bidi="ar-SA"/>
        </w:rPr>
        <w:t>图</w:t>
      </w:r>
    </w:p>
    <w:p>
      <w:pPr>
        <w:pStyle w:val="23"/>
        <w:ind w:firstLine="420" w:firstLineChars="0"/>
        <w:rPr>
          <w:rFonts w:hint="eastAsia" w:ascii="Times New Roman" w:hAnsi="Times New Roman" w:eastAsia="宋体" w:cs="Times New Roman"/>
          <w:color w:val="auto"/>
          <w:kern w:val="2"/>
          <w:sz w:val="24"/>
          <w:szCs w:val="28"/>
          <w:lang w:val="en-US" w:eastAsia="zh-CN" w:bidi="ar-SA"/>
        </w:rPr>
      </w:pPr>
      <w:bookmarkStart w:id="19" w:name="_Toc9694"/>
      <w:r>
        <w:rPr>
          <w:rFonts w:hint="eastAsia" w:ascii="Times New Roman" w:hAnsi="Times New Roman" w:eastAsia="宋体" w:cs="Times New Roman"/>
          <w:color w:val="auto"/>
          <w:kern w:val="2"/>
          <w:sz w:val="24"/>
          <w:szCs w:val="28"/>
          <w:lang w:val="en-US" w:eastAsia="zh-CN" w:bidi="ar-SA"/>
        </w:rPr>
        <w:t xml:space="preserve">附图2 </w:t>
      </w:r>
      <w:bookmarkEnd w:id="19"/>
      <w:r>
        <w:rPr>
          <w:rFonts w:hint="eastAsia" w:ascii="Times New Roman" w:hAnsi="Times New Roman" w:eastAsia="宋体" w:cs="Times New Roman"/>
          <w:color w:val="auto"/>
          <w:kern w:val="2"/>
          <w:sz w:val="24"/>
          <w:szCs w:val="28"/>
          <w:lang w:val="en-US" w:eastAsia="zh-CN" w:bidi="ar-SA"/>
        </w:rPr>
        <w:t>项目总平面布置示意图</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附图3 环境敏感目标分布示意</w:t>
      </w:r>
    </w:p>
    <w:p>
      <w:pPr>
        <w:pStyle w:val="23"/>
        <w:ind w:firstLine="420" w:firstLineChars="0"/>
        <w:rPr>
          <w:rFonts w:hint="default"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附图4 分区防渗示意</w:t>
      </w:r>
      <w:r>
        <w:rPr>
          <w:rFonts w:hint="default" w:ascii="Times New Roman" w:hAnsi="Times New Roman" w:eastAsia="宋体" w:cs="Times New Roman"/>
          <w:color w:val="auto"/>
          <w:kern w:val="2"/>
          <w:sz w:val="24"/>
          <w:szCs w:val="28"/>
          <w:lang w:val="en-US" w:eastAsia="zh-CN" w:bidi="ar-SA"/>
        </w:rPr>
        <w:t>图</w:t>
      </w:r>
    </w:p>
    <w:p>
      <w:pPr>
        <w:pStyle w:val="23"/>
        <w:ind w:firstLine="420" w:firstLineChars="0"/>
        <w:rPr>
          <w:rFonts w:hint="eastAsia"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w:t>
      </w:r>
      <w:r>
        <w:rPr>
          <w:rFonts w:hint="default" w:ascii="Times New Roman" w:hAnsi="Times New Roman" w:eastAsia="宋体" w:cs="Times New Roman"/>
          <w:color w:val="auto"/>
          <w:kern w:val="2"/>
          <w:sz w:val="24"/>
          <w:szCs w:val="28"/>
          <w:lang w:val="en-US" w:eastAsia="zh-CN" w:bidi="ar-SA"/>
        </w:rPr>
        <w:t>图</w:t>
      </w:r>
      <w:r>
        <w:rPr>
          <w:rFonts w:hint="eastAsia" w:ascii="Times New Roman" w:hAnsi="Times New Roman" w:eastAsia="宋体" w:cs="Times New Roman"/>
          <w:color w:val="auto"/>
          <w:kern w:val="2"/>
          <w:sz w:val="24"/>
          <w:szCs w:val="28"/>
          <w:lang w:val="en-US" w:eastAsia="zh-CN" w:bidi="ar-SA"/>
        </w:rPr>
        <w:t>5</w:t>
      </w:r>
      <w:r>
        <w:rPr>
          <w:rFonts w:hint="default" w:ascii="Times New Roman" w:hAnsi="Times New Roman" w:eastAsia="宋体" w:cs="Times New Roman"/>
          <w:color w:val="auto"/>
          <w:kern w:val="2"/>
          <w:sz w:val="24"/>
          <w:szCs w:val="28"/>
          <w:lang w:val="en-US" w:eastAsia="zh-CN" w:bidi="ar-SA"/>
        </w:rPr>
        <w:t xml:space="preserve"> </w:t>
      </w:r>
      <w:r>
        <w:rPr>
          <w:rFonts w:hint="eastAsia" w:ascii="Times New Roman" w:hAnsi="Times New Roman" w:eastAsia="宋体" w:cs="Times New Roman"/>
          <w:color w:val="auto"/>
          <w:kern w:val="2"/>
          <w:sz w:val="24"/>
          <w:szCs w:val="28"/>
          <w:lang w:val="en-US" w:eastAsia="zh-CN" w:bidi="ar-SA"/>
        </w:rPr>
        <w:t>岳阳市“三线一单”分区管控单元图</w:t>
      </w:r>
    </w:p>
    <w:p>
      <w:pPr>
        <w:pStyle w:val="23"/>
        <w:ind w:firstLine="420" w:firstLineChars="0"/>
        <w:rPr>
          <w:rFonts w:ascii="Times New Roman" w:eastAsia="宋体"/>
          <w:color w:val="auto"/>
          <w:szCs w:val="24"/>
        </w:rPr>
      </w:pPr>
      <w:r>
        <w:rPr>
          <w:rFonts w:hint="eastAsia" w:ascii="Times New Roman" w:hAnsi="Times New Roman" w:eastAsia="宋体" w:cs="Times New Roman"/>
          <w:color w:val="auto"/>
          <w:kern w:val="2"/>
          <w:sz w:val="24"/>
          <w:szCs w:val="28"/>
          <w:lang w:val="en-US" w:eastAsia="zh-CN" w:bidi="ar-SA"/>
        </w:rPr>
        <w:t>附</w:t>
      </w:r>
      <w:r>
        <w:rPr>
          <w:rFonts w:hint="default" w:ascii="Times New Roman" w:hAnsi="Times New Roman" w:eastAsia="宋体" w:cs="Times New Roman"/>
          <w:color w:val="auto"/>
          <w:kern w:val="2"/>
          <w:sz w:val="24"/>
          <w:szCs w:val="28"/>
          <w:lang w:val="en-US" w:eastAsia="zh-CN" w:bidi="ar-SA"/>
        </w:rPr>
        <w:t>图</w:t>
      </w:r>
      <w:r>
        <w:rPr>
          <w:rFonts w:hint="eastAsia" w:ascii="Times New Roman" w:hAnsi="Times New Roman" w:eastAsia="宋体" w:cs="Times New Roman"/>
          <w:color w:val="auto"/>
          <w:kern w:val="2"/>
          <w:sz w:val="24"/>
          <w:szCs w:val="28"/>
          <w:lang w:val="en-US" w:eastAsia="zh-CN" w:bidi="ar-SA"/>
        </w:rPr>
        <w:t>6</w:t>
      </w:r>
      <w:r>
        <w:rPr>
          <w:rFonts w:hint="default" w:ascii="Times New Roman" w:hAnsi="Times New Roman" w:eastAsia="宋体" w:cs="Times New Roman"/>
          <w:color w:val="auto"/>
          <w:kern w:val="2"/>
          <w:sz w:val="24"/>
          <w:szCs w:val="28"/>
          <w:lang w:val="en-US" w:eastAsia="zh-CN" w:bidi="ar-SA"/>
        </w:rPr>
        <w:t xml:space="preserve"> </w:t>
      </w:r>
      <w:r>
        <w:rPr>
          <w:rFonts w:hint="eastAsia" w:ascii="Times New Roman" w:hAnsi="Times New Roman" w:eastAsia="宋体" w:cs="Times New Roman"/>
          <w:color w:val="auto"/>
          <w:kern w:val="2"/>
          <w:sz w:val="24"/>
          <w:szCs w:val="28"/>
          <w:lang w:val="en-US" w:eastAsia="zh-CN" w:bidi="ar-SA"/>
        </w:rPr>
        <w:t>新华养殖场现场照片</w:t>
      </w:r>
    </w:p>
    <w:p>
      <w:pPr>
        <w:pStyle w:val="23"/>
        <w:ind w:firstLine="420" w:firstLineChars="0"/>
        <w:rPr>
          <w:rFonts w:hint="default" w:ascii="Times New Roman" w:hAnsi="Times New Roman" w:eastAsia="宋体" w:cs="Times New Roman"/>
          <w:color w:val="auto"/>
          <w:kern w:val="2"/>
          <w:sz w:val="24"/>
          <w:szCs w:val="28"/>
          <w:lang w:val="en-US" w:eastAsia="zh-CN" w:bidi="ar-SA"/>
        </w:rPr>
      </w:pPr>
      <w:r>
        <w:rPr>
          <w:rFonts w:hint="eastAsia" w:ascii="Times New Roman" w:hAnsi="Times New Roman" w:eastAsia="宋体" w:cs="Times New Roman"/>
          <w:color w:val="auto"/>
          <w:kern w:val="2"/>
          <w:sz w:val="24"/>
          <w:szCs w:val="28"/>
          <w:lang w:val="en-US" w:eastAsia="zh-CN" w:bidi="ar-SA"/>
        </w:rPr>
        <w:t>附图7 项目地四至图</w:t>
      </w:r>
      <w:bookmarkStart w:id="633" w:name="_GoBack"/>
      <w:bookmarkEnd w:id="633"/>
    </w:p>
    <w:p>
      <w:pPr>
        <w:pStyle w:val="2"/>
        <w:keepNext w:val="0"/>
        <w:keepLines w:val="0"/>
        <w:pageBreakBefore/>
        <w:numPr>
          <w:ilvl w:val="0"/>
          <w:numId w:val="0"/>
        </w:numPr>
        <w:tabs>
          <w:tab w:val="clear" w:pos="432"/>
        </w:tabs>
        <w:snapToGrid w:val="0"/>
        <w:spacing w:before="0" w:after="0" w:line="360" w:lineRule="auto"/>
        <w:ind w:left="432" w:hanging="432"/>
        <w:jc w:val="both"/>
        <w:rPr>
          <w:rFonts w:ascii="Times New Roman" w:eastAsia="宋体"/>
          <w:color w:val="auto"/>
          <w:szCs w:val="32"/>
        </w:rPr>
      </w:pPr>
      <w:bookmarkStart w:id="20" w:name="_Toc10756"/>
      <w:bookmarkStart w:id="21" w:name="_Toc1041"/>
      <w:bookmarkStart w:id="22" w:name="_Toc26464"/>
      <w:bookmarkStart w:id="23" w:name="_Toc2392"/>
      <w:bookmarkStart w:id="24" w:name="_Toc397698012"/>
      <w:r>
        <w:rPr>
          <w:rFonts w:hint="eastAsia" w:ascii="Times New Roman" w:eastAsia="宋体"/>
          <w:color w:val="auto"/>
          <w:szCs w:val="32"/>
        </w:rPr>
        <w:t>1</w:t>
      </w:r>
      <w:r>
        <w:rPr>
          <w:rFonts w:ascii="Times New Roman" w:eastAsia="宋体"/>
          <w:color w:val="auto"/>
          <w:szCs w:val="32"/>
        </w:rPr>
        <w:t>概述</w:t>
      </w:r>
      <w:bookmarkEnd w:id="20"/>
      <w:bookmarkEnd w:id="21"/>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25" w:name="_Toc2856"/>
      <w:bookmarkStart w:id="26" w:name="_Toc30461"/>
      <w:bookmarkStart w:id="27" w:name="_Toc25347"/>
      <w:bookmarkStart w:id="28" w:name="_Toc1533"/>
      <w:r>
        <w:rPr>
          <w:rFonts w:ascii="Times New Roman" w:hAnsi="Times New Roman" w:eastAsia="宋体"/>
          <w:color w:val="auto"/>
          <w:kern w:val="2"/>
          <w:sz w:val="28"/>
          <w:szCs w:val="28"/>
        </w:rPr>
        <w:t>1.1项目特点</w:t>
      </w:r>
      <w:bookmarkEnd w:id="25"/>
      <w:bookmarkEnd w:id="26"/>
      <w:bookmarkEnd w:id="27"/>
      <w:bookmarkEnd w:id="28"/>
    </w:p>
    <w:p>
      <w:pPr>
        <w:spacing w:line="360" w:lineRule="auto"/>
        <w:ind w:firstLine="480" w:firstLineChars="200"/>
        <w:rPr>
          <w:rFonts w:ascii="Times New Roman" w:eastAsia="宋体"/>
          <w:color w:val="auto"/>
          <w:szCs w:val="24"/>
        </w:rPr>
      </w:pPr>
      <w:r>
        <w:rPr>
          <w:rFonts w:hint="eastAsia" w:ascii="Times New Roman" w:eastAsia="宋体"/>
          <w:color w:val="auto"/>
          <w:szCs w:val="24"/>
        </w:rPr>
        <w:t>岳阳湘佳牧业有限公司成立于2013年9月，位于岳阳市岳阳县台湾农民创业园，占地面积138亩，现有固定资产2.2亿元，是一家“公司+基地+农户”的家禽养殖企业，具有饲料加工、商品鸡饲养、销售、技术服务为一体的一条龙的产业链功能，是岳阳市最大的家禽养殖企业之一，被湖南省人民政府授予“省级龙头企业”。产品规模为：1、年生产优质畜禽饲料20万吨，位于岳阳县台湾农民创业园，</w:t>
      </w:r>
      <w:r>
        <w:rPr>
          <w:rFonts w:hint="eastAsia" w:ascii="Times New Roman" w:eastAsia="宋体"/>
          <w:color w:val="auto"/>
          <w:szCs w:val="24"/>
          <w:lang w:val="en-US" w:eastAsia="zh-CN"/>
        </w:rPr>
        <w:t>于</w:t>
      </w:r>
      <w:r>
        <w:rPr>
          <w:rFonts w:hint="eastAsia" w:ascii="Times New Roman" w:eastAsia="宋体"/>
          <w:color w:val="auto"/>
          <w:szCs w:val="24"/>
        </w:rPr>
        <w:t>2015年11月竣工投产；2、拥有湘阴县高山、楠竹山、岳阳县常山、新华、前进全自动标准化养殖基地五个，年出栏商品家禽1500万羽左右；3、现有养殖专业户 400余户；4、自强肉鸽养殖场正在建设中。公司家禽养殖、销售辐射面广，养殖覆盖了岳阳县和湘阴县；产品畅销本省岳阳、长沙、株洲、益阳、衡阳、邵阳等县市，并远销广东、广西、河南、河北、湖北、江西、贵州、安徽、重庆等10多个省、市(自治区)。</w:t>
      </w:r>
    </w:p>
    <w:p>
      <w:pPr>
        <w:spacing w:line="360" w:lineRule="auto"/>
        <w:ind w:firstLine="480" w:firstLineChars="200"/>
        <w:rPr>
          <w:rFonts w:ascii="Times New Roman" w:eastAsia="宋体"/>
          <w:color w:val="auto"/>
          <w:szCs w:val="24"/>
        </w:rPr>
      </w:pPr>
      <w:r>
        <w:rPr>
          <w:rFonts w:hint="eastAsia" w:ascii="Times New Roman" w:eastAsia="宋体"/>
          <w:color w:val="auto"/>
          <w:szCs w:val="24"/>
        </w:rPr>
        <w:t>为扩大养殖规模，公司拟在岳阳县新墙镇新华村桃源片新建一个标准化养殖基地，主要从事肉鸡养殖，占地面积约</w:t>
      </w:r>
      <w:r>
        <w:rPr>
          <w:rFonts w:hint="eastAsia" w:ascii="Times New Roman" w:eastAsia="宋体"/>
          <w:color w:val="auto"/>
          <w:szCs w:val="24"/>
          <w:lang w:val="en-US" w:eastAsia="zh-CN"/>
        </w:rPr>
        <w:t>65.8</w:t>
      </w:r>
      <w:r>
        <w:rPr>
          <w:rFonts w:hint="eastAsia" w:ascii="Times New Roman" w:eastAsia="宋体"/>
          <w:color w:val="auto"/>
          <w:szCs w:val="24"/>
        </w:rPr>
        <w:t>亩，投资总额4000万元，年出栏肉鸡100万羽。建设内容包括鸡舍10栋，配套生活区、变电房、库房等，投产后年产值约2000万元。</w:t>
      </w:r>
    </w:p>
    <w:p>
      <w:pPr>
        <w:spacing w:line="360" w:lineRule="auto"/>
        <w:ind w:firstLine="480" w:firstLineChars="200"/>
        <w:rPr>
          <w:rFonts w:ascii="Times New Roman" w:eastAsia="宋体"/>
          <w:color w:val="auto"/>
          <w:szCs w:val="24"/>
        </w:rPr>
      </w:pPr>
      <w:r>
        <w:rPr>
          <w:rFonts w:hint="eastAsia" w:ascii="Times New Roman" w:eastAsia="宋体"/>
          <w:color w:val="auto"/>
          <w:szCs w:val="24"/>
        </w:rPr>
        <w:t>岳阳湘佳牧业有限公司桃源养殖场建设项目位于岳阳县新墙镇新华村桃源片，依托岳阳湘佳牧业有限公司自身优势，由湖南湘佳牧业股份有限公司提供鸡苗，饲料来源于岳阳湘佳牧业有限公司台创园饲料生产线。项目采用先进的标准化健康养殖模式，向市场提供无公害、高品质肉鸡,满足人们对绿色营养肉鸡的消费需求。因此，实施本项目对当地肉鸡养殖领域具有示范意义和带动作用，同时也能更好的带动当地农民致富。</w:t>
      </w:r>
    </w:p>
    <w:p>
      <w:pPr>
        <w:spacing w:line="360" w:lineRule="auto"/>
        <w:ind w:firstLine="480" w:firstLineChars="200"/>
        <w:rPr>
          <w:rFonts w:ascii="Times New Roman" w:eastAsia="宋体"/>
          <w:color w:val="auto"/>
          <w:szCs w:val="24"/>
        </w:rPr>
      </w:pPr>
      <w:r>
        <w:rPr>
          <w:rFonts w:hint="eastAsia" w:ascii="Times New Roman" w:eastAsia="宋体"/>
          <w:color w:val="auto"/>
          <w:szCs w:val="24"/>
        </w:rPr>
        <w:t>项目肉鸡养殖采用三层立体笼养，鸡舍温度、湿度、光照、换气、饮水、喂料、清粪等实行自动化管理,做到了品种优良化、养殖设施化、生产规范化、防疫制度化、粪污无害化。</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29" w:name="_Toc18049"/>
      <w:bookmarkStart w:id="30" w:name="_Toc20060"/>
      <w:r>
        <w:rPr>
          <w:rFonts w:hint="eastAsia" w:ascii="Times New Roman" w:hAnsi="Times New Roman" w:eastAsia="宋体"/>
          <w:color w:val="auto"/>
          <w:kern w:val="2"/>
          <w:sz w:val="28"/>
          <w:szCs w:val="28"/>
        </w:rPr>
        <w:t>1.2环境影响评价的工作过程</w:t>
      </w:r>
      <w:bookmarkEnd w:id="29"/>
      <w:bookmarkEnd w:id="30"/>
    </w:p>
    <w:p>
      <w:pPr>
        <w:spacing w:line="360" w:lineRule="auto"/>
        <w:ind w:firstLine="480" w:firstLineChars="200"/>
        <w:rPr>
          <w:rFonts w:ascii="Times New Roman" w:eastAsia="宋体"/>
          <w:b/>
          <w:bCs/>
          <w:color w:val="auto"/>
          <w:szCs w:val="24"/>
        </w:rPr>
        <w:sectPr>
          <w:headerReference r:id="rId4" w:type="default"/>
          <w:footerReference r:id="rId5" w:type="default"/>
          <w:pgSz w:w="11906" w:h="16838"/>
          <w:pgMar w:top="1440" w:right="1803" w:bottom="1440" w:left="1803" w:header="851" w:footer="992" w:gutter="0"/>
          <w:pgNumType w:fmt="decimal" w:start="1"/>
          <w:cols w:space="720" w:num="1"/>
          <w:docGrid w:linePitch="312" w:charSpace="0"/>
        </w:sectPr>
      </w:pPr>
      <w:r>
        <w:rPr>
          <w:rFonts w:hint="eastAsia" w:ascii="Times New Roman" w:eastAsia="宋体"/>
          <w:color w:val="auto"/>
          <w:szCs w:val="24"/>
        </w:rPr>
        <w:t>环境影响评价工作一般分为三个阶段，即调查分析个工作方案制定阶段，分析论证和预测评价阶段，环境影响报告书编制阶段，具体流程见下图。</w:t>
      </w:r>
    </w:p>
    <w:p>
      <w:pPr>
        <w:spacing w:line="360" w:lineRule="auto"/>
        <w:ind w:firstLine="480" w:firstLineChars="200"/>
        <w:jc w:val="center"/>
        <w:rPr>
          <w:rFonts w:ascii="Times New Roman" w:eastAsia="宋体"/>
          <w:b/>
          <w:bCs/>
          <w:color w:val="auto"/>
          <w:szCs w:val="24"/>
        </w:rPr>
      </w:pPr>
      <w:r>
        <w:rPr>
          <w:rFonts w:ascii="Times New Roman" w:eastAsia="宋体"/>
          <w:color w:val="auto"/>
        </w:rPr>
        <w:drawing>
          <wp:anchor distT="0" distB="0" distL="114300" distR="114300" simplePos="0" relativeHeight="251674624" behindDoc="1" locked="0" layoutInCell="1" allowOverlap="1">
            <wp:simplePos x="0" y="0"/>
            <wp:positionH relativeFrom="column">
              <wp:posOffset>8255</wp:posOffset>
            </wp:positionH>
            <wp:positionV relativeFrom="paragraph">
              <wp:posOffset>241300</wp:posOffset>
            </wp:positionV>
            <wp:extent cx="5295900" cy="7702550"/>
            <wp:effectExtent l="9525" t="9525" r="16510" b="17145"/>
            <wp:wrapNone/>
            <wp:docPr id="582"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图片 206"/>
                    <pic:cNvPicPr>
                      <a:picLocks noChangeAspect="1"/>
                    </pic:cNvPicPr>
                  </pic:nvPicPr>
                  <pic:blipFill>
                    <a:blip r:embed="rId15"/>
                    <a:stretch>
                      <a:fillRect/>
                    </a:stretch>
                  </pic:blipFill>
                  <pic:spPr>
                    <a:xfrm>
                      <a:off x="0" y="0"/>
                      <a:ext cx="5295900" cy="7702550"/>
                    </a:xfrm>
                    <a:prstGeom prst="rect">
                      <a:avLst/>
                    </a:prstGeom>
                    <a:noFill/>
                    <a:ln w="9525" cap="flat" cmpd="sng">
                      <a:solidFill>
                        <a:srgbClr val="000000"/>
                      </a:solidFill>
                      <a:prstDash val="solid"/>
                      <a:miter/>
                      <a:headEnd type="none" w="med" len="med"/>
                      <a:tailEnd type="none" w="med" len="med"/>
                    </a:ln>
                  </pic:spPr>
                </pic:pic>
              </a:graphicData>
            </a:graphic>
          </wp:anchor>
        </w:drawing>
      </w: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ind w:firstLine="482" w:firstLineChars="200"/>
        <w:jc w:val="center"/>
        <w:rPr>
          <w:rFonts w:ascii="Times New Roman" w:eastAsia="宋体"/>
          <w:b/>
          <w:bCs/>
          <w:color w:val="auto"/>
          <w:szCs w:val="24"/>
        </w:rPr>
      </w:pPr>
    </w:p>
    <w:p>
      <w:pPr>
        <w:spacing w:line="360" w:lineRule="auto"/>
        <w:rPr>
          <w:rFonts w:ascii="Times New Roman" w:eastAsia="宋体"/>
          <w:b/>
          <w:bCs/>
          <w:color w:val="auto"/>
          <w:szCs w:val="24"/>
        </w:rPr>
      </w:pPr>
    </w:p>
    <w:p>
      <w:pPr>
        <w:spacing w:line="360" w:lineRule="auto"/>
        <w:ind w:firstLine="482" w:firstLineChars="200"/>
        <w:jc w:val="center"/>
        <w:rPr>
          <w:rFonts w:ascii="Times New Roman"/>
          <w:color w:val="auto"/>
        </w:rPr>
      </w:pPr>
      <w:r>
        <w:rPr>
          <w:rFonts w:ascii="Times New Roman" w:eastAsia="宋体"/>
          <w:b/>
          <w:bCs/>
          <w:color w:val="auto"/>
          <w:szCs w:val="24"/>
        </w:rPr>
        <w:t>图1.2</w:t>
      </w:r>
      <w:r>
        <w:rPr>
          <w:rFonts w:hint="eastAsia" w:ascii="Times New Roman" w:eastAsia="宋体"/>
          <w:b/>
          <w:bCs/>
          <w:color w:val="auto"/>
          <w:szCs w:val="24"/>
        </w:rPr>
        <w:t>-</w:t>
      </w:r>
      <w:r>
        <w:rPr>
          <w:rFonts w:ascii="Times New Roman" w:eastAsia="宋体"/>
          <w:b/>
          <w:bCs/>
          <w:color w:val="auto"/>
          <w:szCs w:val="24"/>
        </w:rPr>
        <w:t>1环境影响评价工作程序图</w:t>
      </w:r>
    </w:p>
    <w:p>
      <w:pPr>
        <w:spacing w:line="360" w:lineRule="auto"/>
        <w:ind w:firstLine="480" w:firstLineChars="200"/>
        <w:rPr>
          <w:rFonts w:ascii="Times New Roman" w:eastAsia="宋体"/>
          <w:color w:val="auto"/>
          <w:szCs w:val="24"/>
        </w:rPr>
      </w:pPr>
      <w:bookmarkStart w:id="31" w:name="_Toc17907"/>
    </w:p>
    <w:p>
      <w:pPr>
        <w:spacing w:line="360" w:lineRule="auto"/>
        <w:ind w:firstLine="480" w:firstLineChars="200"/>
        <w:rPr>
          <w:rFonts w:ascii="Times New Roman" w:eastAsia="宋体"/>
          <w:color w:val="auto"/>
          <w:szCs w:val="24"/>
        </w:rPr>
      </w:pPr>
      <w:r>
        <w:rPr>
          <w:rFonts w:ascii="Times New Roman" w:eastAsia="宋体"/>
          <w:color w:val="auto"/>
          <w:szCs w:val="24"/>
        </w:rPr>
        <w:t>根据《中华人民共和国环境影响评价法》（中华人民共和国主席令第48号，2016.9.1）和国务院第682号令《建设项目环境保护管理条例》等相关的法律法规的要求，该项目应进行环境影响评价。</w:t>
      </w:r>
      <w:r>
        <w:rPr>
          <w:rFonts w:hint="eastAsia" w:ascii="Times New Roman" w:eastAsia="宋体"/>
          <w:color w:val="auto"/>
          <w:szCs w:val="24"/>
        </w:rPr>
        <w:t>岳阳湘佳牧业有限公司</w:t>
      </w:r>
      <w:r>
        <w:rPr>
          <w:rFonts w:ascii="Times New Roman" w:eastAsia="宋体"/>
          <w:color w:val="auto"/>
          <w:szCs w:val="24"/>
        </w:rPr>
        <w:t>肉鸡养殖项目计划年出栏肉鸡</w:t>
      </w:r>
      <w:r>
        <w:rPr>
          <w:rFonts w:hint="eastAsia" w:ascii="Times New Roman" w:eastAsia="宋体"/>
          <w:color w:val="auto"/>
        </w:rPr>
        <w:t>100万</w:t>
      </w:r>
      <w:r>
        <w:rPr>
          <w:rFonts w:ascii="Times New Roman" w:eastAsia="宋体"/>
          <w:color w:val="auto"/>
          <w:szCs w:val="24"/>
        </w:rPr>
        <w:t>只，根据《畜禽养殖业污染物排放标准》</w:t>
      </w:r>
      <w:r>
        <w:rPr>
          <w:rFonts w:hint="eastAsia" w:ascii="Times New Roman" w:eastAsia="宋体"/>
          <w:color w:val="auto"/>
          <w:szCs w:val="24"/>
        </w:rPr>
        <w:t>（</w:t>
      </w:r>
      <w:r>
        <w:rPr>
          <w:rFonts w:ascii="Times New Roman" w:eastAsia="宋体"/>
          <w:color w:val="auto"/>
          <w:szCs w:val="24"/>
        </w:rPr>
        <w:t>GB 18596-2001</w:t>
      </w:r>
      <w:r>
        <w:rPr>
          <w:rFonts w:hint="eastAsia" w:ascii="Times New Roman" w:eastAsia="宋体"/>
          <w:color w:val="auto"/>
          <w:szCs w:val="24"/>
        </w:rPr>
        <w:t>）</w:t>
      </w:r>
      <w:r>
        <w:rPr>
          <w:rFonts w:ascii="Times New Roman" w:eastAsia="宋体"/>
          <w:color w:val="auto"/>
          <w:szCs w:val="24"/>
        </w:rPr>
        <w:t>1.2.2 中规定，60只肉鸡折算1头</w:t>
      </w:r>
      <w:r>
        <w:rPr>
          <w:rFonts w:hint="eastAsia" w:ascii="Times New Roman" w:eastAsia="宋体"/>
          <w:color w:val="auto"/>
          <w:szCs w:val="24"/>
        </w:rPr>
        <w:t>猪</w:t>
      </w:r>
      <w:r>
        <w:rPr>
          <w:rFonts w:ascii="Times New Roman" w:eastAsia="宋体"/>
          <w:color w:val="auto"/>
          <w:szCs w:val="24"/>
        </w:rPr>
        <w:t>，该项目折成</w:t>
      </w:r>
      <w:r>
        <w:rPr>
          <w:rFonts w:hint="eastAsia" w:ascii="Times New Roman" w:eastAsia="宋体"/>
          <w:color w:val="auto"/>
          <w:szCs w:val="24"/>
        </w:rPr>
        <w:t>生猪16667</w:t>
      </w:r>
      <w:r>
        <w:rPr>
          <w:rFonts w:ascii="Times New Roman" w:eastAsia="宋体"/>
          <w:color w:val="auto"/>
          <w:szCs w:val="24"/>
        </w:rPr>
        <w:t>头。依据《建设项目环境影响评价分类管理名录（2021年版）》，本项目属于“二、畜牧业”中“3、牲畜饲养；家禽饲养；其他畜牧业”中“年出栏生</w:t>
      </w:r>
      <w:r>
        <w:rPr>
          <w:rFonts w:hint="eastAsia" w:ascii="Times New Roman" w:eastAsia="宋体"/>
          <w:color w:val="auto"/>
          <w:szCs w:val="24"/>
        </w:rPr>
        <w:t>猪</w:t>
      </w:r>
      <w:r>
        <w:rPr>
          <w:rFonts w:ascii="Times New Roman" w:eastAsia="宋体"/>
          <w:color w:val="auto"/>
          <w:szCs w:val="24"/>
        </w:rPr>
        <w:t>5000头（其他畜禽种类折合</w:t>
      </w:r>
      <w:r>
        <w:rPr>
          <w:rFonts w:hint="eastAsia" w:ascii="Times New Roman" w:eastAsia="宋体"/>
          <w:color w:val="auto"/>
          <w:szCs w:val="24"/>
        </w:rPr>
        <w:t>猪</w:t>
      </w:r>
      <w:r>
        <w:rPr>
          <w:rFonts w:ascii="Times New Roman" w:eastAsia="宋体"/>
          <w:color w:val="auto"/>
          <w:szCs w:val="24"/>
        </w:rPr>
        <w:t>的养殖量）及以上的规模化畜禽养殖”，该项目应编制环境影响报告书。</w:t>
      </w:r>
    </w:p>
    <w:p>
      <w:pPr>
        <w:pStyle w:val="240"/>
        <w:ind w:firstLine="480" w:firstLineChars="200"/>
        <w:jc w:val="left"/>
        <w:rPr>
          <w:rFonts w:ascii="Times New Roman" w:eastAsia="宋体"/>
          <w:b w:val="0"/>
          <w:bCs/>
          <w:color w:val="auto"/>
          <w:sz w:val="24"/>
          <w:szCs w:val="24"/>
        </w:rPr>
      </w:pPr>
      <w:r>
        <w:rPr>
          <w:rFonts w:hint="eastAsia" w:ascii="Times New Roman" w:eastAsia="宋体"/>
          <w:b w:val="0"/>
          <w:bCs/>
          <w:color w:val="auto"/>
          <w:sz w:val="24"/>
          <w:szCs w:val="24"/>
        </w:rPr>
        <w:t>岳阳湘佳牧业有限公司</w:t>
      </w:r>
      <w:r>
        <w:rPr>
          <w:rFonts w:ascii="Times New Roman" w:eastAsia="宋体"/>
          <w:b w:val="0"/>
          <w:bCs/>
          <w:color w:val="auto"/>
          <w:sz w:val="24"/>
          <w:szCs w:val="24"/>
        </w:rPr>
        <w:t>于202</w:t>
      </w:r>
      <w:r>
        <w:rPr>
          <w:rFonts w:hint="eastAsia" w:ascii="Times New Roman" w:eastAsia="宋体"/>
          <w:b w:val="0"/>
          <w:bCs/>
          <w:color w:val="auto"/>
          <w:sz w:val="24"/>
          <w:szCs w:val="24"/>
        </w:rPr>
        <w:t>3</w:t>
      </w:r>
      <w:r>
        <w:rPr>
          <w:rFonts w:ascii="Times New Roman" w:eastAsia="宋体"/>
          <w:b w:val="0"/>
          <w:bCs/>
          <w:color w:val="auto"/>
          <w:sz w:val="24"/>
          <w:szCs w:val="24"/>
        </w:rPr>
        <w:t>年</w:t>
      </w:r>
      <w:r>
        <w:rPr>
          <w:rFonts w:hint="eastAsia" w:ascii="Times New Roman" w:eastAsia="宋体"/>
          <w:b w:val="0"/>
          <w:bCs/>
          <w:color w:val="auto"/>
          <w:sz w:val="24"/>
          <w:szCs w:val="24"/>
          <w:lang w:val="en-US" w:eastAsia="zh-CN"/>
        </w:rPr>
        <w:t>5</w:t>
      </w:r>
      <w:r>
        <w:rPr>
          <w:rFonts w:ascii="Times New Roman" w:eastAsia="宋体"/>
          <w:b w:val="0"/>
          <w:bCs/>
          <w:color w:val="auto"/>
          <w:sz w:val="24"/>
          <w:szCs w:val="24"/>
        </w:rPr>
        <w:t>月委托</w:t>
      </w:r>
      <w:r>
        <w:rPr>
          <w:rFonts w:hint="eastAsia" w:ascii="Times New Roman" w:eastAsia="宋体"/>
          <w:b w:val="0"/>
          <w:bCs/>
          <w:color w:val="auto"/>
          <w:sz w:val="24"/>
          <w:szCs w:val="24"/>
        </w:rPr>
        <w:t>湖南衡润科技</w:t>
      </w:r>
      <w:r>
        <w:rPr>
          <w:rFonts w:ascii="Times New Roman" w:eastAsia="宋体"/>
          <w:b w:val="0"/>
          <w:bCs/>
          <w:color w:val="auto"/>
          <w:sz w:val="24"/>
          <w:szCs w:val="24"/>
        </w:rPr>
        <w:t>有限公司承担了本项目环境影响报告书的编制工作。</w:t>
      </w:r>
      <w:r>
        <w:rPr>
          <w:rFonts w:hint="eastAsia" w:ascii="Times New Roman" w:eastAsia="宋体"/>
          <w:b w:val="0"/>
          <w:bCs/>
          <w:color w:val="auto"/>
          <w:sz w:val="24"/>
          <w:szCs w:val="24"/>
        </w:rPr>
        <w:t>接受委托后</w:t>
      </w:r>
      <w:r>
        <w:rPr>
          <w:rFonts w:ascii="Times New Roman" w:eastAsia="宋体"/>
          <w:b w:val="0"/>
          <w:bCs/>
          <w:color w:val="auto"/>
          <w:sz w:val="24"/>
          <w:szCs w:val="24"/>
        </w:rPr>
        <w:t>在现场踏勘、收集资料与分析的基础上，依据项目性质、污染特征区域环境状况，并按照《建设项目环境影响评价技术导则总纲》（HJ2.1-2016）</w:t>
      </w:r>
      <w:r>
        <w:rPr>
          <w:rFonts w:hint="eastAsia" w:ascii="Times New Roman" w:eastAsia="宋体"/>
          <w:b w:val="0"/>
          <w:bCs/>
          <w:color w:val="auto"/>
          <w:sz w:val="24"/>
          <w:szCs w:val="24"/>
        </w:rPr>
        <w:t>及其他</w:t>
      </w:r>
      <w:r>
        <w:rPr>
          <w:rFonts w:ascii="Times New Roman" w:eastAsia="宋体"/>
          <w:b w:val="0"/>
          <w:bCs/>
          <w:color w:val="auto"/>
          <w:sz w:val="24"/>
          <w:szCs w:val="24"/>
        </w:rPr>
        <w:t>有关法律法规的要求，编制了该项目的环境影响报告书。</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2" w:name="_Toc4119"/>
      <w:r>
        <w:rPr>
          <w:rFonts w:hint="eastAsia" w:ascii="Times New Roman" w:hAnsi="Times New Roman" w:eastAsia="宋体"/>
          <w:color w:val="auto"/>
          <w:kern w:val="2"/>
          <w:sz w:val="28"/>
          <w:szCs w:val="28"/>
        </w:rPr>
        <w:t>1.3分析判定相关情况</w:t>
      </w:r>
      <w:bookmarkEnd w:id="31"/>
      <w:bookmarkEnd w:id="32"/>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 xml:space="preserve">1.3.1 </w:t>
      </w:r>
      <w:r>
        <w:rPr>
          <w:rFonts w:ascii="Times New Roman" w:eastAsia="宋体"/>
          <w:b/>
          <w:bCs/>
          <w:color w:val="auto"/>
          <w:kern w:val="2"/>
          <w:sz w:val="24"/>
        </w:rPr>
        <w:t>产业政策相符性分析</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根据《产业结构调整指导目录（2019 年本）》</w:t>
      </w:r>
      <w:r>
        <w:rPr>
          <w:rFonts w:hint="eastAsia" w:ascii="Times New Roman" w:eastAsia="宋体"/>
          <w:b w:val="0"/>
          <w:bCs/>
          <w:color w:val="auto"/>
          <w:sz w:val="24"/>
          <w:szCs w:val="24"/>
        </w:rPr>
        <w:t>（2021年修改）</w:t>
      </w:r>
      <w:r>
        <w:rPr>
          <w:rFonts w:ascii="Times New Roman" w:eastAsia="宋体"/>
          <w:b w:val="0"/>
          <w:bCs/>
          <w:color w:val="auto"/>
          <w:sz w:val="24"/>
          <w:szCs w:val="24"/>
        </w:rPr>
        <w:t>，本项目属于鼓励类第一项“农林业”中第4条“畜禽标准化规模养殖技术开发与应用”，本项目通过了“湖南省投资项目在线审批监管平台”备案，项目代码：2212-430621-04-05-311913，并于2022年12月12日取得了岳阳县发展和改革局出具的《岳阳县岳阳湘佳牧业有限公司桃源肉鸡养殖项目备案证明》（见附件2）。</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因此，项目建设符合国家及地方现行产业政策。</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1.3.2 规划符合性分析</w:t>
      </w:r>
    </w:p>
    <w:p>
      <w:pPr>
        <w:keepNext/>
        <w:keepLines/>
        <w:spacing w:line="360" w:lineRule="auto"/>
        <w:outlineLvl w:val="3"/>
        <w:rPr>
          <w:rFonts w:ascii="Times New Roman" w:eastAsia="宋体" w:cs="宋体"/>
          <w:color w:val="auto"/>
          <w:szCs w:val="24"/>
        </w:rPr>
      </w:pPr>
      <w:r>
        <w:rPr>
          <w:rFonts w:hint="eastAsia" w:ascii="Times New Roman" w:eastAsia="宋体" w:cs="宋体"/>
          <w:color w:val="auto"/>
          <w:szCs w:val="24"/>
        </w:rPr>
        <w:t>1.3.2.1. 与《湖南省畜禽规模养殖污染防治规定》</w:t>
      </w:r>
      <w:r>
        <w:rPr>
          <w:rFonts w:ascii="Times New Roman" w:eastAsia="宋体" w:cs="宋体"/>
          <w:color w:val="auto"/>
          <w:szCs w:val="24"/>
        </w:rPr>
        <w:t>（湘政办发〔2022〕46号）</w:t>
      </w:r>
      <w:r>
        <w:rPr>
          <w:rFonts w:hint="eastAsia" w:ascii="Times New Roman" w:eastAsia="宋体" w:cs="宋体"/>
          <w:color w:val="auto"/>
          <w:szCs w:val="24"/>
        </w:rPr>
        <w:t>相符性分析。</w:t>
      </w:r>
    </w:p>
    <w:p>
      <w:pPr>
        <w:pStyle w:val="46"/>
        <w:spacing w:after="0" w:line="360" w:lineRule="auto"/>
        <w:ind w:firstLine="480" w:firstLineChars="200"/>
        <w:rPr>
          <w:rFonts w:ascii="Times New Roman" w:hAnsi="Times New Roman" w:eastAsia="宋体"/>
          <w:bCs/>
          <w:color w:val="auto"/>
          <w:kern w:val="2"/>
          <w:szCs w:val="24"/>
        </w:rPr>
      </w:pPr>
      <w:r>
        <w:rPr>
          <w:rFonts w:ascii="Times New Roman" w:hAnsi="Times New Roman" w:eastAsia="宋体"/>
          <w:bCs/>
          <w:color w:val="auto"/>
          <w:kern w:val="2"/>
          <w:szCs w:val="24"/>
        </w:rPr>
        <w:t>本项目污染治理符合性分析见下表：</w:t>
      </w:r>
    </w:p>
    <w:p>
      <w:pPr>
        <w:pStyle w:val="422"/>
        <w:spacing w:line="240" w:lineRule="auto"/>
        <w:rPr>
          <w:color w:val="auto"/>
        </w:rPr>
        <w:sectPr>
          <w:pgSz w:w="11906" w:h="16838"/>
          <w:pgMar w:top="1440" w:right="1803" w:bottom="1440" w:left="1803" w:header="851" w:footer="992" w:gutter="0"/>
          <w:pgNumType w:fmt="decimal"/>
          <w:cols w:space="720" w:num="1"/>
          <w:docGrid w:linePitch="312" w:charSpace="0"/>
        </w:sectPr>
      </w:pPr>
    </w:p>
    <w:p>
      <w:pPr>
        <w:pStyle w:val="422"/>
        <w:spacing w:line="240" w:lineRule="auto"/>
        <w:rPr>
          <w:color w:val="auto"/>
        </w:rPr>
      </w:pPr>
      <w:r>
        <w:rPr>
          <w:rFonts w:hint="eastAsia"/>
          <w:color w:val="auto"/>
        </w:rPr>
        <w:t>表 1.3-1 项目建设与《湖南省畜禽规模养殖污染防治规定》符合性分析一览表</w:t>
      </w:r>
    </w:p>
    <w:p>
      <w:pPr>
        <w:spacing w:line="30" w:lineRule="exact"/>
        <w:ind w:firstLine="480"/>
        <w:rPr>
          <w:rFonts w:ascii="Times New Roman"/>
          <w:color w:val="auto"/>
        </w:rPr>
      </w:pPr>
    </w:p>
    <w:tbl>
      <w:tblPr>
        <w:tblStyle w:val="47"/>
        <w:tblW w:w="879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41"/>
        <w:gridCol w:w="5537"/>
        <w:gridCol w:w="2038"/>
        <w:gridCol w:w="7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序号</w:t>
            </w:r>
          </w:p>
        </w:tc>
        <w:tc>
          <w:tcPr>
            <w:tcW w:w="5537" w:type="dxa"/>
            <w:vAlign w:val="center"/>
          </w:tcPr>
          <w:p>
            <w:pPr>
              <w:pStyle w:val="387"/>
              <w:snapToGrid w:val="0"/>
              <w:spacing w:after="0" w:line="240" w:lineRule="auto"/>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《湖南省畜禽规模养殖污染防治规定》要求</w:t>
            </w:r>
          </w:p>
        </w:tc>
        <w:tc>
          <w:tcPr>
            <w:tcW w:w="2038" w:type="dxa"/>
            <w:vAlign w:val="center"/>
          </w:tcPr>
          <w:p>
            <w:pPr>
              <w:pStyle w:val="387"/>
              <w:snapToGrid w:val="0"/>
              <w:spacing w:after="0" w:line="240" w:lineRule="auto"/>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本项目情况</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63"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w:t>
            </w:r>
          </w:p>
        </w:tc>
        <w:tc>
          <w:tcPr>
            <w:tcW w:w="5537" w:type="dxa"/>
            <w:vAlign w:val="center"/>
          </w:tcPr>
          <w:p>
            <w:pPr>
              <w:pStyle w:val="387"/>
              <w:snapToGrid w:val="0"/>
              <w:spacing w:after="0"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八条县级人民政府依据相关法律法规的要求，结合本地实际，在综合自然资源、生态环境、农业农村、水利等部门意见后，科学划定本行政区域畜禽养殖的禁养区、限养区和适养区。禁养区划定后原则上5年内不作调整，确需调整的，需由原审批机关批准。</w:t>
            </w:r>
          </w:p>
        </w:tc>
        <w:tc>
          <w:tcPr>
            <w:tcW w:w="2038" w:type="dxa"/>
            <w:vMerge w:val="restart"/>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本项目已取得岳阳县新墙镇人民政府、岳阳市生态环境局岳阳县分局、岳阳县自然资源局、岳阳县林业局、岳阳县水利局、岳阳县畜牧水产发展服务中心对养殖场选址的同意，以及岳阳县发展和改革局的同意</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02"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w:t>
            </w:r>
          </w:p>
        </w:tc>
        <w:tc>
          <w:tcPr>
            <w:tcW w:w="5537" w:type="dxa"/>
            <w:vAlign w:val="center"/>
          </w:tcPr>
          <w:p>
            <w:pPr>
              <w:pStyle w:val="387"/>
              <w:snapToGrid w:val="0"/>
              <w:spacing w:after="0"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九条禁养区按照《中华人民共和国畜牧法》《畜禽规模养殖污染防治条例》等法律法规明确的禁养区域、禁养对象、禁养方式严格管理。禁养区内现有不符合要求的畜禽养殖场、畜禽养殖户应由县级以上人民政府在国家规定时限内依法关停或搬迁。</w:t>
            </w:r>
          </w:p>
        </w:tc>
        <w:tc>
          <w:tcPr>
            <w:tcW w:w="2038" w:type="dxa"/>
            <w:vMerge w:val="continue"/>
            <w:vAlign w:val="center"/>
          </w:tcPr>
          <w:p>
            <w:pPr>
              <w:pStyle w:val="387"/>
              <w:snapToGrid w:val="0"/>
              <w:spacing w:after="0" w:line="240" w:lineRule="auto"/>
              <w:jc w:val="center"/>
              <w:rPr>
                <w:rFonts w:ascii="Times New Roman" w:hAnsi="Times New Roman" w:eastAsia="宋体" w:cs="宋体"/>
                <w:color w:val="auto"/>
                <w:sz w:val="21"/>
                <w:szCs w:val="21"/>
              </w:rPr>
            </w:pP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711"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3</w:t>
            </w:r>
          </w:p>
        </w:tc>
        <w:tc>
          <w:tcPr>
            <w:tcW w:w="5537" w:type="dxa"/>
            <w:vAlign w:val="center"/>
          </w:tcPr>
          <w:p>
            <w:pPr>
              <w:widowControl/>
              <w:adjustRightInd w:val="0"/>
              <w:snapToGrid w:val="0"/>
              <w:jc w:val="left"/>
              <w:rPr>
                <w:rFonts w:ascii="Times New Roman" w:eastAsia="宋体" w:cs="宋体"/>
                <w:color w:val="auto"/>
                <w:sz w:val="21"/>
                <w:szCs w:val="21"/>
              </w:rPr>
            </w:pPr>
            <w:r>
              <w:rPr>
                <w:rFonts w:hint="eastAsia" w:ascii="Times New Roman" w:eastAsia="宋体" w:cs="宋体"/>
                <w:color w:val="auto"/>
                <w:sz w:val="21"/>
                <w:szCs w:val="21"/>
              </w:rPr>
              <w:t>第十条畜禽养殖场、畜禽养殖户应当建立畜禽养殖污染防治台账。畜禽养殖场污染防治台账应当载明畜禽养殖畜种、规模以及畜禽养殖废弃物的产生、排放和综合利用等情况，由乡镇人民政府、街道办事处指导并收集汇总本行政区域内畜禽养殖场环保台账，报当地生态环境、农业农村部门备案。畜禽养殖户污染防治台账应当载明畜禽养殖畜种、规模以及养殖废弃物产生数量、处理方式等，由乡镇指导建档、自行管理。各级生态环境、农业农村部门，乡镇人民政府、街道办事处应加强信息共享，共同管理和指导完善本行政区域内畜禽养殖场环保台账。</w:t>
            </w:r>
          </w:p>
        </w:tc>
        <w:tc>
          <w:tcPr>
            <w:tcW w:w="2038" w:type="dxa"/>
            <w:vAlign w:val="center"/>
          </w:tcPr>
          <w:p>
            <w:pPr>
              <w:pStyle w:val="387"/>
              <w:snapToGrid w:val="0"/>
              <w:spacing w:after="0" w:line="240" w:lineRule="auto"/>
              <w:ind w:firstLine="0"/>
              <w:jc w:val="both"/>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rPr>
              <w:t>本项目建设后将</w:t>
            </w:r>
            <w:r>
              <w:rPr>
                <w:rFonts w:hint="eastAsia" w:ascii="Times New Roman" w:eastAsia="宋体" w:cs="宋体"/>
                <w:color w:val="auto"/>
                <w:sz w:val="21"/>
                <w:szCs w:val="21"/>
              </w:rPr>
              <w:t>建立畜禽养殖污染防治台账</w:t>
            </w:r>
            <w:r>
              <w:rPr>
                <w:rFonts w:hint="eastAsia" w:ascii="Times New Roman" w:eastAsia="宋体" w:cs="宋体"/>
                <w:color w:val="auto"/>
                <w:sz w:val="21"/>
                <w:szCs w:val="21"/>
                <w:lang w:eastAsia="zh-CN"/>
              </w:rPr>
              <w:t>，</w:t>
            </w:r>
            <w:r>
              <w:rPr>
                <w:rFonts w:hint="eastAsia" w:ascii="Times New Roman" w:eastAsia="宋体" w:cs="宋体"/>
                <w:color w:val="auto"/>
                <w:sz w:val="21"/>
                <w:szCs w:val="21"/>
                <w:lang w:val="en-US" w:eastAsia="zh-CN"/>
              </w:rPr>
              <w:t>记录</w:t>
            </w:r>
            <w:r>
              <w:rPr>
                <w:rFonts w:hint="eastAsia" w:ascii="Times New Roman" w:eastAsia="宋体" w:cs="宋体"/>
                <w:color w:val="auto"/>
                <w:sz w:val="21"/>
                <w:szCs w:val="21"/>
              </w:rPr>
              <w:t>畜禽养殖畜种、规模以及畜禽养殖废弃物的产生、排放和综合利用等情况</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4"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4</w:t>
            </w:r>
          </w:p>
        </w:tc>
        <w:tc>
          <w:tcPr>
            <w:tcW w:w="5537" w:type="dxa"/>
            <w:vAlign w:val="center"/>
          </w:tcPr>
          <w:p>
            <w:pPr>
              <w:pStyle w:val="387"/>
              <w:snapToGrid w:val="0"/>
              <w:spacing w:after="0"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第十一条畜牧业发展规划应依《规划环境影响评价条例》的要求，开展规划环境影响评价工作。畜禽养殖建设项目应根据生态环境部有关规定，开展环境影响评价。</w:t>
            </w:r>
          </w:p>
        </w:tc>
        <w:tc>
          <w:tcPr>
            <w:tcW w:w="2038"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本项目正进行环境影响评价工作</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4"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5</w:t>
            </w:r>
          </w:p>
        </w:tc>
        <w:tc>
          <w:tcPr>
            <w:tcW w:w="5537" w:type="dxa"/>
            <w:vAlign w:val="center"/>
          </w:tcPr>
          <w:p>
            <w:pPr>
              <w:pStyle w:val="387"/>
              <w:snapToGrid w:val="0"/>
              <w:spacing w:after="0"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第十二条按照国家排污许可制要求需要申领排污许可证或进行排污登记的畜禽养殖场、畜禽养殖户应及时申领排污许可证或进行排污登记，并按证排污。</w:t>
            </w:r>
          </w:p>
        </w:tc>
        <w:tc>
          <w:tcPr>
            <w:tcW w:w="2038"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届时及时申领</w:t>
            </w:r>
          </w:p>
        </w:tc>
        <w:tc>
          <w:tcPr>
            <w:tcW w:w="782" w:type="dxa"/>
            <w:vAlign w:val="center"/>
          </w:tcPr>
          <w:p>
            <w:pPr>
              <w:pStyle w:val="387"/>
              <w:snapToGrid w:val="0"/>
              <w:spacing w:after="0" w:line="240" w:lineRule="auto"/>
              <w:jc w:val="center"/>
              <w:rPr>
                <w:rFonts w:ascii="Times New Roman" w:hAnsi="Times New Roman"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19"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6</w:t>
            </w:r>
          </w:p>
        </w:tc>
        <w:tc>
          <w:tcPr>
            <w:tcW w:w="5537" w:type="dxa"/>
            <w:vAlign w:val="center"/>
          </w:tcPr>
          <w:p>
            <w:pPr>
              <w:pStyle w:val="387"/>
              <w:snapToGrid w:val="0"/>
              <w:spacing w:after="0"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十三条新建、改建、扩建畜禽养殖场应符合畜牧业发展规划、畜禽养殖污染防治规划，满足动物防疫条例，进行环境影响评价，实施雨污分流，建设与养殖规模相匹配的畜禽养殖粪污处理与资源化利用设施并确保正常运行。已委托满足相关环保要求的第三方单位代为处理或利用的，可不自行建设粪污处理与资源化利用设施。未建设畜禽养殖粪污处理与资源化利用设施、自建的设施不合格或者未委托满足相关环保要求的第三方单位代为处理或利用的，畜禽养殖场不得投入生产或使用。需新建、改建、扩建畜禽养殖场所的畜禽养殖户按国家和省有关规定执行。承接畜禽养殖粪污处理与资源化利用的第三方单位，应具有相应的处理设施和能力；应建立畜禽养殖粪污交接和处理台账，并如实登记。鼓励满足相关环保要求的第三方单位成片或连片承接畜禽养殖粪污处理与资源化利用。</w:t>
            </w:r>
          </w:p>
        </w:tc>
        <w:tc>
          <w:tcPr>
            <w:tcW w:w="2038"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本项目为新建，符合畜牧业发展规划、畜禽养殖污染防治规划，满足动物防疫条例，本项目实行雨污分流，生活污水经化粪池处理后与养殖废水一并汇入沉淀池（400m</w:t>
            </w:r>
            <w:r>
              <w:rPr>
                <w:rFonts w:hint="eastAsia" w:ascii="Times New Roman" w:hAnsi="Times New Roman" w:eastAsia="宋体" w:cs="宋体"/>
                <w:color w:val="auto"/>
                <w:sz w:val="21"/>
                <w:szCs w:val="21"/>
                <w:vertAlign w:val="superscript"/>
              </w:rPr>
              <w:t>3</w:t>
            </w:r>
            <w:r>
              <w:rPr>
                <w:rFonts w:hint="eastAsia" w:ascii="Times New Roman" w:hAnsi="Times New Roman" w:eastAsia="宋体" w:cs="宋体"/>
                <w:color w:val="auto"/>
                <w:sz w:val="21"/>
                <w:szCs w:val="21"/>
              </w:rPr>
              <w:t>），后委托湖南春雨生物科技有限公司用密闭槽罐车运送至公司新华养殖场污水处理站处理；鸡粪及污泥交由有机肥企业生产有机肥</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43"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w:t>
            </w:r>
          </w:p>
        </w:tc>
        <w:tc>
          <w:tcPr>
            <w:tcW w:w="5537" w:type="dxa"/>
            <w:vAlign w:val="center"/>
          </w:tcPr>
          <w:p>
            <w:pPr>
              <w:widowControl/>
              <w:adjustRightInd w:val="0"/>
              <w:snapToGrid w:val="0"/>
              <w:jc w:val="left"/>
              <w:rPr>
                <w:rFonts w:ascii="Times New Roman" w:eastAsia="宋体" w:cs="宋体"/>
                <w:color w:val="auto"/>
                <w:sz w:val="21"/>
                <w:szCs w:val="21"/>
              </w:rPr>
            </w:pPr>
            <w:r>
              <w:rPr>
                <w:rFonts w:hint="eastAsia" w:ascii="Times New Roman" w:eastAsia="宋体" w:cs="宋体"/>
                <w:color w:val="auto"/>
                <w:sz w:val="21"/>
                <w:szCs w:val="21"/>
              </w:rPr>
              <w:t>第十四条各级人民政府应将病死畜禽集中无害化处理体系建设纳入国民经济和社会发展规划，制定本行政区域内的病死畜禽及病害畜禽产品集中无害化处理场所建设规划，建立政府主导、市场运作的无害化处理机制。从事畜禽饲养、屠宰、经营、隔离以及畜禽产品生产、加工、贮藏等活动的单位和个人，应严格按照《中华人民共和国动物防疫法》等有关规定做好病死畜禽和病害畜禽产品的无害化处理，完善与生产、经营规模相适应的收集暂存冷藏设施，不得买卖、屠宰、加工、随意弃置病死畜禽和病害畜禽产品。除病死畜禽集中无害化处理收集体系不能覆盖的边远山区和交通不便地区外，病死畜禽及病害畜禽产品原则上应委托无害化处理企业集中处理。鼓励无害化处理企业配套建设跨行政区域的病死畜禽无害化收集体系，建设生物安全防护措施严密、收集能力强、覆盖范围广、转运监管严的病死畜禽暂存、中转、运输设施。无害化处理应按国家和省有关规定，采用化制法、高温法等能有效杀灭病原微生物的工艺。</w:t>
            </w:r>
          </w:p>
        </w:tc>
        <w:tc>
          <w:tcPr>
            <w:tcW w:w="2038"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病死鸡</w:t>
            </w:r>
            <w:r>
              <w:rPr>
                <w:rFonts w:hint="eastAsia" w:ascii="Times New Roman" w:hAnsi="Times New Roman" w:eastAsia="宋体" w:cs="宋体"/>
                <w:color w:val="auto"/>
                <w:sz w:val="21"/>
                <w:szCs w:val="21"/>
                <w:lang w:val="en-US" w:eastAsia="zh-CN"/>
              </w:rPr>
              <w:t>交由岳阳县</w:t>
            </w:r>
            <w:r>
              <w:rPr>
                <w:rFonts w:hint="eastAsia" w:ascii="Times New Roman" w:hAnsi="Times New Roman" w:eastAsia="宋体" w:cs="宋体"/>
                <w:color w:val="auto"/>
                <w:sz w:val="21"/>
                <w:szCs w:val="21"/>
              </w:rPr>
              <w:t>病死动物无害化处理中心处置</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19"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w:t>
            </w:r>
          </w:p>
        </w:tc>
        <w:tc>
          <w:tcPr>
            <w:tcW w:w="5537" w:type="dxa"/>
            <w:vAlign w:val="center"/>
          </w:tcPr>
          <w:p>
            <w:pPr>
              <w:pStyle w:val="387"/>
              <w:snapToGrid w:val="0"/>
              <w:spacing w:after="0" w:line="240" w:lineRule="auto"/>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十五条畜禽养殖污染治理应按照减量化、资源化、无害化的原则，从源头控制，采取合适的技术对畜禽养殖粪污进行处理，并通过粪肥还田、制取沼气、制造有机肥等方式提高畜禽养殖粪污的资源化利用率。粪污收集、贮存和处理，污水收集和处理，恶臭控制等具体的处理技术，参照最新的畜禽养殖污染防治技术措施实施。将畜禽养殖粪污用作肥料的，应建设符合相关环保要求的粪污储存设施，配套足够的消纳土地。不能消纳而外排环境的，应经过处理并达到排放标准，确保不产生环境污染。</w:t>
            </w:r>
          </w:p>
          <w:p>
            <w:pPr>
              <w:pStyle w:val="387"/>
              <w:snapToGrid w:val="0"/>
              <w:spacing w:after="0" w:line="240" w:lineRule="auto"/>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第十六条畜禽养殖污染造成生态环境损害的，应依法追究生态环境损害赔偿责任。对畜禽养殖污染主体不明确或主体灭失的现有区域污染、历史遗留污染，由县级人民政府制定整治方案并组织实施。</w:t>
            </w:r>
          </w:p>
        </w:tc>
        <w:tc>
          <w:tcPr>
            <w:tcW w:w="2038" w:type="dxa"/>
            <w:vAlign w:val="center"/>
          </w:tcPr>
          <w:p>
            <w:pPr>
              <w:pStyle w:val="387"/>
              <w:snapToGrid w:val="0"/>
              <w:spacing w:after="0" w:line="240" w:lineRule="auto"/>
              <w:ind w:firstLine="0"/>
              <w:jc w:val="left"/>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本项目采取自动干清粪方式，经收集后</w:t>
            </w:r>
            <w:r>
              <w:rPr>
                <w:rFonts w:hint="eastAsia" w:ascii="Times New Roman" w:hAnsi="Times New Roman" w:eastAsia="宋体" w:cs="宋体"/>
                <w:color w:val="auto"/>
                <w:sz w:val="21"/>
                <w:szCs w:val="21"/>
                <w:lang w:val="en-US" w:eastAsia="zh-CN"/>
              </w:rPr>
              <w:t>暂存于舍内鸡粪暂存区，后定期</w:t>
            </w:r>
            <w:r>
              <w:rPr>
                <w:rFonts w:hint="eastAsia" w:ascii="Times New Roman" w:hAnsi="Times New Roman" w:eastAsia="宋体" w:cs="宋体"/>
                <w:color w:val="auto"/>
                <w:sz w:val="21"/>
                <w:szCs w:val="21"/>
              </w:rPr>
              <w:t>外售给湖南春雨生物科技有限公司制肥；生活污水经化粪池处理后与养殖废水一并汇入沉淀池（400m</w:t>
            </w:r>
            <w:r>
              <w:rPr>
                <w:rFonts w:hint="eastAsia" w:ascii="Times New Roman" w:hAnsi="Times New Roman" w:eastAsia="宋体" w:cs="宋体"/>
                <w:color w:val="auto"/>
                <w:sz w:val="21"/>
                <w:szCs w:val="21"/>
                <w:vertAlign w:val="superscript"/>
              </w:rPr>
              <w:t>3</w:t>
            </w:r>
            <w:r>
              <w:rPr>
                <w:rFonts w:hint="eastAsia" w:ascii="Times New Roman" w:hAnsi="Times New Roman" w:eastAsia="宋体" w:cs="宋体"/>
                <w:color w:val="auto"/>
                <w:sz w:val="21"/>
                <w:szCs w:val="21"/>
              </w:rPr>
              <w:t>），后委托湖南春雨生物科技有限公司用密闭槽罐车运送至公司新华养殖场污水处理站处理，处理达标后用于周边林果地浇灌。</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63"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w:t>
            </w:r>
          </w:p>
        </w:tc>
        <w:tc>
          <w:tcPr>
            <w:tcW w:w="5537" w:type="dxa"/>
            <w:vAlign w:val="center"/>
          </w:tcPr>
          <w:p>
            <w:pPr>
              <w:pStyle w:val="387"/>
              <w:snapToGrid w:val="0"/>
              <w:spacing w:after="0" w:line="240" w:lineRule="auto"/>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十七条各地农牧、环境保护、科技等主管部门要结合本行政区域资源环境禀赋、农业经营方式、畜牧业发展现状和环境质量改善目标要求，积极开展科技攻关，推广节水养殖、清洁生产、畜禽养殖废弃物还田利用等技术，逐渐改进和完善畜禽养殖设施和工艺以及畜禽养殖废弃物综合利用模式。</w:t>
            </w:r>
          </w:p>
        </w:tc>
        <w:tc>
          <w:tcPr>
            <w:tcW w:w="2038"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本项目清洁生产将达到领先水平</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71" w:hRule="atLeast"/>
        </w:trPr>
        <w:tc>
          <w:tcPr>
            <w:tcW w:w="441"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10</w:t>
            </w:r>
          </w:p>
        </w:tc>
        <w:tc>
          <w:tcPr>
            <w:tcW w:w="5537" w:type="dxa"/>
            <w:vAlign w:val="center"/>
          </w:tcPr>
          <w:p>
            <w:pPr>
              <w:pStyle w:val="387"/>
              <w:snapToGrid w:val="0"/>
              <w:spacing w:after="0" w:line="240" w:lineRule="auto"/>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第十八条各级人民政府应充分利用行政手段，出台政策鼓励集约饲养，支持畜禽养殖场标准化改造，发展种养结合和生态循环的适度规模养殖，积极引导农民使用有机肥或规模化积造的农家肥等，使资金重点向畜禽养殖废弃物资源化利用和无害化处理设施建设倾斜。探索综合运用财政、税收、金融、价格等经济手段和政府购买服务等机制模式，降低畜禽养殖污染治理成本。利用市场手段推动建立企业、政府、社会多元化投入和利益分享机制，鼓励畜禽养殖污染第三方治理，提高畜禽养殖污染治理的专业化、市场化和产业化水平。</w:t>
            </w:r>
          </w:p>
        </w:tc>
        <w:tc>
          <w:tcPr>
            <w:tcW w:w="2038"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本项目属于农业综合开发项目，采取生态循环的适度规模养殖生产模式</w:t>
            </w:r>
          </w:p>
        </w:tc>
        <w:tc>
          <w:tcPr>
            <w:tcW w:w="782" w:type="dxa"/>
            <w:vAlign w:val="center"/>
          </w:tcPr>
          <w:p>
            <w:pPr>
              <w:pStyle w:val="387"/>
              <w:snapToGrid w:val="0"/>
              <w:spacing w:after="0"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bl>
    <w:p>
      <w:pPr>
        <w:keepNext/>
        <w:keepLines/>
        <w:spacing w:line="360" w:lineRule="auto"/>
        <w:rPr>
          <w:rFonts w:ascii="Times New Roman" w:eastAsia="宋体" w:cs="宋体"/>
          <w:color w:val="auto"/>
          <w:szCs w:val="24"/>
        </w:rPr>
        <w:sectPr>
          <w:pgSz w:w="11906" w:h="16838"/>
          <w:pgMar w:top="1440" w:right="1803" w:bottom="1440" w:left="1803" w:header="851" w:footer="992" w:gutter="0"/>
          <w:pgNumType w:fmt="decimal"/>
          <w:cols w:space="720" w:num="1"/>
          <w:docGrid w:linePitch="312" w:charSpace="0"/>
        </w:sectPr>
      </w:pPr>
      <w:bookmarkStart w:id="33" w:name="1.4.2.2与《水污染防治行动计划》的符合性分析"/>
      <w:bookmarkEnd w:id="33"/>
      <w:bookmarkStart w:id="34" w:name="1.4.2.3与《湖南省“蓝天保卫战”实施方案(2018—2020年)》相符性分"/>
      <w:bookmarkEnd w:id="34"/>
    </w:p>
    <w:p>
      <w:pPr>
        <w:keepNext/>
        <w:keepLines/>
        <w:spacing w:line="360" w:lineRule="auto"/>
        <w:outlineLvl w:val="3"/>
        <w:rPr>
          <w:rFonts w:ascii="Times New Roman" w:eastAsia="宋体" w:cs="宋体"/>
          <w:color w:val="auto"/>
          <w:szCs w:val="24"/>
        </w:rPr>
      </w:pPr>
      <w:r>
        <w:rPr>
          <w:rFonts w:hint="eastAsia" w:ascii="Times New Roman" w:eastAsia="宋体" w:cs="宋体"/>
          <w:color w:val="auto"/>
          <w:szCs w:val="24"/>
        </w:rPr>
        <w:t>1.3.2.2. 与《湖南省人民政府办公厅关于加快转型升级推进现代畜牧业发展的意见》的符合性分析</w:t>
      </w:r>
    </w:p>
    <w:p>
      <w:pPr>
        <w:spacing w:line="360" w:lineRule="auto"/>
        <w:ind w:firstLine="468"/>
        <w:rPr>
          <w:rFonts w:ascii="Times New Roman" w:eastAsia="宋体"/>
          <w:bCs/>
          <w:color w:val="auto"/>
          <w:kern w:val="2"/>
          <w:szCs w:val="24"/>
        </w:rPr>
      </w:pPr>
      <w:r>
        <w:rPr>
          <w:rFonts w:hint="eastAsia" w:ascii="Times New Roman" w:eastAsia="宋体"/>
          <w:bCs/>
          <w:color w:val="auto"/>
          <w:kern w:val="2"/>
          <w:szCs w:val="24"/>
        </w:rPr>
        <w:t>为进一步加强畜牧业健康有序发展，湖南省人民政府办公厅印发了《关于加快转型升级推进现代畜牧业发展的意见》（湘政办发〔2016〕27号），文件提出“加大规模养殖场粪污综合利用设施改造，实行干湿分离、雨污分流，着力推进畜禽粪污统一收集、处理和利用。组织开展畜禽粪便综合利用创建活动，大力推广农牧循环、沼气利用、有机肥加工等养殖废弃物资源化利用措施，优先支持符合条件的畜禽规模养殖场建设大中型沼气工程，促进畜禽养殖污染减量化排放、无害化处理、资源化利用。推广应用养殖场养殖废水净化技术，鼓励养殖企业进行综合利用技术改造，做到循环利用”。本项目采用干清粪工艺，实现了雨污分流，鸡粪统一收集后外售给湖南春雨生物科技有限公司制肥使用；养殖废水经全部收集后运送至公司新华养殖场污水处理站处理，处理达标后用于周边果树林浇灌。</w:t>
      </w:r>
    </w:p>
    <w:p>
      <w:pPr>
        <w:spacing w:line="360" w:lineRule="auto"/>
        <w:ind w:firstLine="468"/>
        <w:rPr>
          <w:rFonts w:ascii="Times New Roman" w:eastAsia="宋体"/>
          <w:bCs/>
          <w:color w:val="auto"/>
          <w:kern w:val="2"/>
          <w:szCs w:val="24"/>
        </w:rPr>
      </w:pPr>
      <w:r>
        <w:rPr>
          <w:rFonts w:hint="eastAsia" w:ascii="Times New Roman" w:eastAsia="宋体"/>
          <w:bCs/>
          <w:color w:val="auto"/>
          <w:kern w:val="2"/>
          <w:szCs w:val="24"/>
        </w:rPr>
        <w:t>综上，本项目符合《湖南省人民政府办公厅关于加快转型升级推进现代畜牧业发展的意见》。</w:t>
      </w:r>
      <w:bookmarkStart w:id="35" w:name="1.4.2.4与《湖南省挥发性有机物污染防治三年行动实施方案（2018-2020"/>
      <w:bookmarkEnd w:id="35"/>
    </w:p>
    <w:p>
      <w:pPr>
        <w:keepNext/>
        <w:keepLines/>
        <w:spacing w:line="360" w:lineRule="auto"/>
        <w:outlineLvl w:val="3"/>
        <w:rPr>
          <w:rFonts w:ascii="Times New Roman" w:eastAsia="宋体" w:cs="宋体"/>
          <w:color w:val="auto"/>
          <w:szCs w:val="24"/>
        </w:rPr>
      </w:pPr>
      <w:r>
        <w:rPr>
          <w:rFonts w:hint="eastAsia" w:ascii="Times New Roman" w:eastAsia="宋体" w:cs="宋体"/>
          <w:color w:val="auto"/>
          <w:szCs w:val="24"/>
        </w:rPr>
        <w:t>1.3.2.3.与《畜禽养殖业污染防治技术规范》（HJ/T81-2001）相符性分析</w:t>
      </w:r>
      <w:bookmarkStart w:id="36" w:name="1.4.2.6与长沙市高新区总体规划符合性分析"/>
      <w:bookmarkEnd w:id="36"/>
      <w:bookmarkStart w:id="37" w:name="1.4.2.5与《湖南省湘江保护条例》的符合性分析"/>
      <w:bookmarkEnd w:id="37"/>
      <w:r>
        <w:rPr>
          <w:rFonts w:ascii="Times New Roman" w:eastAsia="宋体" w:cs="宋体"/>
          <w:color w:val="auto"/>
          <w:szCs w:val="24"/>
        </w:rPr>
        <w:t>符合性分析</w:t>
      </w:r>
      <w:r>
        <w:rPr>
          <w:rFonts w:hint="eastAsia" w:ascii="Times New Roman" w:eastAsia="宋体" w:cs="宋体"/>
          <w:color w:val="auto"/>
          <w:szCs w:val="24"/>
        </w:rPr>
        <w:t>详</w:t>
      </w:r>
      <w:r>
        <w:rPr>
          <w:rFonts w:ascii="Times New Roman" w:eastAsia="宋体" w:cs="宋体"/>
          <w:color w:val="auto"/>
          <w:szCs w:val="24"/>
        </w:rPr>
        <w:t>见下表：</w:t>
      </w:r>
    </w:p>
    <w:p>
      <w:pPr>
        <w:pStyle w:val="422"/>
        <w:rPr>
          <w:color w:val="auto"/>
        </w:rPr>
      </w:pPr>
      <w:r>
        <w:rPr>
          <w:rFonts w:hint="eastAsia" w:cs="黑体"/>
          <w:color w:val="auto"/>
        </w:rPr>
        <w:t xml:space="preserve">表1.3-2  </w:t>
      </w:r>
      <w:r>
        <w:rPr>
          <w:color w:val="auto"/>
        </w:rPr>
        <w:t>项目建设与</w:t>
      </w:r>
      <w:r>
        <w:rPr>
          <w:rFonts w:hint="eastAsia"/>
          <w:color w:val="auto"/>
        </w:rPr>
        <w:t>《畜禽养殖业污染防治技术规范》相符性分析</w:t>
      </w:r>
    </w:p>
    <w:tbl>
      <w:tblPr>
        <w:tblStyle w:val="48"/>
        <w:tblW w:w="915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2"/>
        <w:gridCol w:w="912"/>
        <w:gridCol w:w="4075"/>
        <w:gridCol w:w="2633"/>
        <w:gridCol w:w="9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82"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序号</w:t>
            </w:r>
          </w:p>
        </w:tc>
        <w:tc>
          <w:tcPr>
            <w:tcW w:w="4987" w:type="dxa"/>
            <w:gridSpan w:val="2"/>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规范要求</w:t>
            </w:r>
          </w:p>
        </w:tc>
        <w:tc>
          <w:tcPr>
            <w:tcW w:w="2633"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条件</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58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1</w:t>
            </w:r>
          </w:p>
        </w:tc>
        <w:tc>
          <w:tcPr>
            <w:tcW w:w="91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选址要求</w:t>
            </w:r>
          </w:p>
        </w:tc>
        <w:tc>
          <w:tcPr>
            <w:tcW w:w="4075" w:type="dxa"/>
            <w:tcBorders>
              <w:tl2br w:val="nil"/>
              <w:tr2bl w:val="nil"/>
            </w:tcBorders>
            <w:vAlign w:val="center"/>
          </w:tcPr>
          <w:p>
            <w:pPr>
              <w:pStyle w:val="387"/>
              <w:spacing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禁止建设在生活饮用水水源保护区、风景名胜区、自然保护区的核心区及缓冲区。</w:t>
            </w:r>
          </w:p>
        </w:tc>
        <w:tc>
          <w:tcPr>
            <w:tcW w:w="2633" w:type="dxa"/>
            <w:tcBorders>
              <w:tl2br w:val="nil"/>
              <w:tr2bl w:val="nil"/>
            </w:tcBorders>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建设场地附近无生活饮用水水源保护区、风景名胜区、自然保护区等敏感地区</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禁止建设在城市和城镇居民区、包括文教科研区、医疗区、商业区、工业区、游览区等人口集中地区。</w:t>
            </w:r>
          </w:p>
        </w:tc>
        <w:tc>
          <w:tcPr>
            <w:tcW w:w="2633" w:type="dxa"/>
            <w:tcBorders>
              <w:tl2br w:val="nil"/>
              <w:tr2bl w:val="nil"/>
            </w:tcBorders>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项目位于农村地区，所在地不属于人口集中地区</w:t>
            </w:r>
          </w:p>
        </w:tc>
        <w:tc>
          <w:tcPr>
            <w:tcW w:w="956" w:type="dxa"/>
            <w:tcBorders>
              <w:tl2br w:val="nil"/>
              <w:tr2bl w:val="nil"/>
            </w:tcBorders>
            <w:vAlign w:val="center"/>
          </w:tcPr>
          <w:p>
            <w:pPr>
              <w:rPr>
                <w:rFonts w:ascii="Times New Roman" w:eastAsia="宋体" w:cs="宋体"/>
                <w:color w:val="auto"/>
                <w:sz w:val="21"/>
                <w:szCs w:val="21"/>
              </w:rPr>
            </w:pPr>
            <w:r>
              <w:rPr>
                <w:rFonts w:hint="eastAsia" w:asci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禁止建设在县级人民政府依法划定的禁养区域</w:t>
            </w:r>
          </w:p>
        </w:tc>
        <w:tc>
          <w:tcPr>
            <w:tcW w:w="2633" w:type="dxa"/>
            <w:tcBorders>
              <w:tl2br w:val="nil"/>
              <w:tr2bl w:val="nil"/>
            </w:tcBorders>
            <w:vAlign w:val="center"/>
          </w:tcPr>
          <w:p>
            <w:pPr>
              <w:pStyle w:val="387"/>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不属于禁养区域</w:t>
            </w:r>
          </w:p>
        </w:tc>
        <w:tc>
          <w:tcPr>
            <w:tcW w:w="956" w:type="dxa"/>
            <w:tcBorders>
              <w:tl2br w:val="nil"/>
              <w:tr2bl w:val="nil"/>
            </w:tcBorders>
            <w:vAlign w:val="center"/>
          </w:tcPr>
          <w:p>
            <w:pPr>
              <w:rPr>
                <w:rFonts w:ascii="Times New Roman" w:eastAsia="宋体" w:cs="宋体"/>
                <w:color w:val="auto"/>
                <w:sz w:val="21"/>
                <w:szCs w:val="21"/>
              </w:rPr>
            </w:pPr>
            <w:r>
              <w:rPr>
                <w:rFonts w:hint="eastAsia" w:asci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禁止建设在国家或地方法律、法规规定需特殊保护的其它区域</w:t>
            </w:r>
          </w:p>
        </w:tc>
        <w:tc>
          <w:tcPr>
            <w:tcW w:w="2633" w:type="dxa"/>
            <w:tcBorders>
              <w:tl2br w:val="nil"/>
              <w:tr2bl w:val="nil"/>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周边无需特殊保护的区域</w:t>
            </w:r>
          </w:p>
        </w:tc>
        <w:tc>
          <w:tcPr>
            <w:tcW w:w="956" w:type="dxa"/>
            <w:tcBorders>
              <w:tl2br w:val="nil"/>
              <w:tr2bl w:val="nil"/>
            </w:tcBorders>
            <w:vAlign w:val="center"/>
          </w:tcPr>
          <w:p>
            <w:pPr>
              <w:rPr>
                <w:rFonts w:ascii="Times New Roman" w:eastAsia="宋体" w:cs="宋体"/>
                <w:color w:val="auto"/>
                <w:sz w:val="21"/>
                <w:szCs w:val="21"/>
              </w:rPr>
            </w:pPr>
            <w:r>
              <w:rPr>
                <w:rFonts w:hint="eastAsia" w:asci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在禁建区域附近建设的，应设在禁建区域常年主导风向的下风向或侧风向处，场界与禁建区域边界的最小距离不得小于500m</w:t>
            </w:r>
          </w:p>
        </w:tc>
        <w:tc>
          <w:tcPr>
            <w:tcW w:w="2633" w:type="dxa"/>
            <w:tcBorders>
              <w:tl2br w:val="nil"/>
              <w:tr2bl w:val="nil"/>
            </w:tcBorders>
            <w:vAlign w:val="center"/>
          </w:tcPr>
          <w:p>
            <w:pPr>
              <w:pStyle w:val="387"/>
              <w:ind w:firstLine="0"/>
              <w:jc w:val="center"/>
              <w:rPr>
                <w:rFonts w:hint="default"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厂界周边500m范围内无禁建区</w:t>
            </w:r>
          </w:p>
        </w:tc>
        <w:tc>
          <w:tcPr>
            <w:tcW w:w="956" w:type="dxa"/>
            <w:tcBorders>
              <w:tl2br w:val="nil"/>
              <w:tr2bl w:val="nil"/>
            </w:tcBorders>
            <w:vAlign w:val="center"/>
          </w:tcPr>
          <w:p>
            <w:pPr>
              <w:rPr>
                <w:rFonts w:ascii="Times New Roman" w:eastAsia="宋体" w:cs="宋体"/>
                <w:color w:val="auto"/>
                <w:sz w:val="21"/>
                <w:szCs w:val="21"/>
              </w:rPr>
            </w:pPr>
            <w:r>
              <w:rPr>
                <w:rFonts w:hint="eastAsia" w:ascii="Times New Roman"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58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2</w:t>
            </w:r>
          </w:p>
        </w:tc>
        <w:tc>
          <w:tcPr>
            <w:tcW w:w="91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场区布局与清粪工艺</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新建、改建、扩建的畜禽养殖场应实现生产区、生活管理区的隔离，粪便污水处理设施和禽畜尸体焚烧炉应设在养殖场的生产区、生活管理区的常年主导风向的下风向或侧风向处。</w:t>
            </w:r>
          </w:p>
        </w:tc>
        <w:tc>
          <w:tcPr>
            <w:tcW w:w="2633"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本项目对生产区和生活管理区进行有效隔离；无粪便处理设施和禽畜尸体焚烧炉；沉淀池于厂区南侧，在养殖场的生产区、生活管理区的常年主导风向的下风向或侧风向处。</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养殖场的排水系统应实行雨水和污水收集输送系统分离，在场区内外设警的污水收集输送系统。不得采取明沟布设。</w:t>
            </w:r>
          </w:p>
        </w:tc>
        <w:tc>
          <w:tcPr>
            <w:tcW w:w="2633"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本项目雨污分流，雨水排入</w:t>
            </w:r>
            <w:r>
              <w:rPr>
                <w:rFonts w:hint="eastAsia" w:eastAsia="宋体" w:cs="宋体"/>
                <w:color w:val="auto"/>
                <w:sz w:val="21"/>
                <w:szCs w:val="21"/>
                <w:lang w:val="en-US" w:eastAsia="zh-CN"/>
              </w:rPr>
              <w:t>西侧</w:t>
            </w:r>
            <w:r>
              <w:rPr>
                <w:rFonts w:hint="eastAsia" w:eastAsia="宋体" w:cs="宋体"/>
                <w:color w:val="auto"/>
                <w:sz w:val="21"/>
                <w:szCs w:val="21"/>
              </w:rPr>
              <w:t>鱼塘，养殖废水经收集后外运至新华污水处理厂，无明沟。</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新建、改建、扩建的畜禽养殖场应采取干法清粪工艺，采取有效措施将粪及时、单独清出，不可与尿、污水混合排出，并将产生的粪渣及时运至贮存或处理场所，实现日产日清。采用水冲粪、水泡粪湿法清粪工艺的养殖场，要逐步改为干法清粪工艺。</w:t>
            </w:r>
          </w:p>
        </w:tc>
        <w:tc>
          <w:tcPr>
            <w:tcW w:w="2633" w:type="dxa"/>
            <w:tcBorders>
              <w:tl2br w:val="nil"/>
              <w:tr2bl w:val="nil"/>
            </w:tcBorders>
            <w:vAlign w:val="center"/>
          </w:tcPr>
          <w:p>
            <w:pPr>
              <w:pStyle w:val="422"/>
              <w:widowControl w:val="0"/>
              <w:spacing w:line="240" w:lineRule="auto"/>
              <w:rPr>
                <w:rFonts w:hint="default" w:eastAsia="宋体" w:cs="宋体"/>
                <w:color w:val="auto"/>
                <w:sz w:val="21"/>
                <w:szCs w:val="21"/>
                <w:lang w:val="en-US" w:eastAsia="zh-CN"/>
              </w:rPr>
            </w:pPr>
            <w:r>
              <w:rPr>
                <w:rFonts w:hint="eastAsia" w:eastAsia="宋体" w:cs="宋体"/>
                <w:color w:val="auto"/>
                <w:sz w:val="21"/>
                <w:szCs w:val="21"/>
              </w:rPr>
              <w:t>本项目为干法清粪工艺，每天1-2次自动清粪，日产日售，</w:t>
            </w:r>
            <w:r>
              <w:rPr>
                <w:rFonts w:hint="eastAsia" w:eastAsia="宋体" w:cs="宋体"/>
                <w:color w:val="auto"/>
                <w:sz w:val="21"/>
                <w:szCs w:val="21"/>
                <w:lang w:val="en-US" w:eastAsia="zh-CN"/>
              </w:rPr>
              <w:t>暂存于舍内的鸡粪暂存区，定期外售制肥</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58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3</w:t>
            </w:r>
          </w:p>
        </w:tc>
        <w:tc>
          <w:tcPr>
            <w:tcW w:w="91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畜禽粪便的贮存</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畜禽养殖场产生的畜禽粪便应设置专门的贮存设施，其恶臭及污染物排放应符合《畜禽养殖业污染物排放标准》。</w:t>
            </w:r>
          </w:p>
        </w:tc>
        <w:tc>
          <w:tcPr>
            <w:tcW w:w="2633" w:type="dxa"/>
            <w:vMerge w:val="restart"/>
            <w:tcBorders>
              <w:tl2br w:val="nil"/>
              <w:tr2bl w:val="nil"/>
            </w:tcBorders>
            <w:vAlign w:val="center"/>
          </w:tcPr>
          <w:p>
            <w:pPr>
              <w:pStyle w:val="422"/>
              <w:widowControl w:val="0"/>
              <w:spacing w:line="240" w:lineRule="auto"/>
              <w:jc w:val="both"/>
              <w:rPr>
                <w:rFonts w:eastAsia="宋体" w:cs="宋体"/>
                <w:color w:val="auto"/>
                <w:sz w:val="21"/>
                <w:szCs w:val="21"/>
              </w:rPr>
            </w:pPr>
            <w:r>
              <w:rPr>
                <w:rFonts w:hint="eastAsia" w:eastAsia="宋体" w:cs="宋体"/>
                <w:color w:val="auto"/>
                <w:sz w:val="21"/>
                <w:szCs w:val="21"/>
              </w:rPr>
              <w:t>本项目为干法清粪工艺，每天自动清粪，收集后</w:t>
            </w:r>
            <w:r>
              <w:rPr>
                <w:rFonts w:hint="eastAsia" w:eastAsia="宋体" w:cs="宋体"/>
                <w:color w:val="auto"/>
                <w:sz w:val="21"/>
                <w:szCs w:val="21"/>
                <w:lang w:val="en-US" w:eastAsia="zh-CN"/>
              </w:rPr>
              <w:t>暂存于鸡粪暂存区，后定期</w:t>
            </w:r>
            <w:r>
              <w:rPr>
                <w:rFonts w:hint="eastAsia" w:eastAsia="宋体" w:cs="宋体"/>
                <w:color w:val="auto"/>
                <w:sz w:val="21"/>
                <w:szCs w:val="21"/>
              </w:rPr>
              <w:t>外售给湖南春雨生物科技有限公司。</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贮存设施的位置必须远离各类功能地表水体(距离不得小于400m)，并应设在养殖场生产及生活管理区的常年主导风向的下风向或侧风向处。</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贮存设施应采取有效的防渗处理工艺，防止畜禽粪便污染地下水。</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对于种养结合的养殖场，畜禽粪便贮存设施的总容积不得低于当地农林作物生产用肥的最大间隔时间内本养殖场所产生粪便的总量。</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贮存设施应采取设置顶盖等防止降雨(水)进人的措施。</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58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4</w:t>
            </w:r>
          </w:p>
        </w:tc>
        <w:tc>
          <w:tcPr>
            <w:tcW w:w="91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污水的处理</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畜禽养殖过程中产生的污水应坚持种养结合的原则，经无害化处理后尽量充分还田，实现污水资源化利用。</w:t>
            </w:r>
          </w:p>
        </w:tc>
        <w:tc>
          <w:tcPr>
            <w:tcW w:w="2633" w:type="dxa"/>
            <w:vMerge w:val="restart"/>
            <w:tcBorders>
              <w:tl2br w:val="nil"/>
              <w:tr2bl w:val="nil"/>
            </w:tcBorders>
            <w:vAlign w:val="center"/>
          </w:tcPr>
          <w:p>
            <w:pPr>
              <w:rPr>
                <w:rFonts w:ascii="Times New Roman" w:eastAsia="宋体"/>
                <w:color w:val="auto"/>
                <w:szCs w:val="24"/>
              </w:rPr>
            </w:pPr>
            <w:r>
              <w:rPr>
                <w:rFonts w:hint="eastAsia" w:ascii="Times New Roman" w:eastAsia="宋体" w:cs="宋体"/>
                <w:color w:val="auto"/>
                <w:sz w:val="21"/>
                <w:szCs w:val="21"/>
              </w:rPr>
              <w:t>养殖废水经沉淀池（400m</w:t>
            </w:r>
            <w:r>
              <w:rPr>
                <w:rFonts w:ascii="Times New Roman" w:eastAsia="宋体" w:cs="宋体"/>
                <w:color w:val="auto"/>
                <w:sz w:val="21"/>
                <w:szCs w:val="21"/>
                <w:vertAlign w:val="superscript"/>
              </w:rPr>
              <w:t>3</w:t>
            </w:r>
            <w:r>
              <w:rPr>
                <w:rFonts w:hint="eastAsia" w:ascii="Times New Roman" w:eastAsia="宋体" w:cs="宋体"/>
                <w:color w:val="auto"/>
                <w:sz w:val="21"/>
                <w:szCs w:val="21"/>
              </w:rPr>
              <w:t>）处理后，委托湖南春雨生物科技有限公司用密闭槽罐车运送至公司新华养殖场污水处理站处理，处理达标后用于周边林果地浇灌。</w:t>
            </w:r>
          </w:p>
          <w:p>
            <w:pPr>
              <w:pStyle w:val="422"/>
              <w:widowControl w:val="0"/>
              <w:spacing w:line="240" w:lineRule="auto"/>
              <w:rPr>
                <w:rFonts w:eastAsia="宋体" w:cs="宋体"/>
                <w:color w:val="auto"/>
                <w:sz w:val="21"/>
                <w:szCs w:val="21"/>
              </w:rPr>
            </w:pP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污水经治理后向环境中排放，应符合《畜禽养殖业污染物排放标准》的规定，有地方排放标准的应执行地方排放标准。污水作为灌溉用水排入农田前，必须采取有效措施进行净化处理(包括机械的、物理的、化学的和生物学的)，并须符合《农田灌溉水质标准》(GB5084-92)的要求……</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582"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5</w:t>
            </w:r>
          </w:p>
        </w:tc>
        <w:tc>
          <w:tcPr>
            <w:tcW w:w="912"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固体粪肥的处理利用</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土地利用:畜禽粪便必须经过无害化处理，并且须符合《粪便无害化卫生标准》后，才能进行土地利用，禁止未经处理的畜禽粪便直接施人农田……</w:t>
            </w:r>
          </w:p>
        </w:tc>
        <w:tc>
          <w:tcPr>
            <w:tcW w:w="2633"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本项目鸡粪经收集后</w:t>
            </w:r>
            <w:r>
              <w:rPr>
                <w:rFonts w:hint="eastAsia" w:eastAsia="宋体" w:cs="宋体"/>
                <w:color w:val="auto"/>
                <w:sz w:val="21"/>
                <w:szCs w:val="21"/>
                <w:lang w:val="en-US" w:eastAsia="zh-CN"/>
              </w:rPr>
              <w:t>暂存于舍内鸡粪暂存区，后定期</w:t>
            </w:r>
            <w:r>
              <w:rPr>
                <w:rFonts w:hint="eastAsia" w:eastAsia="宋体" w:cs="宋体"/>
                <w:color w:val="auto"/>
                <w:sz w:val="21"/>
                <w:szCs w:val="21"/>
              </w:rPr>
              <w:t>外售</w:t>
            </w:r>
            <w:r>
              <w:rPr>
                <w:rFonts w:hint="eastAsia" w:eastAsia="宋体" w:cs="宋体"/>
                <w:color w:val="auto"/>
                <w:sz w:val="21"/>
                <w:szCs w:val="21"/>
                <w:lang w:val="en-US" w:eastAsia="zh-CN"/>
              </w:rPr>
              <w:t>制肥</w:t>
            </w:r>
            <w:r>
              <w:rPr>
                <w:rFonts w:hint="eastAsia" w:eastAsia="宋体" w:cs="宋体"/>
                <w:color w:val="auto"/>
                <w:sz w:val="21"/>
                <w:szCs w:val="21"/>
              </w:rPr>
              <w:t>。</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8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6</w:t>
            </w:r>
          </w:p>
        </w:tc>
        <w:tc>
          <w:tcPr>
            <w:tcW w:w="91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饲料和饲养管理</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畜禽养殖饲料应采用合理配方，如理想蛋白质体系配方等，提高蛋白质及其它营养的吸收效率，减少氮的排放量和粪的产生量。</w:t>
            </w:r>
          </w:p>
        </w:tc>
        <w:tc>
          <w:tcPr>
            <w:tcW w:w="2633"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饲料主要由玉米、小麦和豆粕组成，添加微生物制剂（EM原液），以减少污染物排放和恶臭气体的产生。</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提倡使用微生物制剂、酶制剂和植物提取液等活性物质，减少污染物排放和恶臭气体的产生。</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养殖场场区、畜禽舍、器械等消毒应采用环境友好的消毒剂和消毒措施(包括紫外、臭氧、双氧水等方法)，防止产生氯代有机物及其它的二次污染物。</w:t>
            </w:r>
          </w:p>
        </w:tc>
        <w:tc>
          <w:tcPr>
            <w:tcW w:w="2633"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入场门口设有消毒水池对车辆消毒，同时设有消毒室，采用安全消毒液（百毒杀和澳洁康）对入场人员进行消毒，无产生氯代有机物及其它的二次污染物</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7</w:t>
            </w:r>
          </w:p>
        </w:tc>
        <w:tc>
          <w:tcPr>
            <w:tcW w:w="91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病死畜禽尸体的处理与处置</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病死禽畜尸体要及时处理，严禁随意丢弃，严禁出售或作为饲料再利用。</w:t>
            </w:r>
          </w:p>
        </w:tc>
        <w:tc>
          <w:tcPr>
            <w:tcW w:w="2633" w:type="dxa"/>
            <w:vMerge w:val="restart"/>
            <w:tcBorders>
              <w:tl2br w:val="nil"/>
              <w:tr2bl w:val="nil"/>
            </w:tcBorders>
            <w:vAlign w:val="center"/>
          </w:tcPr>
          <w:p>
            <w:pPr>
              <w:pStyle w:val="422"/>
              <w:widowControl w:val="0"/>
              <w:spacing w:line="240" w:lineRule="auto"/>
              <w:rPr>
                <w:rFonts w:eastAsia="宋体" w:cs="宋体"/>
                <w:color w:val="auto"/>
                <w:kern w:val="2"/>
                <w:sz w:val="21"/>
                <w:szCs w:val="21"/>
              </w:rPr>
            </w:pPr>
            <w:r>
              <w:rPr>
                <w:rFonts w:hint="eastAsia" w:eastAsia="宋体" w:cs="宋体"/>
                <w:color w:val="auto"/>
                <w:kern w:val="2"/>
                <w:sz w:val="21"/>
                <w:szCs w:val="21"/>
              </w:rPr>
              <w:t>本项目病死鸡</w:t>
            </w:r>
            <w:r>
              <w:rPr>
                <w:rFonts w:hint="eastAsia" w:eastAsia="宋体" w:cs="宋体"/>
                <w:color w:val="auto"/>
                <w:kern w:val="2"/>
                <w:sz w:val="21"/>
                <w:szCs w:val="21"/>
                <w:lang w:val="en-US" w:eastAsia="zh-CN"/>
              </w:rPr>
              <w:t>由</w:t>
            </w:r>
            <w:r>
              <w:rPr>
                <w:rFonts w:hint="eastAsia" w:eastAsia="宋体" w:cs="宋体"/>
                <w:color w:val="auto"/>
                <w:kern w:val="2"/>
                <w:sz w:val="21"/>
                <w:szCs w:val="21"/>
              </w:rPr>
              <w:t>岳阳县病死畜禽无害化处理厂</w:t>
            </w:r>
            <w:r>
              <w:rPr>
                <w:rFonts w:hint="eastAsia" w:eastAsia="宋体" w:cs="宋体"/>
                <w:color w:val="auto"/>
                <w:kern w:val="2"/>
                <w:sz w:val="21"/>
                <w:szCs w:val="21"/>
                <w:lang w:val="en-US" w:eastAsia="zh-CN"/>
              </w:rPr>
              <w:t>收集并</w:t>
            </w:r>
            <w:r>
              <w:rPr>
                <w:rFonts w:hint="eastAsia" w:eastAsia="宋体" w:cs="宋体"/>
                <w:color w:val="auto"/>
                <w:kern w:val="2"/>
                <w:sz w:val="21"/>
                <w:szCs w:val="21"/>
              </w:rPr>
              <w:t>处理，不自行处理，符合要求。</w:t>
            </w:r>
          </w:p>
        </w:tc>
        <w:tc>
          <w:tcPr>
            <w:tcW w:w="956"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病死禽畜尸体处理应采用焚烧炉焚烧的方法……</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不具备焚烧条件的养殖场应设置两个以上安全填埋井.填埋井应为……</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8</w:t>
            </w:r>
          </w:p>
        </w:tc>
        <w:tc>
          <w:tcPr>
            <w:tcW w:w="912" w:type="dxa"/>
            <w:vMerge w:val="restart"/>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畜禽养殖场排放污染物的监测</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畜禽养殖场应安装水表、对用水实行计量管理.</w:t>
            </w:r>
          </w:p>
        </w:tc>
        <w:tc>
          <w:tcPr>
            <w:tcW w:w="2633" w:type="dxa"/>
            <w:vMerge w:val="restart"/>
            <w:tcBorders>
              <w:tl2br w:val="nil"/>
              <w:tr2bl w:val="nil"/>
            </w:tcBorders>
            <w:vAlign w:val="center"/>
          </w:tcPr>
          <w:p>
            <w:pPr>
              <w:pStyle w:val="422"/>
              <w:widowControl w:val="0"/>
              <w:spacing w:line="240" w:lineRule="auto"/>
              <w:rPr>
                <w:rFonts w:hint="eastAsia" w:eastAsia="宋体" w:cs="宋体"/>
                <w:color w:val="auto"/>
                <w:sz w:val="21"/>
                <w:szCs w:val="21"/>
                <w:lang w:eastAsia="zh-CN"/>
              </w:rPr>
            </w:pPr>
            <w:r>
              <w:rPr>
                <w:rFonts w:hint="eastAsia" w:eastAsia="宋体" w:cs="宋体"/>
                <w:color w:val="auto"/>
                <w:sz w:val="21"/>
                <w:szCs w:val="21"/>
              </w:rPr>
              <w:t>本项目建设后将</w:t>
            </w:r>
            <w:r>
              <w:rPr>
                <w:rFonts w:hint="eastAsia" w:ascii="Times New Roman" w:hAnsi="Times New Roman" w:eastAsia="宋体" w:cs="宋体"/>
                <w:color w:val="auto"/>
                <w:sz w:val="21"/>
                <w:szCs w:val="21"/>
              </w:rPr>
              <w:t>应安装水表</w:t>
            </w:r>
            <w:r>
              <w:rPr>
                <w:rFonts w:hint="eastAsia" w:eastAsia="宋体" w:cs="宋体"/>
                <w:color w:val="auto"/>
                <w:sz w:val="21"/>
                <w:szCs w:val="21"/>
                <w:lang w:eastAsia="zh-CN"/>
              </w:rPr>
              <w:t>，</w:t>
            </w:r>
            <w:r>
              <w:rPr>
                <w:rFonts w:hint="eastAsia" w:ascii="Times New Roman" w:hAnsi="Times New Roman" w:eastAsia="宋体" w:cs="宋体"/>
                <w:color w:val="auto"/>
                <w:sz w:val="21"/>
                <w:szCs w:val="21"/>
              </w:rPr>
              <w:t>对用水实行计量管理</w:t>
            </w:r>
            <w:r>
              <w:rPr>
                <w:rFonts w:hint="eastAsia" w:eastAsia="宋体" w:cs="宋体"/>
                <w:color w:val="auto"/>
                <w:sz w:val="21"/>
                <w:szCs w:val="21"/>
                <w:lang w:eastAsia="zh-CN"/>
              </w:rPr>
              <w:t>；</w:t>
            </w:r>
            <w:r>
              <w:rPr>
                <w:rFonts w:hint="eastAsia" w:eastAsia="宋体" w:cs="宋体"/>
                <w:color w:val="auto"/>
                <w:sz w:val="21"/>
                <w:szCs w:val="21"/>
                <w:lang w:val="en-US" w:eastAsia="zh-CN"/>
              </w:rPr>
              <w:t>建设单位</w:t>
            </w:r>
            <w:r>
              <w:rPr>
                <w:rFonts w:hint="eastAsia" w:ascii="Times New Roman" w:hAnsi="Times New Roman" w:eastAsia="宋体" w:cs="宋体"/>
                <w:color w:val="auto"/>
                <w:sz w:val="21"/>
                <w:szCs w:val="21"/>
              </w:rPr>
              <w:t>每年应至少两次定期向当地环境保护行政主管部门报告污水处理设施和粪便处理设施的运行情况，</w:t>
            </w:r>
            <w:r>
              <w:rPr>
                <w:rFonts w:hint="eastAsia" w:eastAsia="宋体" w:cs="宋体"/>
                <w:color w:val="auto"/>
                <w:sz w:val="21"/>
                <w:szCs w:val="21"/>
                <w:lang w:val="en-US" w:eastAsia="zh-CN"/>
              </w:rPr>
              <w:t>并</w:t>
            </w:r>
            <w:r>
              <w:rPr>
                <w:rFonts w:hint="eastAsia" w:ascii="Times New Roman" w:hAnsi="Times New Roman" w:eastAsia="宋体" w:cs="宋体"/>
                <w:color w:val="auto"/>
                <w:sz w:val="21"/>
                <w:szCs w:val="21"/>
              </w:rPr>
              <w:t>提交监测报告。</w:t>
            </w:r>
          </w:p>
        </w:tc>
        <w:tc>
          <w:tcPr>
            <w:tcW w:w="956" w:type="dxa"/>
            <w:vMerge w:val="restart"/>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畜禽养殖场每年应至少两次定期向当地环境保护行政主管部门报告污水处理设施和粪便处理设施的运行情况，提交排放污水、废气、恶臭以及粪肥的无害化指标的监测报告。</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对粪便污水处理设施的水质应定期进行监测，确保达标排放。</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8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12"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排污口应设置国家环境保护总局统一规定的排污口标志。</w:t>
            </w:r>
          </w:p>
        </w:tc>
        <w:tc>
          <w:tcPr>
            <w:tcW w:w="2633"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c>
          <w:tcPr>
            <w:tcW w:w="956" w:type="dxa"/>
            <w:vMerge w:val="continue"/>
            <w:tcBorders>
              <w:tl2br w:val="nil"/>
              <w:tr2bl w:val="nil"/>
            </w:tcBorders>
            <w:vAlign w:val="center"/>
          </w:tcPr>
          <w:p>
            <w:pPr>
              <w:pStyle w:val="422"/>
              <w:widowControl w:val="0"/>
              <w:spacing w:line="240" w:lineRule="auto"/>
              <w:rPr>
                <w:rFonts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42" w:hRule="atLeast"/>
          <w:jc w:val="center"/>
        </w:trPr>
        <w:tc>
          <w:tcPr>
            <w:tcW w:w="582"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9</w:t>
            </w:r>
          </w:p>
        </w:tc>
        <w:tc>
          <w:tcPr>
            <w:tcW w:w="912"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其他</w:t>
            </w:r>
          </w:p>
        </w:tc>
        <w:tc>
          <w:tcPr>
            <w:tcW w:w="4075" w:type="dxa"/>
            <w:tcBorders>
              <w:tl2br w:val="nil"/>
              <w:tr2bl w:val="nil"/>
            </w:tcBorders>
            <w:vAlign w:val="center"/>
          </w:tcPr>
          <w:p>
            <w:pPr>
              <w:pStyle w:val="387"/>
              <w:spacing w:line="240" w:lineRule="auto"/>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养殖场防疫、化验等产生的危险废水和固体废弃物应按国家的有关规定进行处理。</w:t>
            </w:r>
          </w:p>
        </w:tc>
        <w:tc>
          <w:tcPr>
            <w:tcW w:w="2633"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不产生危险废水</w:t>
            </w:r>
            <w:r>
              <w:rPr>
                <w:rFonts w:hint="eastAsia" w:eastAsia="宋体" w:cs="宋体"/>
                <w:color w:val="auto"/>
                <w:sz w:val="21"/>
                <w:szCs w:val="21"/>
                <w:lang w:val="en-US" w:eastAsia="zh-CN"/>
              </w:rPr>
              <w:t>和</w:t>
            </w:r>
            <w:r>
              <w:rPr>
                <w:rFonts w:hint="eastAsia" w:eastAsia="宋体" w:cs="宋体"/>
                <w:color w:val="auto"/>
                <w:sz w:val="21"/>
                <w:szCs w:val="21"/>
              </w:rPr>
              <w:t>固体废物：生活垃圾由环卫部门统一清运；燃生物质灰渣</w:t>
            </w:r>
            <w:r>
              <w:rPr>
                <w:rFonts w:hint="eastAsia" w:eastAsia="宋体" w:cs="宋体"/>
                <w:color w:val="auto"/>
                <w:sz w:val="21"/>
                <w:szCs w:val="21"/>
                <w:lang w:eastAsia="zh-CN"/>
              </w:rPr>
              <w:t>、</w:t>
            </w:r>
            <w:r>
              <w:rPr>
                <w:rFonts w:hint="eastAsia" w:eastAsia="宋体" w:cs="宋体"/>
                <w:color w:val="auto"/>
                <w:sz w:val="21"/>
                <w:szCs w:val="21"/>
              </w:rPr>
              <w:t>收尘灰、污泥均用于周围农田施肥；病死鸡交由岳阳县病死禽无害化处理厂处理；鸡粪外售</w:t>
            </w:r>
            <w:r>
              <w:rPr>
                <w:rFonts w:hint="eastAsia" w:eastAsia="宋体" w:cs="宋体"/>
                <w:color w:val="auto"/>
                <w:sz w:val="21"/>
                <w:szCs w:val="21"/>
                <w:lang w:val="en-US" w:eastAsia="zh-CN"/>
              </w:rPr>
              <w:t>给</w:t>
            </w:r>
            <w:r>
              <w:rPr>
                <w:rFonts w:hint="eastAsia" w:eastAsia="宋体" w:cs="宋体"/>
                <w:color w:val="auto"/>
                <w:sz w:val="21"/>
                <w:szCs w:val="21"/>
              </w:rPr>
              <w:t>湖南春雨生物科技有限公司；医疗废物（危险废物）交由有资质第三方处置。</w:t>
            </w:r>
          </w:p>
        </w:tc>
        <w:tc>
          <w:tcPr>
            <w:tcW w:w="956" w:type="dxa"/>
            <w:tcBorders>
              <w:tl2br w:val="nil"/>
              <w:tr2bl w:val="nil"/>
            </w:tcBorders>
            <w:vAlign w:val="center"/>
          </w:tcPr>
          <w:p>
            <w:pPr>
              <w:pStyle w:val="422"/>
              <w:widowControl w:val="0"/>
              <w:spacing w:line="240" w:lineRule="auto"/>
              <w:rPr>
                <w:rFonts w:eastAsia="宋体" w:cs="宋体"/>
                <w:color w:val="auto"/>
                <w:sz w:val="21"/>
                <w:szCs w:val="21"/>
              </w:rPr>
            </w:pPr>
            <w:r>
              <w:rPr>
                <w:rFonts w:hint="eastAsia" w:eastAsia="宋体" w:cs="宋体"/>
                <w:color w:val="auto"/>
                <w:sz w:val="21"/>
                <w:szCs w:val="21"/>
              </w:rPr>
              <w:t>符合</w:t>
            </w:r>
          </w:p>
        </w:tc>
      </w:tr>
    </w:tbl>
    <w:p>
      <w:pPr>
        <w:spacing w:line="360" w:lineRule="auto"/>
        <w:ind w:firstLine="468"/>
        <w:jc w:val="left"/>
        <w:rPr>
          <w:rFonts w:ascii="Times New Roman" w:eastAsia="宋体"/>
          <w:bCs/>
          <w:color w:val="auto"/>
          <w:kern w:val="2"/>
          <w:szCs w:val="24"/>
        </w:rPr>
      </w:pPr>
      <w:r>
        <w:rPr>
          <w:rFonts w:hint="eastAsia" w:ascii="Times New Roman" w:eastAsia="宋体"/>
          <w:bCs/>
          <w:color w:val="auto"/>
          <w:kern w:val="2"/>
          <w:szCs w:val="24"/>
        </w:rPr>
        <w:t>由上表分析可知，项目建设符合《畜禽养殖业污染防治技术规范》（HJ/T81-2001）中要求。</w:t>
      </w:r>
    </w:p>
    <w:p>
      <w:pPr>
        <w:keepNext/>
        <w:keepLines/>
        <w:spacing w:line="360" w:lineRule="auto"/>
        <w:outlineLvl w:val="3"/>
        <w:rPr>
          <w:rFonts w:ascii="Times New Roman" w:eastAsia="宋体" w:cs="宋体"/>
          <w:color w:val="auto"/>
          <w:szCs w:val="24"/>
        </w:rPr>
      </w:pPr>
      <w:r>
        <w:rPr>
          <w:rFonts w:hint="eastAsia" w:ascii="Times New Roman" w:eastAsia="宋体" w:cs="宋体"/>
          <w:color w:val="auto"/>
          <w:szCs w:val="24"/>
        </w:rPr>
        <w:t>1.3.2.4. 与《畜禽养殖业污染治理工程技术规范》（HJ 497-2009）相符性分析</w:t>
      </w:r>
    </w:p>
    <w:p>
      <w:pPr>
        <w:pStyle w:val="46"/>
        <w:spacing w:after="0" w:line="360" w:lineRule="auto"/>
        <w:ind w:firstLine="0"/>
        <w:rPr>
          <w:rFonts w:ascii="Times New Roman" w:hAnsi="Times New Roman" w:eastAsia="宋体"/>
          <w:bCs/>
          <w:color w:val="auto"/>
          <w:kern w:val="2"/>
          <w:szCs w:val="24"/>
        </w:rPr>
      </w:pPr>
      <w:r>
        <w:rPr>
          <w:rFonts w:ascii="Times New Roman" w:hAnsi="Times New Roman" w:eastAsia="宋体"/>
          <w:bCs/>
          <w:color w:val="auto"/>
          <w:kern w:val="2"/>
          <w:szCs w:val="24"/>
        </w:rPr>
        <w:t>符合性分析</w:t>
      </w:r>
      <w:r>
        <w:rPr>
          <w:rFonts w:hint="eastAsia" w:ascii="Times New Roman" w:hAnsi="Times New Roman" w:eastAsia="宋体"/>
          <w:bCs/>
          <w:color w:val="auto"/>
          <w:kern w:val="2"/>
          <w:szCs w:val="24"/>
        </w:rPr>
        <w:t>详</w:t>
      </w:r>
      <w:r>
        <w:rPr>
          <w:rFonts w:ascii="Times New Roman" w:hAnsi="Times New Roman" w:eastAsia="宋体"/>
          <w:bCs/>
          <w:color w:val="auto"/>
          <w:kern w:val="2"/>
          <w:szCs w:val="24"/>
        </w:rPr>
        <w:t>见下表：</w:t>
      </w:r>
    </w:p>
    <w:p>
      <w:pPr>
        <w:pStyle w:val="418"/>
        <w:snapToGrid w:val="0"/>
        <w:spacing w:line="240" w:lineRule="auto"/>
        <w:rPr>
          <w:rFonts w:ascii="Times New Roman" w:hAnsi="Times New Roman"/>
          <w:b/>
          <w:color w:val="auto"/>
          <w:sz w:val="21"/>
          <w:szCs w:val="21"/>
        </w:rPr>
      </w:pPr>
      <w:r>
        <w:rPr>
          <w:rFonts w:ascii="Times New Roman" w:hAnsi="Times New Roman"/>
          <w:color w:val="auto"/>
          <w:sz w:val="21"/>
          <w:szCs w:val="21"/>
        </w:rPr>
        <w:t>表1.</w:t>
      </w:r>
      <w:r>
        <w:rPr>
          <w:rFonts w:hint="eastAsia" w:ascii="Times New Roman" w:hAnsi="Times New Roman"/>
          <w:color w:val="auto"/>
          <w:sz w:val="21"/>
          <w:szCs w:val="21"/>
        </w:rPr>
        <w:t>3</w:t>
      </w:r>
      <w:r>
        <w:rPr>
          <w:rFonts w:ascii="Times New Roman" w:hAnsi="Times New Roman"/>
          <w:color w:val="auto"/>
          <w:sz w:val="21"/>
          <w:szCs w:val="21"/>
        </w:rPr>
        <w:t>-</w:t>
      </w:r>
      <w:r>
        <w:rPr>
          <w:rFonts w:hint="eastAsia" w:ascii="Times New Roman" w:hAnsi="Times New Roman"/>
          <w:color w:val="auto"/>
          <w:sz w:val="21"/>
          <w:szCs w:val="21"/>
        </w:rPr>
        <w:t>3</w:t>
      </w:r>
      <w:r>
        <w:rPr>
          <w:rFonts w:ascii="Times New Roman" w:hAnsi="Times New Roman"/>
          <w:color w:val="auto"/>
          <w:sz w:val="21"/>
          <w:szCs w:val="21"/>
        </w:rPr>
        <w:t>与《畜禽养殖业污染治理工程技术规范》符合性分析一览表</w:t>
      </w:r>
    </w:p>
    <w:tbl>
      <w:tblPr>
        <w:tblStyle w:val="47"/>
        <w:tblW w:w="9071"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71"/>
        <w:gridCol w:w="4294"/>
        <w:gridCol w:w="2973"/>
        <w:gridCol w:w="93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00" w:hRule="exact"/>
        </w:trPr>
        <w:tc>
          <w:tcPr>
            <w:tcW w:w="480"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规范</w:t>
            </w:r>
          </w:p>
        </w:tc>
        <w:tc>
          <w:tcPr>
            <w:tcW w:w="2366"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规范要求</w:t>
            </w:r>
          </w:p>
        </w:tc>
        <w:tc>
          <w:tcPr>
            <w:tcW w:w="1638"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本项目情况</w:t>
            </w:r>
          </w:p>
        </w:tc>
        <w:tc>
          <w:tcPr>
            <w:tcW w:w="514"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符合性分析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430" w:hRule="exact"/>
        </w:trPr>
        <w:tc>
          <w:tcPr>
            <w:tcW w:w="480"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总平面布置</w:t>
            </w:r>
          </w:p>
        </w:tc>
        <w:tc>
          <w:tcPr>
            <w:tcW w:w="2366"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平面布置应以污水处理系统、固体粪便处理系统、恶臭集中处理系统为主体，其他各项设施应按粪污处理流程合理安排，确保相关设备充分发挥功能，保证设施运行稳定、维修方便、经济合理、安全卫生</w:t>
            </w:r>
          </w:p>
        </w:tc>
        <w:tc>
          <w:tcPr>
            <w:tcW w:w="1638"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本项目平面布置以积粪池、恶臭集中处理系统为主体，其他各项设施按粪污处理流程合理安排，污染防治设备经济合理。</w:t>
            </w:r>
          </w:p>
        </w:tc>
        <w:tc>
          <w:tcPr>
            <w:tcW w:w="514"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395" w:hRule="exact"/>
        </w:trPr>
        <w:tc>
          <w:tcPr>
            <w:tcW w:w="480" w:type="pct"/>
            <w:vMerge w:val="restar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选址要求</w:t>
            </w:r>
          </w:p>
        </w:tc>
        <w:tc>
          <w:tcPr>
            <w:tcW w:w="2366"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畜禽养殖业污染治理工程应与养殖场生产区、居民区等建筑保持一定的卫生防护距离，设置在畜禽养殖场的生产区、生活区主导风向的下风向或侧风向</w:t>
            </w:r>
          </w:p>
        </w:tc>
        <w:tc>
          <w:tcPr>
            <w:tcW w:w="1638" w:type="pct"/>
            <w:vAlign w:val="center"/>
          </w:tcPr>
          <w:p>
            <w:pPr>
              <w:pStyle w:val="387"/>
              <w:ind w:firstLine="0"/>
              <w:jc w:val="both"/>
              <w:rPr>
                <w:rFonts w:hint="eastAsia" w:ascii="Times New Roman" w:hAnsi="Times New Roman" w:eastAsia="宋体" w:cs="宋体"/>
                <w:color w:val="auto"/>
                <w:sz w:val="21"/>
                <w:szCs w:val="21"/>
                <w:lang w:eastAsia="zh-CN"/>
              </w:rPr>
            </w:pPr>
            <w:r>
              <w:rPr>
                <w:rFonts w:hint="eastAsia" w:ascii="Times New Roman" w:hAnsi="Times New Roman" w:eastAsia="宋体" w:cs="宋体"/>
                <w:color w:val="auto"/>
                <w:sz w:val="21"/>
                <w:szCs w:val="21"/>
              </w:rPr>
              <w:t>本项目污染治理工程</w:t>
            </w:r>
            <w:r>
              <w:rPr>
                <w:rFonts w:hint="eastAsia" w:ascii="Times New Roman" w:hAnsi="Times New Roman" w:eastAsia="宋体" w:cs="宋体"/>
                <w:color w:val="auto"/>
                <w:sz w:val="21"/>
                <w:szCs w:val="21"/>
                <w:lang w:val="en-US" w:eastAsia="zh-CN"/>
              </w:rPr>
              <w:t>主要有废气处理（除臭水帘）、废水沉淀池、固废和危废暂存间，该区域</w:t>
            </w:r>
            <w:r>
              <w:rPr>
                <w:rFonts w:hint="eastAsia" w:ascii="Times New Roman" w:hAnsi="Times New Roman" w:eastAsia="宋体" w:cs="宋体"/>
                <w:color w:val="auto"/>
                <w:sz w:val="21"/>
                <w:szCs w:val="21"/>
              </w:rPr>
              <w:t>与</w:t>
            </w:r>
            <w:r>
              <w:rPr>
                <w:rFonts w:hint="eastAsia" w:ascii="Times New Roman" w:hAnsi="Times New Roman" w:eastAsia="宋体" w:cs="宋体"/>
                <w:color w:val="auto"/>
                <w:sz w:val="21"/>
                <w:szCs w:val="21"/>
                <w:lang w:val="en-US" w:eastAsia="zh-CN"/>
              </w:rPr>
              <w:t>鸡舍进行分区设置，且位于</w:t>
            </w:r>
            <w:r>
              <w:rPr>
                <w:rFonts w:hint="eastAsia" w:ascii="Times New Roman" w:hAnsi="Times New Roman" w:eastAsia="宋体" w:cs="宋体"/>
                <w:color w:val="auto"/>
                <w:sz w:val="21"/>
                <w:szCs w:val="21"/>
              </w:rPr>
              <w:t>生产区、生活区主导风向的下风向</w:t>
            </w:r>
            <w:r>
              <w:rPr>
                <w:rFonts w:hint="eastAsia" w:ascii="Times New Roman" w:hAnsi="Times New Roman" w:eastAsia="宋体" w:cs="宋体"/>
                <w:color w:val="auto"/>
                <w:sz w:val="21"/>
                <w:szCs w:val="21"/>
                <w:lang w:eastAsia="zh-CN"/>
              </w:rPr>
              <w:t>。</w:t>
            </w:r>
          </w:p>
        </w:tc>
        <w:tc>
          <w:tcPr>
            <w:tcW w:w="514"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432" w:hRule="exact"/>
        </w:trPr>
        <w:tc>
          <w:tcPr>
            <w:tcW w:w="480" w:type="pct"/>
            <w:vMerge w:val="continue"/>
            <w:vAlign w:val="center"/>
          </w:tcPr>
          <w:p>
            <w:pPr>
              <w:pStyle w:val="387"/>
              <w:jc w:val="center"/>
              <w:rPr>
                <w:rFonts w:ascii="Times New Roman" w:hAnsi="Times New Roman" w:eastAsia="宋体" w:cs="宋体"/>
                <w:color w:val="auto"/>
                <w:sz w:val="21"/>
                <w:szCs w:val="21"/>
              </w:rPr>
            </w:pPr>
          </w:p>
        </w:tc>
        <w:tc>
          <w:tcPr>
            <w:tcW w:w="2366"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畜禽养殖业污染治理工程的位置应有利于排放、资源化利用和运输，并留有扩建的余地，方便施工、运行和维护</w:t>
            </w:r>
          </w:p>
        </w:tc>
        <w:tc>
          <w:tcPr>
            <w:tcW w:w="1638"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本项目粪污、养殖废水均不在厂区内处理，且周边多为一般林地和农田，有扩建的余地，方便施工、运行和维护</w:t>
            </w:r>
          </w:p>
        </w:tc>
        <w:tc>
          <w:tcPr>
            <w:tcW w:w="514"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63" w:hRule="exact"/>
        </w:trPr>
        <w:tc>
          <w:tcPr>
            <w:tcW w:w="480" w:type="pct"/>
            <w:vMerge w:val="restar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工艺选择</w:t>
            </w:r>
          </w:p>
        </w:tc>
        <w:tc>
          <w:tcPr>
            <w:tcW w:w="2366"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新建、改建、扩建的畜禽养殖场宜采用干清粪工艺。现有采用水冲粪、水泡粪清粪工艺的养殖场，应逐步改为干清粪工艺；畜禽粪污应日产日清。畜禽养殖场应建立排水系。</w:t>
            </w:r>
          </w:p>
        </w:tc>
        <w:tc>
          <w:tcPr>
            <w:tcW w:w="1638"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本项目采用干清粪工艺，鸡粪日产日清；建立排水系统，落实雨污分流。</w:t>
            </w:r>
          </w:p>
        </w:tc>
        <w:tc>
          <w:tcPr>
            <w:tcW w:w="514"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62" w:hRule="exact"/>
        </w:trPr>
        <w:tc>
          <w:tcPr>
            <w:tcW w:w="480" w:type="pct"/>
            <w:vMerge w:val="continue"/>
            <w:vAlign w:val="center"/>
          </w:tcPr>
          <w:p>
            <w:pPr>
              <w:pStyle w:val="387"/>
              <w:jc w:val="center"/>
              <w:rPr>
                <w:rFonts w:ascii="Times New Roman" w:hAnsi="Times New Roman" w:eastAsia="宋体" w:cs="宋体"/>
                <w:color w:val="auto"/>
                <w:sz w:val="21"/>
                <w:szCs w:val="21"/>
              </w:rPr>
            </w:pPr>
          </w:p>
        </w:tc>
        <w:tc>
          <w:tcPr>
            <w:tcW w:w="2366" w:type="pct"/>
            <w:vAlign w:val="center"/>
          </w:tcPr>
          <w:p>
            <w:pPr>
              <w:pStyle w:val="387"/>
              <w:ind w:firstLine="0"/>
              <w:jc w:val="both"/>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选用粪污处理工艺时，应根据养殖场的养殖种类、养殖规模、粪污收集方式、当地的自然地理环境条件以及排水去向等因素确定工艺路线及处理目标，并应充分考虑畜禽养殖废水的特殊性，在实现综合利用或达标排放的情况下，优先选择低运行成本的处理工艺；应慎重选用物化处理工艺；养殖规模在存栏（以</w:t>
            </w:r>
            <w:r>
              <w:rPr>
                <w:rFonts w:hint="eastAsia" w:ascii="Times New Roman" w:hAnsi="Times New Roman" w:eastAsia="宋体" w:cs="宋体"/>
                <w:color w:val="auto"/>
                <w:sz w:val="21"/>
                <w:szCs w:val="21"/>
                <w:lang w:val="en-US" w:eastAsia="zh-CN"/>
              </w:rPr>
              <w:t>猪</w:t>
            </w:r>
            <w:r>
              <w:rPr>
                <w:rFonts w:hint="eastAsia" w:ascii="Times New Roman" w:hAnsi="Times New Roman" w:eastAsia="宋体" w:cs="宋体"/>
                <w:color w:val="auto"/>
                <w:sz w:val="21"/>
                <w:szCs w:val="21"/>
              </w:rPr>
              <w:t>计）2000头及以下的应尽可能采用模式I或模式II处理工艺，存栏（以</w:t>
            </w:r>
            <w:r>
              <w:rPr>
                <w:rFonts w:hint="eastAsia" w:ascii="Times New Roman" w:hAnsi="Times New Roman" w:eastAsia="宋体" w:cs="宋体"/>
                <w:color w:val="auto"/>
                <w:sz w:val="21"/>
                <w:szCs w:val="21"/>
                <w:lang w:val="en-US" w:eastAsia="zh-CN"/>
              </w:rPr>
              <w:t>猪</w:t>
            </w:r>
            <w:r>
              <w:rPr>
                <w:rFonts w:hint="eastAsia" w:ascii="Times New Roman" w:hAnsi="Times New Roman" w:eastAsia="宋体" w:cs="宋体"/>
                <w:color w:val="auto"/>
                <w:sz w:val="21"/>
                <w:szCs w:val="21"/>
              </w:rPr>
              <w:t>计）10000头及以上的应尽可能采用模式III处理工艺，固体粪便宜采用好氧堆肥等技术单独进行无害化处理；当采用干清粪工艺时，清粪比例宜控制在70%。</w:t>
            </w:r>
          </w:p>
        </w:tc>
        <w:tc>
          <w:tcPr>
            <w:tcW w:w="1638" w:type="pct"/>
            <w:vAlign w:val="center"/>
          </w:tcPr>
          <w:p>
            <w:pPr>
              <w:pStyle w:val="387"/>
              <w:ind w:firstLine="0"/>
              <w:jc w:val="both"/>
              <w:rPr>
                <w:rFonts w:hint="default"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rPr>
              <w:t>本项目养殖规模年出栏100万羽，采用</w:t>
            </w:r>
            <w:r>
              <w:rPr>
                <w:rFonts w:hint="eastAsia" w:ascii="Times New Roman" w:hAnsi="Times New Roman" w:eastAsia="宋体" w:cs="宋体"/>
                <w:color w:val="auto"/>
                <w:sz w:val="21"/>
                <w:szCs w:val="21"/>
                <w:lang w:val="en-US" w:eastAsia="zh-CN"/>
              </w:rPr>
              <w:t>机械</w:t>
            </w:r>
            <w:r>
              <w:rPr>
                <w:rFonts w:hint="eastAsia" w:ascii="Times New Roman" w:hAnsi="Times New Roman" w:eastAsia="宋体" w:cs="宋体"/>
                <w:color w:val="auto"/>
                <w:sz w:val="21"/>
                <w:szCs w:val="21"/>
              </w:rPr>
              <w:t>干清粪工艺；本项目废水处理依托公司新华养殖场的污水处理设施，处理工艺采用了《畜禽养殖业污染治理工程技术规范》中模式Ⅲ处理工艺</w:t>
            </w:r>
            <w:r>
              <w:rPr>
                <w:rFonts w:hint="eastAsia" w:ascii="Times New Roman" w:hAnsi="Times New Roman" w:eastAsia="宋体" w:cs="宋体"/>
                <w:color w:val="auto"/>
                <w:sz w:val="21"/>
                <w:szCs w:val="21"/>
                <w:lang w:eastAsia="zh-CN"/>
              </w:rPr>
              <w:t>；</w:t>
            </w:r>
            <w:r>
              <w:rPr>
                <w:rFonts w:hint="eastAsia" w:ascii="Times New Roman" w:hAnsi="Times New Roman" w:eastAsia="宋体" w:cs="宋体"/>
                <w:color w:val="auto"/>
                <w:sz w:val="21"/>
                <w:szCs w:val="21"/>
              </w:rPr>
              <w:t>固体粪便</w:t>
            </w:r>
            <w:r>
              <w:rPr>
                <w:rFonts w:hint="eastAsia" w:ascii="Times New Roman" w:hAnsi="Times New Roman" w:eastAsia="宋体" w:cs="宋体"/>
                <w:color w:val="auto"/>
                <w:sz w:val="21"/>
                <w:szCs w:val="21"/>
                <w:lang w:val="en-US" w:eastAsia="zh-CN"/>
              </w:rPr>
              <w:t>不在本场处置，外售制成有机肥。</w:t>
            </w:r>
          </w:p>
        </w:tc>
        <w:tc>
          <w:tcPr>
            <w:tcW w:w="514" w:type="pct"/>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bl>
    <w:p>
      <w:pPr>
        <w:widowControl/>
        <w:adjustRightInd w:val="0"/>
        <w:snapToGrid w:val="0"/>
        <w:spacing w:line="360" w:lineRule="auto"/>
        <w:ind w:firstLine="420"/>
        <w:rPr>
          <w:rFonts w:ascii="Times New Roman" w:eastAsia="宋体"/>
          <w:bCs/>
          <w:color w:val="auto"/>
          <w:kern w:val="2"/>
          <w:szCs w:val="24"/>
        </w:rPr>
      </w:pPr>
      <w:r>
        <w:rPr>
          <w:rFonts w:hint="eastAsia" w:ascii="Times New Roman" w:eastAsia="宋体"/>
          <w:bCs/>
          <w:color w:val="auto"/>
          <w:kern w:val="2"/>
          <w:szCs w:val="24"/>
        </w:rPr>
        <w:t>从上表中分析可见，本项目符合《畜禽养殖业污染治理工程技术规范》（HJ497-2009）的相关要求。</w:t>
      </w:r>
    </w:p>
    <w:p>
      <w:pPr>
        <w:keepNext/>
        <w:keepLines/>
        <w:spacing w:line="360" w:lineRule="auto"/>
        <w:outlineLvl w:val="3"/>
        <w:rPr>
          <w:rFonts w:ascii="Times New Roman" w:eastAsia="宋体" w:cs="宋体"/>
          <w:color w:val="auto"/>
          <w:szCs w:val="24"/>
        </w:rPr>
      </w:pPr>
      <w:r>
        <w:rPr>
          <w:rFonts w:hint="eastAsia" w:ascii="Times New Roman" w:eastAsia="宋体" w:cs="宋体"/>
          <w:color w:val="auto"/>
          <w:szCs w:val="24"/>
        </w:rPr>
        <w:t>1.3.2.5.与《畜禽养殖产地环境评价规范》（HJ 568-2010）符合性分析</w:t>
      </w:r>
    </w:p>
    <w:p>
      <w:pPr>
        <w:spacing w:line="360" w:lineRule="auto"/>
        <w:ind w:firstLine="420"/>
        <w:jc w:val="left"/>
        <w:rPr>
          <w:rFonts w:ascii="Times New Roman" w:eastAsia="宋体"/>
          <w:color w:val="auto"/>
        </w:rPr>
      </w:pPr>
      <w:r>
        <w:rPr>
          <w:rFonts w:hint="eastAsia" w:ascii="Times New Roman" w:eastAsia="宋体"/>
          <w:color w:val="auto"/>
        </w:rPr>
        <w:t>（1）畜禽饮用水水质符合性：本项目肉鸡饮用水、生产用水取地下水，水质符合《畜禽养殖产地环境评价规范》（HJ568-2010）中表2：畜禽饮用水水质评价指标限值、表3：畜禽养殖场、养殖小区生产用水水质评价指标限值。</w:t>
      </w:r>
    </w:p>
    <w:p>
      <w:pPr>
        <w:spacing w:line="360" w:lineRule="auto"/>
        <w:ind w:firstLine="420"/>
        <w:jc w:val="left"/>
        <w:rPr>
          <w:rFonts w:ascii="Times New Roman" w:eastAsia="宋体"/>
          <w:color w:val="auto"/>
        </w:rPr>
      </w:pPr>
      <w:r>
        <w:rPr>
          <w:rFonts w:hint="eastAsia" w:ascii="Times New Roman" w:eastAsia="宋体"/>
          <w:color w:val="auto"/>
        </w:rPr>
        <w:t>（2）土壤环境质量符合性：现状调查可知，项目养殖场区现状为一般林地和荒地，用地区及周边无重污染工业企业，没有工业污染源对土壤造成污染。根据项目土壤环境现状监测结果可知，各监测因子均符合《畜禽养殖产地环境评价规范》（HJ568-2010）中表4：放牧区和畜禽养殖场、养殖小区土壤环境质量评价指标限值要求。</w:t>
      </w:r>
    </w:p>
    <w:p>
      <w:pPr>
        <w:spacing w:line="360" w:lineRule="auto"/>
        <w:ind w:firstLine="420"/>
        <w:jc w:val="left"/>
        <w:rPr>
          <w:rFonts w:ascii="Times New Roman" w:eastAsia="宋体"/>
          <w:color w:val="auto"/>
        </w:rPr>
      </w:pPr>
      <w:r>
        <w:rPr>
          <w:rFonts w:hint="eastAsia" w:ascii="Times New Roman" w:eastAsia="宋体"/>
          <w:color w:val="auto"/>
        </w:rPr>
        <w:t>（3）环境空气质量符合性：根据拟建项目厂区环境空气质量监测结果可知，特征因子符合《畜禽养殖产地环境评价规范》（HJ568-2010）中表5：畜禽养殖场和养殖小区环境空气质量评价指标限值要求。</w:t>
      </w:r>
    </w:p>
    <w:p>
      <w:pPr>
        <w:spacing w:line="360" w:lineRule="auto"/>
        <w:ind w:firstLine="420"/>
        <w:jc w:val="left"/>
        <w:rPr>
          <w:rFonts w:ascii="Times New Roman" w:eastAsia="宋体"/>
          <w:color w:val="auto"/>
        </w:rPr>
      </w:pPr>
      <w:r>
        <w:rPr>
          <w:rFonts w:hint="eastAsia" w:ascii="Times New Roman" w:eastAsia="宋体"/>
          <w:color w:val="auto"/>
        </w:rPr>
        <w:t>（4）声环境质量符合性：根据拟建项目厂界声环境质量监测结果可知，其监测结果符合《畜禽养殖产地环境评价规范》（HJ568-2010）中表6：畜禽养殖场、养殖小区及放牧区声环境质量评价指标限值要求。</w:t>
      </w:r>
    </w:p>
    <w:p>
      <w:pPr>
        <w:spacing w:line="360" w:lineRule="auto"/>
        <w:ind w:firstLine="420"/>
        <w:jc w:val="left"/>
        <w:rPr>
          <w:rFonts w:ascii="Times New Roman" w:eastAsia="宋体"/>
          <w:color w:val="auto"/>
        </w:rPr>
      </w:pPr>
      <w:r>
        <w:rPr>
          <w:rFonts w:hint="eastAsia" w:ascii="Times New Roman" w:eastAsia="宋体"/>
          <w:color w:val="auto"/>
        </w:rPr>
        <w:t>综上所述，本项目环境质量现状符合《畜禽养殖产地环境评价规范》（HJ568-2010）中环境质量要求。</w:t>
      </w:r>
    </w:p>
    <w:p>
      <w:pPr>
        <w:keepNext/>
        <w:keepLines/>
        <w:spacing w:line="360" w:lineRule="auto"/>
        <w:outlineLvl w:val="3"/>
        <w:rPr>
          <w:rFonts w:ascii="Times New Roman" w:eastAsia="宋体" w:cs="宋体"/>
          <w:color w:val="auto"/>
          <w:szCs w:val="24"/>
        </w:rPr>
      </w:pPr>
      <w:r>
        <w:rPr>
          <w:rFonts w:hint="eastAsia" w:ascii="Times New Roman" w:eastAsia="宋体" w:cs="宋体"/>
          <w:color w:val="auto"/>
          <w:szCs w:val="24"/>
        </w:rPr>
        <w:t>1.3.2.6 与生态环境部办公厅印发的《关于做好畜禽规模养殖项目环境影响评价管理工作的通知》（2018年10月15日）相符性分析</w:t>
      </w:r>
    </w:p>
    <w:p>
      <w:pPr>
        <w:pStyle w:val="418"/>
        <w:spacing w:line="240" w:lineRule="auto"/>
        <w:rPr>
          <w:rFonts w:ascii="宋体" w:hAnsi="宋体" w:eastAsia="宋体" w:cs="宋体"/>
          <w:b/>
          <w:color w:val="auto"/>
          <w:kern w:val="2"/>
          <w:sz w:val="21"/>
          <w:szCs w:val="21"/>
        </w:rPr>
      </w:pPr>
      <w:r>
        <w:rPr>
          <w:rFonts w:hint="eastAsia" w:ascii="宋体" w:hAnsi="宋体" w:eastAsia="宋体" w:cs="宋体"/>
          <w:b/>
          <w:color w:val="auto"/>
          <w:kern w:val="2"/>
          <w:sz w:val="21"/>
          <w:szCs w:val="21"/>
        </w:rPr>
        <w:t>表1.3-4与关于做好畜禽规模养殖项目环境影响评价管理工作的通知符合性分析一览表</w:t>
      </w:r>
    </w:p>
    <w:tbl>
      <w:tblPr>
        <w:tblStyle w:val="47"/>
        <w:tblW w:w="8078"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761"/>
        <w:gridCol w:w="3390"/>
        <w:gridCol w:w="3222"/>
        <w:gridCol w:w="7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0" w:type="auto"/>
            <w:vAlign w:val="center"/>
          </w:tcPr>
          <w:p>
            <w:pPr>
              <w:pStyle w:val="387"/>
              <w:spacing w:after="0"/>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规范</w:t>
            </w:r>
          </w:p>
        </w:tc>
        <w:tc>
          <w:tcPr>
            <w:tcW w:w="3390" w:type="dxa"/>
            <w:vAlign w:val="center"/>
          </w:tcPr>
          <w:p>
            <w:pPr>
              <w:pStyle w:val="387"/>
              <w:spacing w:after="0"/>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规范要求</w:t>
            </w:r>
          </w:p>
        </w:tc>
        <w:tc>
          <w:tcPr>
            <w:tcW w:w="3222" w:type="dxa"/>
            <w:vAlign w:val="center"/>
          </w:tcPr>
          <w:p>
            <w:pPr>
              <w:pStyle w:val="387"/>
              <w:spacing w:after="0"/>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本项目情况</w:t>
            </w:r>
          </w:p>
        </w:tc>
        <w:tc>
          <w:tcPr>
            <w:tcW w:w="705" w:type="dxa"/>
            <w:vAlign w:val="center"/>
          </w:tcPr>
          <w:p>
            <w:pPr>
              <w:pStyle w:val="387"/>
              <w:spacing w:after="0"/>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符合性分析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6" w:hRule="atLeast"/>
        </w:trPr>
        <w:tc>
          <w:tcPr>
            <w:tcW w:w="0" w:type="auto"/>
            <w:vMerge w:val="restart"/>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优化项目选址，合理布置养殖场区</w:t>
            </w: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环评应充分论证选址的环境合理性，选址应避开当地划定的禁止养殖区域，并与区域主体功能区规划、环境功能区划、土地利用规划、城乡规划、畜牧业发展规划、畜禽养殖污染防治规划等规划相协调。当地未划定禁止养殖区域的，应避开饮用水水源保护区、风景名胜区、自然保护区的核心区和缓冲区、村镇人口集中区域，以及法律、法规规定的禁止养殖区域。</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拟建地属于适养区，且本项目已取得岳阳县新墙镇人民政府、岳阳市生态环境局岳阳县分局、岳阳县自然资源局、岳阳县林业局、岳阳县水利局、岳阳县畜牧水产发展服务中心对养殖场选址的同意，以及岳阳县发展和改革局的同意</w:t>
            </w:r>
          </w:p>
        </w:tc>
        <w:tc>
          <w:tcPr>
            <w:tcW w:w="705"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36" w:hRule="atLeast"/>
        </w:trPr>
        <w:tc>
          <w:tcPr>
            <w:tcW w:w="0" w:type="auto"/>
            <w:vMerge w:val="continue"/>
            <w:vAlign w:val="center"/>
          </w:tcPr>
          <w:p>
            <w:pPr>
              <w:pStyle w:val="387"/>
              <w:spacing w:after="0"/>
              <w:rPr>
                <w:rFonts w:ascii="Times New Roman" w:hAnsi="Times New Roman" w:eastAsia="宋体" w:cs="宋体"/>
                <w:color w:val="auto"/>
                <w:sz w:val="21"/>
                <w:szCs w:val="21"/>
              </w:rPr>
            </w:pP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环评应结合环境保护要求优化养殖场区内部布置。畜禽养殖区及畜禽粪污贮存、处理和畜禽尸体无害化处理等产生恶臭影响的设施，应位于养殖场区主导风向的下风向位置，并尽量远离周边环境保护目标。参照《畜禽养殖业污染防治技术规范》，并根据恶臭污染物无组织排放源强，以及当地的环境及气象等因素，按照《环境影响评价技术导则大气环境》要求计算大气环境防护距离，作为养殖场选址以及周边规划控制的依据，减轻对周围环境保护目标的不利影响。</w:t>
            </w:r>
          </w:p>
        </w:tc>
        <w:tc>
          <w:tcPr>
            <w:tcW w:w="3222" w:type="dxa"/>
            <w:vAlign w:val="center"/>
          </w:tcPr>
          <w:p>
            <w:pPr>
              <w:pStyle w:val="387"/>
              <w:spacing w:after="0"/>
              <w:ind w:firstLine="0"/>
              <w:rPr>
                <w:rFonts w:hint="eastAsia" w:ascii="Times New Roman" w:hAnsi="Times New Roman" w:eastAsia="宋体" w:cs="宋体"/>
                <w:color w:val="auto"/>
                <w:sz w:val="21"/>
                <w:szCs w:val="21"/>
                <w:lang w:eastAsia="zh-CN"/>
              </w:rPr>
            </w:pPr>
            <w:r>
              <w:rPr>
                <w:rFonts w:hint="eastAsia" w:ascii="Times New Roman" w:hAnsi="Times New Roman" w:eastAsia="宋体" w:cs="宋体"/>
                <w:color w:val="auto"/>
                <w:sz w:val="21"/>
                <w:szCs w:val="21"/>
              </w:rPr>
              <w:t>根据附图3可知，本项目畜禽养殖区及污水沉淀池位于养殖场区主导风向的下风向，同时远离周边居民，</w:t>
            </w:r>
            <w:r>
              <w:rPr>
                <w:rFonts w:hint="eastAsia" w:ascii="Times New Roman" w:hAnsi="Times New Roman" w:eastAsia="宋体" w:cs="宋体"/>
                <w:color w:val="auto"/>
                <w:sz w:val="21"/>
                <w:szCs w:val="21"/>
                <w:u w:val="single"/>
              </w:rPr>
              <w:t>按照《环境影响评价技术导则大气环境》要求计算</w:t>
            </w:r>
            <w:r>
              <w:rPr>
                <w:rFonts w:hint="eastAsia" w:ascii="Times New Roman" w:hAnsi="Times New Roman" w:eastAsia="宋体" w:cs="宋体"/>
                <w:color w:val="auto"/>
                <w:sz w:val="21"/>
                <w:szCs w:val="21"/>
                <w:u w:val="single"/>
                <w:lang w:eastAsia="zh-CN"/>
              </w:rPr>
              <w:t>，无需设置</w:t>
            </w:r>
            <w:r>
              <w:rPr>
                <w:rFonts w:hint="eastAsia" w:ascii="Times New Roman" w:hAnsi="Times New Roman" w:eastAsia="宋体" w:cs="宋体"/>
                <w:color w:val="auto"/>
                <w:sz w:val="21"/>
                <w:szCs w:val="21"/>
                <w:u w:val="single"/>
              </w:rPr>
              <w:t>大气环境防护距离</w:t>
            </w:r>
            <w:r>
              <w:rPr>
                <w:rFonts w:hint="eastAsia" w:ascii="Times New Roman" w:hAnsi="Times New Roman" w:eastAsia="宋体" w:cs="宋体"/>
                <w:color w:val="auto"/>
                <w:sz w:val="21"/>
                <w:szCs w:val="21"/>
                <w:lang w:eastAsia="zh-CN"/>
              </w:rPr>
              <w:t>。</w:t>
            </w:r>
          </w:p>
        </w:tc>
        <w:tc>
          <w:tcPr>
            <w:tcW w:w="705"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44" w:hRule="atLeast"/>
        </w:trPr>
        <w:tc>
          <w:tcPr>
            <w:tcW w:w="0" w:type="auto"/>
            <w:vMerge w:val="restart"/>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加强粪污减量控制，促进畜禽养殖粪污资源化利用</w:t>
            </w: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环评应以农业绿色发展为导向，优化工艺，通过采取优化饲料配方、提高饲养技术等措施，从源头减少粪污的产生量。鼓励采取干清粪方式，采取水泡粪工艺的应最大限度降低用水量。场区应采取雨污分离措施，防止雨水进入粪污收集系统。</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本项目饲养工艺采用自动喂料系统，饲料外购成品；</w:t>
            </w:r>
          </w:p>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采用干清粪工艺，鸡粪日产日清，且雨污分流。</w:t>
            </w:r>
          </w:p>
        </w:tc>
        <w:tc>
          <w:tcPr>
            <w:tcW w:w="705"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80" w:hRule="atLeast"/>
        </w:trPr>
        <w:tc>
          <w:tcPr>
            <w:tcW w:w="0" w:type="auto"/>
            <w:vMerge w:val="continue"/>
            <w:vAlign w:val="center"/>
          </w:tcPr>
          <w:p>
            <w:pPr>
              <w:pStyle w:val="387"/>
              <w:spacing w:after="0"/>
              <w:rPr>
                <w:rFonts w:ascii="Times New Roman" w:hAnsi="Times New Roman" w:eastAsia="宋体" w:cs="宋体"/>
                <w:color w:val="auto"/>
                <w:sz w:val="21"/>
                <w:szCs w:val="21"/>
              </w:rPr>
            </w:pP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环评应结合地域、畜种、规模等特点以及地方相关部门制定的畜禽粪污综合利用目标等要求，加强畜禽养殖粪污资源化利用，因地制宜选择经济高效适用的处理利用模式，采取粪污全量收集还田利用、污水肥料化利用、粪便垫料回用、异位发酵床、粪污专业化能源利用等模式处理利用畜禽粪污，促进畜禽规模养殖项目“种养结合”绿色发展。</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本项目采取干清粪方式，收集的粪便委外处置；生活污水经化粪池处理后，与养殖污水一并外送至新华养殖场污水处理站处理后，用于周边农、林地浇灌。</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21" w:hRule="atLeast"/>
        </w:trPr>
        <w:tc>
          <w:tcPr>
            <w:tcW w:w="0" w:type="auto"/>
            <w:vMerge w:val="continue"/>
            <w:vAlign w:val="center"/>
          </w:tcPr>
          <w:p>
            <w:pPr>
              <w:pStyle w:val="387"/>
              <w:spacing w:after="0"/>
              <w:rPr>
                <w:rFonts w:ascii="Times New Roman" w:hAnsi="Times New Roman" w:eastAsia="宋体" w:cs="宋体"/>
                <w:color w:val="auto"/>
                <w:sz w:val="21"/>
                <w:szCs w:val="21"/>
              </w:rPr>
            </w:pP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鼓励根据土地承载能力确定畜禽养殖场的适宜养殖规模，土地承载能力可采用农业农村主管部门发布的测算技术方法确定。耕地面积大、土地消纳能力相对较高的区域，畜禽养殖场产生的粪污应力争实现全部就地就近资源化利用或委托第三方处理;当土地消纳能力不足时，应进一步提高资源化利用能力或适当减少养殖规模。鼓励依托符合环保要求的专业化粪污处理利用企业，提高畜禽养殖粪污集中收集利用能力。环评应明确畜禽养殖粪污资源化利用的主体，严格落实利用渠道或途径，确保资源化利用有效实施。</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本项目采用雨污分流，养殖污水外送至新华养殖场污水处理站处理后，用于周边农、林地浇灌。</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01" w:hRule="atLeast"/>
        </w:trPr>
        <w:tc>
          <w:tcPr>
            <w:tcW w:w="0" w:type="auto"/>
            <w:vMerge w:val="restart"/>
            <w:vAlign w:val="center"/>
          </w:tcPr>
          <w:p>
            <w:pPr>
              <w:pStyle w:val="387"/>
              <w:spacing w:after="0"/>
              <w:ind w:left="0" w:leftChars="0" w:firstLine="0" w:firstLineChars="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强化粪污治理措施，做好污染防治</w:t>
            </w: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环评应强化对粪污的治理措施，加强畜禽养殖粪污资源化利用过程中的污染控制，推进粪污资源的良性利用，应对无法资源化利用的粪污采取治理措施确保达标排放。畜禽规模养殖项目应配套建设与养殖规模相匹配的雨污分离设施，以及粪污贮存、处理和利用设施等，委托满足相关环保要求的第三方代为利用或者处理的，可不自行建设粪污处理或利用设施。</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本项目采取干清粪方式，收集的粪便委外处置；生活污水经化粪池处理后与养殖废水一并汇入沉淀池（400m</w:t>
            </w:r>
            <w:r>
              <w:rPr>
                <w:rFonts w:hint="eastAsia" w:ascii="Times New Roman" w:hAnsi="Times New Roman" w:eastAsia="宋体" w:cs="宋体"/>
                <w:color w:val="auto"/>
                <w:sz w:val="21"/>
                <w:szCs w:val="21"/>
                <w:vertAlign w:val="superscript"/>
              </w:rPr>
              <w:t>3</w:t>
            </w:r>
            <w:r>
              <w:rPr>
                <w:rFonts w:hint="eastAsia" w:ascii="Times New Roman" w:hAnsi="Times New Roman" w:eastAsia="宋体" w:cs="宋体"/>
                <w:color w:val="auto"/>
                <w:sz w:val="21"/>
                <w:szCs w:val="21"/>
              </w:rPr>
              <w:t>），后委托湖南春雨生物科技有限公司用密闭槽罐车运送至公司新华养殖场污水处理站处理，处理达标后用于周边林果地浇灌。</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80" w:hRule="atLeast"/>
        </w:trPr>
        <w:tc>
          <w:tcPr>
            <w:tcW w:w="0" w:type="auto"/>
            <w:vMerge w:val="continue"/>
            <w:vAlign w:val="center"/>
          </w:tcPr>
          <w:p>
            <w:pPr>
              <w:pStyle w:val="387"/>
              <w:spacing w:after="0"/>
              <w:rPr>
                <w:rFonts w:ascii="Times New Roman" w:hAnsi="Times New Roman" w:eastAsia="宋体" w:cs="宋体"/>
                <w:color w:val="auto"/>
                <w:sz w:val="21"/>
                <w:szCs w:val="21"/>
              </w:rPr>
            </w:pP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环评应明确畜禽粪污贮存、处理和利用措施。贮存池应采取有效的防雨、防渗和防溢流措施，防止畜禽粪污污染地下水。贮存池总有效容积应根据贮存期确定。进行资源化利用的畜禽粪污须处理并达到畜禽粪便还田、无害化处理等技术规范要求。畜禽规模养殖项目配套建设沼气工程的，应充分考虑沼气制备及贮存过程中的环境风险，制定环境风险防范措施及应急预案。</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w:t>
            </w:r>
            <w:r>
              <w:rPr>
                <w:rFonts w:hint="eastAsia" w:ascii="Times New Roman" w:hAnsi="Times New Roman" w:eastAsia="宋体" w:cs="宋体"/>
                <w:color w:val="auto"/>
                <w:sz w:val="21"/>
                <w:szCs w:val="21"/>
                <w:lang w:val="en-US" w:eastAsia="zh-CN"/>
              </w:rPr>
              <w:t>为满足废水贮存周期需求，</w:t>
            </w:r>
            <w:r>
              <w:rPr>
                <w:rFonts w:hint="eastAsia" w:ascii="Times New Roman" w:hAnsi="Times New Roman" w:eastAsia="宋体" w:cs="宋体"/>
                <w:color w:val="auto"/>
                <w:sz w:val="21"/>
                <w:szCs w:val="21"/>
              </w:rPr>
              <w:t>建设有</w:t>
            </w:r>
            <w:bookmarkStart w:id="38" w:name="_Hlk142663586"/>
            <w:r>
              <w:rPr>
                <w:rFonts w:hint="eastAsia" w:ascii="Times New Roman" w:hAnsi="Times New Roman" w:eastAsia="宋体" w:cs="宋体"/>
                <w:color w:val="auto"/>
                <w:sz w:val="21"/>
                <w:szCs w:val="21"/>
              </w:rPr>
              <w:t>1个400m</w:t>
            </w:r>
            <w:r>
              <w:rPr>
                <w:rFonts w:hint="eastAsia" w:ascii="Times New Roman" w:hAnsi="Times New Roman" w:eastAsia="宋体" w:cs="宋体"/>
                <w:color w:val="auto"/>
                <w:sz w:val="21"/>
                <w:szCs w:val="21"/>
                <w:vertAlign w:val="superscript"/>
              </w:rPr>
              <w:t>3</w:t>
            </w:r>
            <w:r>
              <w:rPr>
                <w:rFonts w:hint="eastAsia" w:ascii="Times New Roman" w:hAnsi="Times New Roman" w:eastAsia="宋体" w:cs="宋体"/>
                <w:color w:val="auto"/>
                <w:sz w:val="21"/>
                <w:szCs w:val="21"/>
              </w:rPr>
              <w:t>的沉淀池</w:t>
            </w:r>
            <w:bookmarkEnd w:id="38"/>
            <w:r>
              <w:rPr>
                <w:rFonts w:hint="eastAsia" w:ascii="Times New Roman" w:hAnsi="Times New Roman" w:eastAsia="宋体" w:cs="宋体"/>
                <w:color w:val="auto"/>
                <w:sz w:val="21"/>
                <w:szCs w:val="21"/>
                <w:lang w:eastAsia="zh-CN"/>
              </w:rPr>
              <w:t>，</w:t>
            </w:r>
            <w:r>
              <w:rPr>
                <w:rFonts w:hint="eastAsia" w:ascii="Times New Roman" w:hAnsi="Times New Roman" w:eastAsia="宋体" w:cs="宋体"/>
                <w:color w:val="auto"/>
                <w:sz w:val="21"/>
                <w:szCs w:val="21"/>
                <w:lang w:val="en-US" w:eastAsia="zh-CN"/>
              </w:rPr>
              <w:t>且沉淀池按重点防渗要求进行建设</w:t>
            </w:r>
            <w:r>
              <w:rPr>
                <w:rFonts w:hint="eastAsia" w:ascii="Times New Roman" w:hAnsi="Times New Roman" w:eastAsia="宋体" w:cs="宋体"/>
                <w:color w:val="auto"/>
                <w:sz w:val="21"/>
                <w:szCs w:val="21"/>
                <w:lang w:eastAsia="zh-CN"/>
              </w:rPr>
              <w:t>；</w:t>
            </w:r>
            <w:r>
              <w:rPr>
                <w:rFonts w:hint="eastAsia" w:ascii="Times New Roman" w:hAnsi="Times New Roman" w:eastAsia="宋体" w:cs="宋体"/>
                <w:color w:val="auto"/>
                <w:sz w:val="21"/>
                <w:szCs w:val="21"/>
                <w:lang w:val="en-US" w:eastAsia="zh-CN"/>
              </w:rPr>
              <w:t>废水依托新华养殖场处置后用于农灌，粪污外售制有机肥</w:t>
            </w:r>
            <w:r>
              <w:rPr>
                <w:rFonts w:hint="eastAsia" w:ascii="Times New Roman" w:hAnsi="Times New Roman" w:eastAsia="宋体" w:cs="宋体"/>
                <w:color w:val="auto"/>
                <w:sz w:val="21"/>
                <w:szCs w:val="21"/>
              </w:rPr>
              <w:t>；本项目</w:t>
            </w:r>
            <w:r>
              <w:rPr>
                <w:rFonts w:hint="eastAsia" w:ascii="Times New Roman" w:hAnsi="Times New Roman" w:eastAsia="宋体" w:cs="宋体"/>
                <w:color w:val="auto"/>
                <w:sz w:val="21"/>
                <w:szCs w:val="21"/>
                <w:lang w:val="en-US" w:eastAsia="zh-CN"/>
              </w:rPr>
              <w:t>不建设</w:t>
            </w:r>
            <w:r>
              <w:rPr>
                <w:rFonts w:hint="eastAsia" w:ascii="Times New Roman" w:hAnsi="Times New Roman" w:eastAsia="宋体" w:cs="宋体"/>
                <w:color w:val="auto"/>
                <w:sz w:val="21"/>
                <w:szCs w:val="21"/>
              </w:rPr>
              <w:t>沼气工程</w:t>
            </w:r>
            <w:r>
              <w:rPr>
                <w:rFonts w:hint="eastAsia" w:ascii="Times New Roman" w:hAnsi="Times New Roman" w:eastAsia="宋体" w:cs="宋体"/>
                <w:color w:val="auto"/>
                <w:sz w:val="21"/>
                <w:szCs w:val="21"/>
                <w:lang w:eastAsia="zh-CN"/>
              </w:rPr>
              <w:t>，</w:t>
            </w:r>
            <w:r>
              <w:rPr>
                <w:rFonts w:hint="eastAsia" w:ascii="Times New Roman" w:hAnsi="Times New Roman" w:eastAsia="宋体" w:cs="宋体"/>
                <w:color w:val="auto"/>
                <w:sz w:val="21"/>
                <w:szCs w:val="21"/>
              </w:rPr>
              <w:t>投入生产后，按要求制定环境风险防范措施及应急预案</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80" w:hRule="atLeast"/>
        </w:trPr>
        <w:tc>
          <w:tcPr>
            <w:tcW w:w="0" w:type="auto"/>
            <w:vMerge w:val="continue"/>
            <w:vAlign w:val="center"/>
          </w:tcPr>
          <w:p>
            <w:pPr>
              <w:pStyle w:val="387"/>
              <w:spacing w:after="0"/>
              <w:rPr>
                <w:rFonts w:ascii="Times New Roman" w:hAnsi="Times New Roman" w:eastAsia="宋体" w:cs="宋体"/>
                <w:color w:val="auto"/>
                <w:sz w:val="21"/>
                <w:szCs w:val="21"/>
              </w:rPr>
            </w:pP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畜禽养殖粪污作为肥料还田利用的，应明确畜禽养殖场与还田利用的林地、农田之间的输送系统及环境管理措施，严格控制肥水输送沿途的弃、撒和跑冒滴漏，防止进入外部水体。对无法采取资源化利用的畜禽养殖废水应明确处理措施及工艺，确保达标排放或消毒回用，排放去向应符合国家和地方的有关规定，不得排入敏感水域和有特殊功能的水域。</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本项目生活污水经化粪池处理后与养殖废水一并汇入沉淀池（400m</w:t>
            </w:r>
            <w:r>
              <w:rPr>
                <w:rFonts w:ascii="Times New Roman" w:hAnsi="Times New Roman" w:eastAsia="宋体" w:cs="宋体"/>
                <w:color w:val="auto"/>
                <w:sz w:val="21"/>
                <w:szCs w:val="21"/>
                <w:vertAlign w:val="superscript"/>
              </w:rPr>
              <w:t>3</w:t>
            </w:r>
            <w:r>
              <w:rPr>
                <w:rFonts w:hint="eastAsia" w:ascii="Times New Roman" w:hAnsi="Times New Roman" w:eastAsia="宋体" w:cs="宋体"/>
                <w:color w:val="auto"/>
                <w:sz w:val="21"/>
                <w:szCs w:val="21"/>
              </w:rPr>
              <w:t>），后用密闭槽罐车运送至公司新华养殖场污水处理站处理，处理达标后用于周边林果地浇灌。</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23" w:hRule="atLeast"/>
        </w:trPr>
        <w:tc>
          <w:tcPr>
            <w:tcW w:w="0" w:type="auto"/>
            <w:vMerge w:val="continue"/>
            <w:vAlign w:val="center"/>
          </w:tcPr>
          <w:p>
            <w:pPr>
              <w:pStyle w:val="387"/>
              <w:spacing w:after="0"/>
              <w:rPr>
                <w:rFonts w:ascii="Times New Roman" w:hAnsi="Times New Roman" w:eastAsia="宋体" w:cs="宋体"/>
                <w:color w:val="auto"/>
                <w:sz w:val="21"/>
                <w:szCs w:val="21"/>
              </w:rPr>
            </w:pP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依据相关法律法规和技术规范，制定明确的病死畜禽处理、处置方案，及时处理病死畜禽。针对畜禽规模养殖项目的恶臭影响，可采取控制饲养密度、改善舍内通风、及时清粪、采用除臭剂、集中收集处理等措施，确保项目恶臭污染物达标排放。</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本项目产生的病死鸡由岳阳县病死畜禽无害化处理厂</w:t>
            </w:r>
            <w:r>
              <w:rPr>
                <w:rFonts w:hint="eastAsia" w:ascii="Times New Roman" w:hAnsi="Times New Roman" w:eastAsia="宋体" w:cs="宋体"/>
                <w:color w:val="auto"/>
                <w:sz w:val="21"/>
                <w:szCs w:val="21"/>
                <w:lang w:val="en-US" w:eastAsia="zh-CN"/>
              </w:rPr>
              <w:t>收集并进行</w:t>
            </w:r>
            <w:r>
              <w:rPr>
                <w:rFonts w:hint="eastAsia" w:ascii="Times New Roman" w:hAnsi="Times New Roman" w:eastAsia="宋体" w:cs="宋体"/>
                <w:color w:val="auto"/>
                <w:sz w:val="21"/>
                <w:szCs w:val="21"/>
              </w:rPr>
              <w:t>无害化处理；通过鸡舍定期喷洒除臭剂，饲料中添加EM制剂等措施减少恶臭气体的排放，鸡舍为密闭负压单侧引风，出风口采用水喷淋吸收恶臭气体后屋顶排放，确保厂区达标排放；采用干清粪，每日清粪，</w:t>
            </w:r>
            <w:r>
              <w:rPr>
                <w:rFonts w:hint="eastAsia" w:eastAsia="宋体" w:cs="宋体"/>
                <w:color w:val="auto"/>
                <w:sz w:val="21"/>
                <w:szCs w:val="21"/>
                <w:lang w:val="en-US" w:eastAsia="zh-CN"/>
              </w:rPr>
              <w:t>暂存于鸡粪暂存区，后定期</w:t>
            </w:r>
            <w:r>
              <w:rPr>
                <w:rFonts w:hint="eastAsia" w:eastAsia="宋体" w:cs="宋体"/>
                <w:color w:val="auto"/>
                <w:sz w:val="21"/>
                <w:szCs w:val="21"/>
              </w:rPr>
              <w:t>外售</w:t>
            </w:r>
            <w:r>
              <w:rPr>
                <w:rFonts w:hint="eastAsia" w:eastAsia="宋体" w:cs="宋体"/>
                <w:color w:val="auto"/>
                <w:sz w:val="21"/>
                <w:szCs w:val="21"/>
                <w:lang w:val="en-US" w:eastAsia="zh-CN"/>
              </w:rPr>
              <w:t>制肥</w:t>
            </w:r>
            <w:r>
              <w:rPr>
                <w:rFonts w:hint="eastAsia" w:ascii="Times New Roman" w:hAnsi="Times New Roman" w:eastAsia="宋体" w:cs="宋体"/>
                <w:color w:val="auto"/>
                <w:sz w:val="21"/>
                <w:szCs w:val="21"/>
              </w:rPr>
              <w:t>。</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804" w:hRule="atLeast"/>
        </w:trPr>
        <w:tc>
          <w:tcPr>
            <w:tcW w:w="0" w:type="auto"/>
            <w:vMerge w:val="restart"/>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落实环评信息公开要求，发挥公众参与的监督作用</w:t>
            </w: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建设单位在项目环评报告书报送审批前，应采取适当形式，遵循依法、有序、公开、便利的原则，公开征求意见并对真实性和结果负责。</w:t>
            </w:r>
          </w:p>
        </w:tc>
        <w:tc>
          <w:tcPr>
            <w:tcW w:w="3222" w:type="dxa"/>
            <w:vAlign w:val="center"/>
          </w:tcPr>
          <w:p>
            <w:pPr>
              <w:pStyle w:val="387"/>
              <w:spacing w:after="0"/>
              <w:ind w:firstLine="0"/>
              <w:rPr>
                <w:rFonts w:hint="default"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rPr>
              <w:t>岳阳湘佳牧业有限公司</w:t>
            </w:r>
            <w:r>
              <w:rPr>
                <w:rFonts w:hint="eastAsia" w:ascii="Times New Roman" w:hAnsi="Times New Roman" w:eastAsia="宋体" w:cs="宋体"/>
                <w:color w:val="auto"/>
                <w:sz w:val="21"/>
                <w:szCs w:val="21"/>
                <w:lang w:val="en-US" w:eastAsia="zh-CN"/>
              </w:rPr>
              <w:t>在报告书报送前，依法将</w:t>
            </w:r>
            <w:r>
              <w:rPr>
                <w:rFonts w:hint="eastAsia" w:ascii="Times New Roman" w:hAnsi="Times New Roman" w:eastAsia="宋体" w:cs="宋体"/>
                <w:color w:val="auto"/>
                <w:sz w:val="21"/>
                <w:szCs w:val="21"/>
              </w:rPr>
              <w:t>建设项目环境影响评价报告</w:t>
            </w:r>
            <w:r>
              <w:rPr>
                <w:rFonts w:hint="eastAsia" w:ascii="Times New Roman" w:hAnsi="Times New Roman" w:eastAsia="宋体" w:cs="宋体"/>
                <w:color w:val="auto"/>
                <w:sz w:val="21"/>
                <w:szCs w:val="21"/>
                <w:lang w:val="en-US" w:eastAsia="zh-CN"/>
              </w:rPr>
              <w:t>通过网站、报纸和张贴公告的方式</w:t>
            </w:r>
            <w:r>
              <w:rPr>
                <w:rFonts w:hint="eastAsia" w:ascii="Times New Roman" w:hAnsi="Times New Roman" w:eastAsia="宋体" w:cs="宋体"/>
                <w:color w:val="auto"/>
                <w:sz w:val="21"/>
                <w:szCs w:val="21"/>
              </w:rPr>
              <w:t>进行公众参与</w:t>
            </w:r>
            <w:r>
              <w:rPr>
                <w:rFonts w:hint="eastAsia" w:ascii="Times New Roman" w:hAnsi="Times New Roman" w:eastAsia="宋体" w:cs="宋体"/>
                <w:color w:val="auto"/>
                <w:sz w:val="21"/>
                <w:szCs w:val="21"/>
                <w:lang w:eastAsia="zh-CN"/>
              </w:rPr>
              <w:t>，</w:t>
            </w:r>
            <w:r>
              <w:rPr>
                <w:rFonts w:hint="eastAsia" w:ascii="Times New Roman" w:hAnsi="Times New Roman" w:eastAsia="宋体" w:cs="宋体"/>
                <w:color w:val="auto"/>
                <w:sz w:val="21"/>
                <w:szCs w:val="21"/>
                <w:lang w:val="en-US" w:eastAsia="zh-CN"/>
              </w:rPr>
              <w:t>详见《公众参与情况说明》</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40" w:hRule="atLeast"/>
        </w:trPr>
        <w:tc>
          <w:tcPr>
            <w:tcW w:w="0" w:type="auto"/>
            <w:vMerge w:val="continue"/>
            <w:vAlign w:val="center"/>
          </w:tcPr>
          <w:p>
            <w:pPr>
              <w:pStyle w:val="387"/>
              <w:spacing w:after="0"/>
              <w:rPr>
                <w:rFonts w:ascii="Times New Roman" w:hAnsi="Times New Roman" w:eastAsia="宋体" w:cs="宋体"/>
                <w:color w:val="auto"/>
                <w:sz w:val="21"/>
                <w:szCs w:val="21"/>
              </w:rPr>
            </w:pPr>
          </w:p>
        </w:tc>
        <w:tc>
          <w:tcPr>
            <w:tcW w:w="3390"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地方生态环境部门应按照相关要求，主动公开项目环评报告书受理情况、拟作出的审批意见和审批情况，保障公众环境保护知情权、参与权和监督权。强化对建设单位的监督约束，落实建设项目环评信息的全过程、全覆盖公开，确保公众能够方便获取建设项目环评信息。</w:t>
            </w:r>
          </w:p>
        </w:tc>
        <w:tc>
          <w:tcPr>
            <w:tcW w:w="3222" w:type="dxa"/>
            <w:vAlign w:val="center"/>
          </w:tcPr>
          <w:p>
            <w:pPr>
              <w:pStyle w:val="387"/>
              <w:spacing w:after="0"/>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正在由岳阳市生态环境局岳阳县分局落实</w:t>
            </w:r>
          </w:p>
        </w:tc>
        <w:tc>
          <w:tcPr>
            <w:tcW w:w="705" w:type="dxa"/>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符合</w:t>
            </w:r>
          </w:p>
        </w:tc>
      </w:tr>
    </w:tbl>
    <w:p>
      <w:pPr>
        <w:ind w:firstLine="480"/>
        <w:rPr>
          <w:rFonts w:ascii="Times New Roman"/>
          <w:color w:val="auto"/>
        </w:rPr>
      </w:pPr>
    </w:p>
    <w:p>
      <w:pPr>
        <w:spacing w:line="360" w:lineRule="auto"/>
        <w:jc w:val="left"/>
        <w:outlineLvl w:val="3"/>
        <w:rPr>
          <w:rFonts w:ascii="Times New Roman" w:eastAsiaTheme="minorEastAsia" w:cstheme="minorEastAsia"/>
          <w:color w:val="auto"/>
          <w:szCs w:val="24"/>
        </w:rPr>
      </w:pPr>
      <w:r>
        <w:rPr>
          <w:rFonts w:hint="eastAsia" w:ascii="Times New Roman" w:eastAsia="宋体" w:cs="宋体"/>
          <w:color w:val="auto"/>
          <w:kern w:val="2"/>
          <w:szCs w:val="24"/>
        </w:rPr>
        <w:t>1.3.2.</w:t>
      </w:r>
      <w:r>
        <w:rPr>
          <w:rFonts w:hint="eastAsia" w:ascii="Times New Roman" w:eastAsia="宋体" w:cs="宋体"/>
          <w:color w:val="auto"/>
          <w:kern w:val="2"/>
          <w:szCs w:val="24"/>
          <w:lang w:val="en-US" w:eastAsia="zh-CN"/>
        </w:rPr>
        <w:t>7</w:t>
      </w:r>
      <w:r>
        <w:rPr>
          <w:rFonts w:hint="eastAsia" w:ascii="Times New Roman" w:eastAsia="宋体" w:cs="宋体"/>
          <w:color w:val="auto"/>
          <w:kern w:val="2"/>
          <w:szCs w:val="24"/>
        </w:rPr>
        <w:t xml:space="preserve"> </w:t>
      </w:r>
      <w:r>
        <w:rPr>
          <w:rFonts w:hint="eastAsia" w:ascii="Times New Roman" w:eastAsia="宋体" w:cs="宋体"/>
          <w:color w:val="auto"/>
          <w:szCs w:val="24"/>
        </w:rPr>
        <w:t>与</w:t>
      </w:r>
      <w:r>
        <w:rPr>
          <w:rFonts w:hint="eastAsia" w:ascii="Times New Roman" w:eastAsiaTheme="minorEastAsia" w:cstheme="minorEastAsia"/>
          <w:color w:val="auto"/>
          <w:szCs w:val="24"/>
        </w:rPr>
        <w:t>《畜禽规模养殖污染防治条例》的相符性分析</w:t>
      </w:r>
    </w:p>
    <w:p>
      <w:pPr>
        <w:jc w:val="center"/>
        <w:rPr>
          <w:rFonts w:ascii="Times New Roman"/>
          <w:color w:val="auto"/>
        </w:rPr>
      </w:pPr>
      <w:r>
        <w:rPr>
          <w:rFonts w:ascii="Times New Roman" w:eastAsia="宋体"/>
          <w:b/>
          <w:bCs/>
          <w:color w:val="auto"/>
          <w:sz w:val="21"/>
          <w:szCs w:val="21"/>
        </w:rPr>
        <w:t>表1.3-</w:t>
      </w:r>
      <w:r>
        <w:rPr>
          <w:rFonts w:hint="eastAsia" w:ascii="Times New Roman" w:eastAsia="宋体"/>
          <w:b/>
          <w:bCs/>
          <w:color w:val="auto"/>
          <w:sz w:val="21"/>
          <w:szCs w:val="21"/>
        </w:rPr>
        <w:t>6</w:t>
      </w:r>
      <w:r>
        <w:rPr>
          <w:rFonts w:ascii="Times New Roman" w:eastAsia="宋体"/>
          <w:b/>
          <w:bCs/>
          <w:color w:val="auto"/>
          <w:sz w:val="21"/>
          <w:szCs w:val="21"/>
        </w:rPr>
        <w:t>与《畜禽规模养殖污染防治条例》的相符性分析</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2"/>
        <w:gridCol w:w="3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2" w:type="dxa"/>
            <w:tcBorders>
              <w:tl2br w:val="nil"/>
              <w:tr2bl w:val="nil"/>
            </w:tcBorders>
            <w:vAlign w:val="center"/>
          </w:tcPr>
          <w:p>
            <w:pPr>
              <w:rPr>
                <w:rFonts w:ascii="Times New Roman" w:eastAsia="宋体"/>
                <w:color w:val="auto"/>
              </w:rPr>
            </w:pPr>
            <w:r>
              <w:rPr>
                <w:rFonts w:ascii="Times New Roman" w:eastAsia="宋体"/>
                <w:b/>
                <w:bCs/>
                <w:color w:val="auto"/>
                <w:sz w:val="21"/>
                <w:szCs w:val="21"/>
              </w:rPr>
              <w:t>《畜禽规模养殖污染防治条例》</w:t>
            </w:r>
          </w:p>
        </w:tc>
        <w:tc>
          <w:tcPr>
            <w:tcW w:w="3834" w:type="dxa"/>
            <w:tcBorders>
              <w:tl2br w:val="nil"/>
              <w:tr2bl w:val="nil"/>
            </w:tcBorders>
            <w:vAlign w:val="center"/>
          </w:tcPr>
          <w:p>
            <w:pPr>
              <w:rPr>
                <w:rFonts w:ascii="Times New Roman" w:eastAsia="宋体"/>
                <w:color w:val="auto"/>
              </w:rPr>
            </w:pPr>
            <w:r>
              <w:rPr>
                <w:rFonts w:ascii="Times New Roman" w:eastAsia="宋体"/>
                <w:b/>
                <w:bCs/>
                <w:color w:val="auto"/>
                <w:sz w:val="21"/>
                <w:szCs w:val="21"/>
              </w:rPr>
              <w:t>本项目相符性分析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2" w:type="dxa"/>
            <w:tcBorders>
              <w:tl2br w:val="nil"/>
              <w:tr2bl w:val="nil"/>
            </w:tcBorders>
            <w:vAlign w:val="center"/>
          </w:tcPr>
          <w:p>
            <w:pPr>
              <w:pStyle w:val="373"/>
              <w:widowControl w:val="0"/>
              <w:jc w:val="left"/>
              <w:rPr>
                <w:color w:val="auto"/>
              </w:rPr>
            </w:pPr>
            <w:r>
              <w:rPr>
                <w:color w:val="auto"/>
              </w:rPr>
              <w:t>第十一条禁止在下列区域内建设畜禽养殖场、养殖小区：</w:t>
            </w:r>
          </w:p>
          <w:p>
            <w:pPr>
              <w:pStyle w:val="373"/>
              <w:widowControl w:val="0"/>
              <w:jc w:val="left"/>
              <w:rPr>
                <w:color w:val="auto"/>
              </w:rPr>
            </w:pPr>
            <w:r>
              <w:rPr>
                <w:color w:val="auto"/>
              </w:rPr>
              <w:t>（一）饮用水水源保护区，风景名胜区；</w:t>
            </w:r>
          </w:p>
          <w:p>
            <w:pPr>
              <w:pStyle w:val="373"/>
              <w:widowControl w:val="0"/>
              <w:jc w:val="left"/>
              <w:rPr>
                <w:color w:val="auto"/>
              </w:rPr>
            </w:pPr>
            <w:r>
              <w:rPr>
                <w:color w:val="auto"/>
              </w:rPr>
              <w:t>（二）自然保护区的核心区和缓冲区；</w:t>
            </w:r>
          </w:p>
          <w:p>
            <w:pPr>
              <w:pStyle w:val="373"/>
              <w:widowControl w:val="0"/>
              <w:jc w:val="left"/>
              <w:rPr>
                <w:color w:val="auto"/>
              </w:rPr>
            </w:pPr>
            <w:r>
              <w:rPr>
                <w:color w:val="auto"/>
              </w:rPr>
              <w:t>（三）城镇居民区、文化教育科学研究区等人口集中区域；</w:t>
            </w:r>
          </w:p>
          <w:p>
            <w:pPr>
              <w:jc w:val="left"/>
              <w:rPr>
                <w:rFonts w:ascii="Times New Roman" w:eastAsia="宋体"/>
                <w:color w:val="auto"/>
              </w:rPr>
            </w:pPr>
            <w:r>
              <w:rPr>
                <w:rFonts w:ascii="Times New Roman" w:eastAsia="宋体"/>
                <w:color w:val="auto"/>
                <w:sz w:val="21"/>
                <w:szCs w:val="21"/>
              </w:rPr>
              <w:t>（四）法律、法规规定的其他禁止养殖区域。</w:t>
            </w:r>
          </w:p>
        </w:tc>
        <w:tc>
          <w:tcPr>
            <w:tcW w:w="3834" w:type="dxa"/>
            <w:tcBorders>
              <w:tl2br w:val="nil"/>
              <w:tr2bl w:val="nil"/>
            </w:tcBorders>
            <w:vAlign w:val="center"/>
          </w:tcPr>
          <w:p>
            <w:pPr>
              <w:jc w:val="left"/>
              <w:rPr>
                <w:rFonts w:ascii="Times New Roman" w:eastAsia="宋体"/>
                <w:color w:val="auto"/>
                <w:highlight w:val="yellow"/>
              </w:rPr>
            </w:pPr>
            <w:r>
              <w:rPr>
                <w:rFonts w:ascii="Times New Roman" w:eastAsia="宋体"/>
                <w:color w:val="auto"/>
                <w:sz w:val="21"/>
                <w:szCs w:val="21"/>
              </w:rPr>
              <w:t>本项目</w:t>
            </w:r>
            <w:r>
              <w:rPr>
                <w:rFonts w:hint="eastAsia" w:ascii="Times New Roman" w:eastAsia="宋体"/>
                <w:color w:val="auto"/>
                <w:sz w:val="21"/>
                <w:szCs w:val="21"/>
              </w:rPr>
              <w:t>不涉及条款中禁止区域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2" w:type="dxa"/>
            <w:tcBorders>
              <w:tl2br w:val="nil"/>
              <w:tr2bl w:val="nil"/>
            </w:tcBorders>
            <w:vAlign w:val="center"/>
          </w:tcPr>
          <w:p>
            <w:pPr>
              <w:pStyle w:val="373"/>
              <w:widowControl w:val="0"/>
              <w:numPr>
                <w:ilvl w:val="0"/>
                <w:numId w:val="4"/>
              </w:numPr>
              <w:jc w:val="left"/>
              <w:rPr>
                <w:color w:val="auto"/>
              </w:rPr>
            </w:pPr>
            <w:r>
              <w:rPr>
                <w:color w:val="auto"/>
              </w:rPr>
              <w:t>畜禽养殖场、养殖小区应当根据养殖规模和污染防治需要，建设相应的畜禽粪便、污水与雨水分流设施，畜禽粪便、污水的贮存设施，粪污厌氧消化和堆沤、有机肥加工、制取沼气、沼渣沼液分离和输送、污水处理、畜禽尸体处理等综合利用和无害化处理设施。畜禽养殖场、养殖小区自行建设污染防治配套设施的，应当确保其正常运行。</w:t>
            </w:r>
          </w:p>
        </w:tc>
        <w:tc>
          <w:tcPr>
            <w:tcW w:w="3834" w:type="dxa"/>
            <w:tcBorders>
              <w:tl2br w:val="nil"/>
              <w:tr2bl w:val="nil"/>
            </w:tcBorders>
            <w:vAlign w:val="center"/>
          </w:tcPr>
          <w:p>
            <w:pPr>
              <w:jc w:val="left"/>
              <w:rPr>
                <w:rFonts w:hint="default" w:ascii="Times New Roman" w:eastAsia="宋体"/>
                <w:color w:val="auto"/>
                <w:highlight w:val="yellow"/>
                <w:lang w:val="en-US" w:eastAsia="zh-CN"/>
              </w:rPr>
            </w:pPr>
            <w:r>
              <w:rPr>
                <w:rFonts w:ascii="Times New Roman" w:eastAsia="宋体"/>
                <w:color w:val="auto"/>
                <w:sz w:val="21"/>
                <w:szCs w:val="21"/>
              </w:rPr>
              <w:t>厂内实行雨污分流，生活污水经化粪池处理后与养殖废水一并汇入沉淀池，后</w:t>
            </w:r>
            <w:r>
              <w:rPr>
                <w:rFonts w:hint="eastAsia" w:ascii="Times New Roman" w:eastAsia="宋体"/>
                <w:color w:val="auto"/>
                <w:sz w:val="21"/>
                <w:szCs w:val="21"/>
              </w:rPr>
              <w:t>由</w:t>
            </w:r>
            <w:r>
              <w:rPr>
                <w:rFonts w:ascii="Times New Roman" w:eastAsia="宋体"/>
                <w:color w:val="auto"/>
                <w:sz w:val="21"/>
                <w:szCs w:val="21"/>
              </w:rPr>
              <w:t>密闭槽罐车运送至公司新华养殖场污水处理站处理，处理达标后用于周边林果地浇灌；鸡粪</w:t>
            </w:r>
            <w:r>
              <w:rPr>
                <w:rFonts w:hint="eastAsia" w:ascii="Times New Roman" w:eastAsia="宋体"/>
                <w:color w:val="auto"/>
                <w:sz w:val="21"/>
                <w:szCs w:val="21"/>
              </w:rPr>
              <w:t>采用干清粪，日产日清日外销，</w:t>
            </w:r>
            <w:r>
              <w:rPr>
                <w:rFonts w:hint="eastAsia" w:ascii="Times New Roman" w:eastAsia="宋体"/>
                <w:color w:val="auto"/>
                <w:sz w:val="21"/>
                <w:szCs w:val="21"/>
                <w:lang w:val="en-US" w:eastAsia="zh-CN"/>
              </w:rPr>
              <w:t>暂存于鸡粪暂存区，定期外售制肥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2" w:type="dxa"/>
            <w:tcBorders>
              <w:tl2br w:val="nil"/>
              <w:tr2bl w:val="nil"/>
            </w:tcBorders>
            <w:vAlign w:val="center"/>
          </w:tcPr>
          <w:p>
            <w:pPr>
              <w:jc w:val="left"/>
              <w:rPr>
                <w:rFonts w:ascii="Times New Roman" w:eastAsia="宋体"/>
                <w:color w:val="auto"/>
              </w:rPr>
            </w:pPr>
            <w:r>
              <w:rPr>
                <w:rFonts w:ascii="Times New Roman" w:eastAsia="宋体"/>
                <w:color w:val="auto"/>
                <w:sz w:val="21"/>
                <w:szCs w:val="21"/>
              </w:rPr>
              <w:t>第十四条从事畜禽养殖活动，应当采取科学的饲养方式和废弃物处理工艺等有效措施，减少畜禽养殖废弃物的产生量和向环境的排放量。</w:t>
            </w:r>
          </w:p>
        </w:tc>
        <w:tc>
          <w:tcPr>
            <w:tcW w:w="3834" w:type="dxa"/>
            <w:tcBorders>
              <w:tl2br w:val="nil"/>
              <w:tr2bl w:val="nil"/>
            </w:tcBorders>
            <w:vAlign w:val="center"/>
          </w:tcPr>
          <w:p>
            <w:pPr>
              <w:jc w:val="left"/>
              <w:rPr>
                <w:rFonts w:ascii="Times New Roman" w:eastAsia="宋体"/>
                <w:color w:val="auto"/>
                <w:highlight w:val="yellow"/>
              </w:rPr>
            </w:pPr>
            <w:r>
              <w:rPr>
                <w:rFonts w:ascii="Times New Roman" w:eastAsia="宋体"/>
                <w:color w:val="auto"/>
                <w:sz w:val="21"/>
                <w:szCs w:val="21"/>
              </w:rPr>
              <w:t>本项目采取的畜禽养殖技术成熟，废弃物处理工艺精湛、有效，畜禽养殖废弃物均能资源化综合利用，不外排。</w:t>
            </w:r>
          </w:p>
        </w:tc>
      </w:tr>
    </w:tbl>
    <w:p>
      <w:pPr>
        <w:pStyle w:val="218"/>
        <w:rPr>
          <w:color w:val="auto"/>
        </w:rPr>
      </w:pPr>
      <w:r>
        <w:rPr>
          <w:rFonts w:hint="eastAsia"/>
          <w:color w:val="auto"/>
        </w:rPr>
        <w:t>综上所述，</w:t>
      </w:r>
      <w:r>
        <w:rPr>
          <w:color w:val="auto"/>
        </w:rPr>
        <w:t>本项目符合《畜禽规模养殖污染防治条例》</w:t>
      </w:r>
      <w:r>
        <w:rPr>
          <w:rFonts w:hint="eastAsia"/>
          <w:color w:val="auto"/>
        </w:rPr>
        <w:t>中</w:t>
      </w:r>
      <w:r>
        <w:rPr>
          <w:color w:val="auto"/>
        </w:rPr>
        <w:t>相关要求。</w:t>
      </w:r>
    </w:p>
    <w:p>
      <w:pPr>
        <w:spacing w:line="360" w:lineRule="auto"/>
        <w:jc w:val="left"/>
        <w:outlineLvl w:val="3"/>
        <w:rPr>
          <w:rFonts w:ascii="Times New Roman" w:eastAsiaTheme="minorEastAsia" w:cstheme="minorEastAsia"/>
          <w:color w:val="auto"/>
          <w:szCs w:val="24"/>
        </w:rPr>
      </w:pPr>
      <w:r>
        <w:rPr>
          <w:rFonts w:hint="eastAsia" w:ascii="Times New Roman" w:eastAsia="宋体" w:cs="宋体"/>
          <w:color w:val="auto"/>
          <w:kern w:val="2"/>
          <w:szCs w:val="24"/>
        </w:rPr>
        <w:t>1.3.2.</w:t>
      </w:r>
      <w:r>
        <w:rPr>
          <w:rFonts w:hint="eastAsia" w:ascii="Times New Roman" w:eastAsia="宋体" w:cs="宋体"/>
          <w:color w:val="auto"/>
          <w:kern w:val="2"/>
          <w:szCs w:val="24"/>
          <w:lang w:val="en-US" w:eastAsia="zh-CN"/>
        </w:rPr>
        <w:t>8</w:t>
      </w:r>
      <w:r>
        <w:rPr>
          <w:rFonts w:hint="eastAsia" w:ascii="Times New Roman" w:eastAsia="宋体" w:cs="宋体"/>
          <w:color w:val="auto"/>
          <w:szCs w:val="24"/>
        </w:rPr>
        <w:t>与</w:t>
      </w:r>
      <w:r>
        <w:rPr>
          <w:rFonts w:hint="eastAsia" w:ascii="Times New Roman" w:eastAsiaTheme="minorEastAsia" w:cstheme="minorEastAsia"/>
          <w:color w:val="auto"/>
          <w:szCs w:val="24"/>
        </w:rPr>
        <w:t>《关于进一步明确畜禽粪污还田利用要求强化养殖污染监管的通知》（农办牧〔2020〕23号）的相符性分析</w:t>
      </w:r>
    </w:p>
    <w:p>
      <w:pPr>
        <w:widowControl/>
        <w:tabs>
          <w:tab w:val="right" w:pos="11340"/>
        </w:tabs>
        <w:spacing w:line="360" w:lineRule="auto"/>
        <w:ind w:left="2" w:leftChars="1" w:firstLine="422" w:firstLineChars="200"/>
        <w:jc w:val="center"/>
        <w:rPr>
          <w:rFonts w:ascii="Times New Roman" w:eastAsia="宋体"/>
          <w:bCs/>
          <w:color w:val="auto"/>
          <w:kern w:val="2"/>
        </w:rPr>
      </w:pPr>
      <w:r>
        <w:rPr>
          <w:rFonts w:ascii="Times New Roman" w:eastAsia="宋体"/>
          <w:b/>
          <w:color w:val="auto"/>
          <w:kern w:val="2"/>
          <w:sz w:val="21"/>
        </w:rPr>
        <w:t>表</w:t>
      </w:r>
      <w:r>
        <w:rPr>
          <w:rFonts w:hint="eastAsia" w:ascii="Times New Roman" w:eastAsia="宋体"/>
          <w:b/>
          <w:color w:val="auto"/>
          <w:kern w:val="2"/>
          <w:sz w:val="21"/>
        </w:rPr>
        <w:t>1.3-7本项目</w:t>
      </w:r>
      <w:r>
        <w:rPr>
          <w:rFonts w:ascii="Times New Roman" w:eastAsia="宋体"/>
          <w:b/>
          <w:color w:val="auto"/>
          <w:kern w:val="2"/>
          <w:sz w:val="21"/>
        </w:rPr>
        <w:t>与</w:t>
      </w:r>
      <w:r>
        <w:rPr>
          <w:rFonts w:hint="eastAsia" w:ascii="Times New Roman" w:eastAsia="宋体"/>
          <w:b/>
          <w:color w:val="auto"/>
          <w:kern w:val="2"/>
          <w:sz w:val="21"/>
        </w:rPr>
        <w:t>通知</w:t>
      </w:r>
      <w:r>
        <w:rPr>
          <w:rFonts w:ascii="Times New Roman" w:eastAsia="宋体"/>
          <w:b/>
          <w:color w:val="auto"/>
          <w:kern w:val="2"/>
          <w:sz w:val="21"/>
        </w:rPr>
        <w:t>要求对比分析结果</w:t>
      </w:r>
    </w:p>
    <w:tbl>
      <w:tblPr>
        <w:tblStyle w:val="47"/>
        <w:tblW w:w="8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3903"/>
        <w:gridCol w:w="3382"/>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64"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序号</w:t>
            </w:r>
          </w:p>
        </w:tc>
        <w:tc>
          <w:tcPr>
            <w:tcW w:w="3903" w:type="dxa"/>
            <w:tcBorders>
              <w:tl2br w:val="nil"/>
              <w:tr2bl w:val="nil"/>
            </w:tcBorders>
            <w:vAlign w:val="center"/>
          </w:tcPr>
          <w:p>
            <w:pPr>
              <w:jc w:val="center"/>
              <w:rPr>
                <w:rFonts w:ascii="Times New Roman" w:eastAsia="宋体"/>
                <w:color w:val="auto"/>
                <w:kern w:val="28"/>
                <w:position w:val="-24"/>
                <w:sz w:val="21"/>
                <w:szCs w:val="21"/>
              </w:rPr>
            </w:pPr>
            <w:r>
              <w:rPr>
                <w:rFonts w:hint="eastAsia" w:ascii="Times New Roman" w:eastAsia="宋体"/>
                <w:color w:val="auto"/>
                <w:kern w:val="2"/>
                <w:position w:val="-24"/>
                <w:sz w:val="21"/>
                <w:szCs w:val="21"/>
              </w:rPr>
              <w:t>通知</w:t>
            </w:r>
            <w:r>
              <w:rPr>
                <w:rFonts w:ascii="Times New Roman" w:eastAsia="宋体"/>
                <w:color w:val="auto"/>
                <w:kern w:val="2"/>
                <w:position w:val="-24"/>
                <w:sz w:val="21"/>
                <w:szCs w:val="21"/>
              </w:rPr>
              <w:t>要求</w:t>
            </w:r>
          </w:p>
        </w:tc>
        <w:tc>
          <w:tcPr>
            <w:tcW w:w="3382" w:type="dxa"/>
            <w:tcBorders>
              <w:tl2br w:val="nil"/>
              <w:tr2bl w:val="nil"/>
            </w:tcBorders>
            <w:vAlign w:val="center"/>
          </w:tcPr>
          <w:p>
            <w:pPr>
              <w:jc w:val="center"/>
              <w:rPr>
                <w:rFonts w:ascii="Times New Roman" w:eastAsia="宋体"/>
                <w:color w:val="auto"/>
                <w:kern w:val="28"/>
                <w:position w:val="-24"/>
                <w:sz w:val="21"/>
                <w:szCs w:val="21"/>
              </w:rPr>
            </w:pPr>
            <w:r>
              <w:rPr>
                <w:rFonts w:hint="eastAsia" w:ascii="Times New Roman" w:eastAsia="宋体"/>
                <w:color w:val="auto"/>
                <w:kern w:val="2"/>
                <w:position w:val="-24"/>
                <w:sz w:val="21"/>
                <w:szCs w:val="21"/>
              </w:rPr>
              <w:t>本项目情况</w:t>
            </w:r>
          </w:p>
        </w:tc>
        <w:tc>
          <w:tcPr>
            <w:tcW w:w="702"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1</w:t>
            </w:r>
          </w:p>
        </w:tc>
        <w:tc>
          <w:tcPr>
            <w:tcW w:w="3903" w:type="dxa"/>
            <w:tcBorders>
              <w:tl2br w:val="nil"/>
              <w:tr2bl w:val="nil"/>
            </w:tcBorders>
            <w:vAlign w:val="center"/>
          </w:tcPr>
          <w:p>
            <w:pPr>
              <w:jc w:val="center"/>
              <w:rPr>
                <w:rFonts w:ascii="Times New Roman" w:eastAsia="宋体"/>
                <w:color w:val="auto"/>
                <w:kern w:val="2"/>
                <w:position w:val="-24"/>
                <w:sz w:val="21"/>
                <w:szCs w:val="21"/>
              </w:rPr>
            </w:pPr>
            <w:r>
              <w:rPr>
                <w:rFonts w:ascii="Times New Roman" w:eastAsia="宋体"/>
                <w:color w:val="auto"/>
                <w:kern w:val="2"/>
                <w:position w:val="-24"/>
                <w:sz w:val="21"/>
                <w:szCs w:val="21"/>
              </w:rPr>
              <w:t>鼓励畜禽粪污还田利用。国家支持畜禽养殖场户建设畜禽粪污无害化处理和资源化利用设施，鼓励采取粪肥还田、制取沼气、生产有机肥等方式进行资源化利用。已获得环评批复的规模养殖场在建设和运营过程中，如需将粪污处理由达标排放（含按农田灌溉水标准排放）变更为资源化利用（不含商业化沼气工程和商品有机肥生产），在项目竣工环保验收前变更的，按照非重大变动纳入竣工环境保护验收管理；在竣工环保验收后变更的，按照改建项目依法开展环评。</w:t>
            </w:r>
          </w:p>
        </w:tc>
        <w:tc>
          <w:tcPr>
            <w:tcW w:w="3382" w:type="dxa"/>
            <w:tcBorders>
              <w:tl2br w:val="nil"/>
              <w:tr2bl w:val="nil"/>
            </w:tcBorders>
            <w:vAlign w:val="center"/>
          </w:tcPr>
          <w:p>
            <w:pPr>
              <w:jc w:val="center"/>
              <w:rPr>
                <w:rFonts w:ascii="Times New Roman" w:eastAsia="宋体"/>
                <w:color w:val="auto"/>
                <w:kern w:val="28"/>
                <w:position w:val="-24"/>
                <w:sz w:val="21"/>
                <w:szCs w:val="21"/>
              </w:rPr>
            </w:pPr>
            <w:r>
              <w:rPr>
                <w:rFonts w:hint="eastAsia" w:ascii="Times New Roman" w:eastAsia="宋体"/>
                <w:color w:val="auto"/>
                <w:kern w:val="2"/>
                <w:position w:val="-24"/>
                <w:sz w:val="21"/>
                <w:szCs w:val="21"/>
              </w:rPr>
              <w:t>本项目养殖废水依托新华养殖场污水处理设施处理合格后</w:t>
            </w:r>
            <w:r>
              <w:rPr>
                <w:rFonts w:hint="eastAsia" w:ascii="Times New Roman" w:eastAsia="宋体"/>
                <w:color w:val="auto"/>
                <w:kern w:val="2"/>
                <w:position w:val="-24"/>
                <w:sz w:val="21"/>
                <w:szCs w:val="21"/>
                <w:lang w:eastAsia="zh-CN"/>
              </w:rPr>
              <w:t>，满足</w:t>
            </w:r>
            <w:r>
              <w:rPr>
                <w:rFonts w:hint="eastAsia" w:ascii="Times New Roman" w:eastAsia="宋体"/>
                <w:color w:val="auto"/>
                <w:kern w:val="2"/>
                <w:position w:val="-24"/>
                <w:sz w:val="21"/>
                <w:szCs w:val="21"/>
                <w:lang w:val="zh-CN"/>
              </w:rPr>
              <w:t>《污水综合排放标准》（GB</w:t>
            </w:r>
            <w:r>
              <w:rPr>
                <w:rFonts w:hint="eastAsia" w:ascii="Times New Roman" w:eastAsia="宋体"/>
                <w:color w:val="auto"/>
                <w:kern w:val="2"/>
                <w:position w:val="-24"/>
                <w:sz w:val="21"/>
                <w:szCs w:val="21"/>
              </w:rPr>
              <w:t>8978</w:t>
            </w:r>
            <w:r>
              <w:rPr>
                <w:rFonts w:hint="eastAsia" w:ascii="Times New Roman" w:eastAsia="宋体"/>
                <w:color w:val="auto"/>
                <w:kern w:val="2"/>
                <w:position w:val="-24"/>
                <w:sz w:val="21"/>
                <w:szCs w:val="21"/>
                <w:lang w:val="zh-CN"/>
              </w:rPr>
              <w:t>-199</w:t>
            </w:r>
            <w:r>
              <w:rPr>
                <w:rFonts w:hint="eastAsia" w:ascii="Times New Roman" w:eastAsia="宋体"/>
                <w:color w:val="auto"/>
                <w:kern w:val="2"/>
                <w:position w:val="-24"/>
                <w:sz w:val="21"/>
                <w:szCs w:val="21"/>
              </w:rPr>
              <w:t>6</w:t>
            </w:r>
            <w:r>
              <w:rPr>
                <w:rFonts w:hint="eastAsia" w:ascii="Times New Roman" w:eastAsia="宋体"/>
                <w:color w:val="auto"/>
                <w:kern w:val="2"/>
                <w:position w:val="-24"/>
                <w:sz w:val="21"/>
                <w:szCs w:val="21"/>
                <w:lang w:val="zh-CN"/>
              </w:rPr>
              <w:t>）表</w:t>
            </w:r>
            <w:r>
              <w:rPr>
                <w:rFonts w:hint="eastAsia" w:ascii="Times New Roman" w:eastAsia="宋体"/>
                <w:color w:val="auto"/>
                <w:kern w:val="2"/>
                <w:position w:val="-24"/>
                <w:sz w:val="21"/>
                <w:szCs w:val="21"/>
              </w:rPr>
              <w:t>4</w:t>
            </w:r>
            <w:r>
              <w:rPr>
                <w:rFonts w:hint="eastAsia" w:ascii="Times New Roman" w:eastAsia="宋体"/>
                <w:color w:val="auto"/>
                <w:kern w:val="2"/>
                <w:position w:val="-24"/>
                <w:sz w:val="21"/>
                <w:szCs w:val="21"/>
                <w:lang w:val="zh-CN"/>
              </w:rPr>
              <w:t>中的一级标准后，</w:t>
            </w:r>
            <w:r>
              <w:rPr>
                <w:rFonts w:hint="eastAsia" w:ascii="Times New Roman" w:eastAsia="宋体"/>
                <w:color w:val="auto"/>
                <w:kern w:val="2"/>
                <w:position w:val="-24"/>
                <w:sz w:val="21"/>
                <w:szCs w:val="21"/>
              </w:rPr>
              <w:t>用于农</w:t>
            </w:r>
            <w:r>
              <w:rPr>
                <w:rFonts w:hint="eastAsia" w:ascii="Times New Roman" w:eastAsia="宋体"/>
                <w:color w:val="auto"/>
                <w:kern w:val="2"/>
                <w:position w:val="-24"/>
                <w:sz w:val="21"/>
                <w:szCs w:val="21"/>
                <w:lang w:val="en-US" w:eastAsia="zh-CN"/>
              </w:rPr>
              <w:t>林施肥</w:t>
            </w:r>
            <w:r>
              <w:rPr>
                <w:rFonts w:hint="eastAsia" w:ascii="Times New Roman" w:eastAsia="宋体"/>
                <w:color w:val="auto"/>
                <w:kern w:val="2"/>
                <w:position w:val="-24"/>
                <w:sz w:val="21"/>
                <w:szCs w:val="21"/>
              </w:rPr>
              <w:t>；鸡粪外</w:t>
            </w:r>
            <w:r>
              <w:rPr>
                <w:rFonts w:ascii="Times New Roman" w:eastAsia="宋体"/>
                <w:color w:val="auto"/>
                <w:kern w:val="2"/>
                <w:position w:val="-24"/>
                <w:sz w:val="21"/>
                <w:szCs w:val="21"/>
              </w:rPr>
              <w:t>售</w:t>
            </w:r>
            <w:r>
              <w:rPr>
                <w:rFonts w:hint="eastAsia" w:ascii="Times New Roman" w:eastAsia="宋体"/>
                <w:color w:val="auto"/>
                <w:kern w:val="2"/>
                <w:position w:val="-24"/>
                <w:sz w:val="21"/>
                <w:szCs w:val="21"/>
              </w:rPr>
              <w:t>制成有机肥</w:t>
            </w:r>
            <w:r>
              <w:rPr>
                <w:rFonts w:ascii="Times New Roman" w:eastAsia="宋体"/>
                <w:color w:val="auto"/>
                <w:kern w:val="2"/>
                <w:position w:val="-24"/>
                <w:sz w:val="21"/>
                <w:szCs w:val="21"/>
              </w:rPr>
              <w:t>，</w:t>
            </w:r>
            <w:r>
              <w:rPr>
                <w:rFonts w:hint="eastAsia" w:ascii="Times New Roman" w:eastAsia="宋体"/>
                <w:color w:val="auto"/>
                <w:kern w:val="2"/>
                <w:position w:val="-24"/>
                <w:sz w:val="21"/>
                <w:szCs w:val="21"/>
              </w:rPr>
              <w:t>粪污均进行资源化利用。</w:t>
            </w:r>
          </w:p>
        </w:tc>
        <w:tc>
          <w:tcPr>
            <w:tcW w:w="702"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564"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2</w:t>
            </w:r>
          </w:p>
        </w:tc>
        <w:tc>
          <w:tcPr>
            <w:tcW w:w="3903"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8"/>
                <w:position w:val="-24"/>
                <w:sz w:val="21"/>
                <w:szCs w:val="21"/>
              </w:rPr>
              <w:t>明确还田利用标准规范。畜禽粪污的处理应根据排放去向或利用方式的不同执行相应的标准规范。对配套土地充足的养殖场户，粪污经无害化处理后还田利用具体要求及限量应符合《畜禽粪便无害化处理技术规范》（GB/T 36195）和《畜禽粪便还田技术规范》（GB/T 25246），配套土地面积应达到《畜禽粪污土地承载力测算技术指南》（以下简称《指南》）要求的最小面积。对配套土地不足的养殖场户，粪污经处理后向环境排放的，应符合《畜禽养殖业污染物排放标准》（GB 18596）和地方有关排放标准。用于农田灌溉的，应符合《农田灌溉水质标准》（GB5084）。</w:t>
            </w:r>
          </w:p>
        </w:tc>
        <w:tc>
          <w:tcPr>
            <w:tcW w:w="3382" w:type="dxa"/>
            <w:tcBorders>
              <w:tl2br w:val="nil"/>
              <w:tr2bl w:val="nil"/>
            </w:tcBorders>
            <w:vAlign w:val="center"/>
          </w:tcPr>
          <w:p>
            <w:pPr>
              <w:rPr>
                <w:rFonts w:ascii="Times New Roman" w:eastAsia="宋体"/>
                <w:color w:val="auto"/>
                <w:kern w:val="28"/>
                <w:position w:val="-24"/>
                <w:sz w:val="21"/>
                <w:szCs w:val="21"/>
              </w:rPr>
            </w:pPr>
            <w:r>
              <w:rPr>
                <w:rFonts w:hint="eastAsia" w:ascii="Times New Roman" w:eastAsia="宋体"/>
                <w:color w:val="auto"/>
                <w:kern w:val="28"/>
                <w:position w:val="-24"/>
                <w:sz w:val="21"/>
                <w:szCs w:val="21"/>
              </w:rPr>
              <w:t>本项目养殖废水依托新华养殖场处理，处理达标后用于农灌；本项目鸡粪外售制成有机肥。</w:t>
            </w:r>
          </w:p>
        </w:tc>
        <w:tc>
          <w:tcPr>
            <w:tcW w:w="702"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64"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3</w:t>
            </w:r>
          </w:p>
        </w:tc>
        <w:tc>
          <w:tcPr>
            <w:tcW w:w="3903"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8"/>
                <w:position w:val="-24"/>
                <w:sz w:val="21"/>
                <w:szCs w:val="21"/>
              </w:rPr>
              <w:t>落实养殖场户主体责任。养殖场户应当切实履行粪污利用和污染防治主体责任，采取措施，对畜禽粪污进行科学处理和资源化利用，防止污染环境。从事畜禽规模养殖要严格落实《中华人民共和国固体废物污染环境防治法》《中华人民共和国水污染防治法》《畜禽规模养殖污染防治条例》要求，建设粪污无害化处理和资源化利用设施并确保其正常运行，或委托第三方代为实现粪污无害化处理和资源化利用。对畜禽规模养殖污染防治设施配套不到位，粪污未经无害化处理直接还田或向环境排放，不符合国家和地方排放标准的，农业农村部门要加强技术指导和服务，生态环境部门要依法查处。</w:t>
            </w:r>
          </w:p>
        </w:tc>
        <w:tc>
          <w:tcPr>
            <w:tcW w:w="3382" w:type="dxa"/>
            <w:tcBorders>
              <w:tl2br w:val="nil"/>
              <w:tr2bl w:val="nil"/>
            </w:tcBorders>
            <w:vAlign w:val="center"/>
          </w:tcPr>
          <w:p>
            <w:pPr>
              <w:jc w:val="center"/>
              <w:rPr>
                <w:rFonts w:ascii="Times New Roman" w:eastAsia="宋体"/>
                <w:color w:val="auto"/>
                <w:kern w:val="28"/>
                <w:position w:val="-24"/>
                <w:sz w:val="21"/>
                <w:szCs w:val="21"/>
              </w:rPr>
            </w:pPr>
            <w:r>
              <w:rPr>
                <w:rFonts w:hint="eastAsia" w:ascii="Times New Roman" w:eastAsia="宋体"/>
                <w:color w:val="auto"/>
                <w:kern w:val="28"/>
                <w:position w:val="-24"/>
                <w:sz w:val="21"/>
                <w:szCs w:val="21"/>
              </w:rPr>
              <w:t>本项目养殖废水和鸡粪均外委第三方代为</w:t>
            </w:r>
            <w:r>
              <w:rPr>
                <w:rFonts w:ascii="Times New Roman" w:eastAsia="宋体"/>
                <w:color w:val="auto"/>
                <w:kern w:val="28"/>
                <w:position w:val="-24"/>
                <w:sz w:val="21"/>
                <w:szCs w:val="21"/>
              </w:rPr>
              <w:t>实现粪污无害化处理和资源化利用</w:t>
            </w:r>
            <w:r>
              <w:rPr>
                <w:rFonts w:hint="eastAsia" w:ascii="Times New Roman" w:eastAsia="宋体"/>
                <w:color w:val="auto"/>
                <w:kern w:val="28"/>
                <w:position w:val="-24"/>
                <w:sz w:val="21"/>
                <w:szCs w:val="21"/>
              </w:rPr>
              <w:t>。</w:t>
            </w:r>
          </w:p>
        </w:tc>
        <w:tc>
          <w:tcPr>
            <w:tcW w:w="702"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64"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4</w:t>
            </w:r>
          </w:p>
        </w:tc>
        <w:tc>
          <w:tcPr>
            <w:tcW w:w="3903"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8"/>
                <w:position w:val="-24"/>
                <w:sz w:val="21"/>
                <w:szCs w:val="21"/>
              </w:rPr>
              <w:t>强化粪污还田利用过程监管。养殖场户应依法配置粪污贮存设施，设施总容积不得低于当地农林作物生产用肥的最大间隔时间内产生粪污的总量，配套土地面积不得小于《指南》要求的最小面积；配套土地面积不足的，应委托第三方代为实现粪污资源化。达不到前述要求且无法证明粪污去向的，视同超出土地消纳能力。</w:t>
            </w:r>
          </w:p>
        </w:tc>
        <w:tc>
          <w:tcPr>
            <w:tcW w:w="3382" w:type="dxa"/>
            <w:tcBorders>
              <w:tl2br w:val="nil"/>
              <w:tr2bl w:val="nil"/>
            </w:tcBorders>
            <w:vAlign w:val="center"/>
          </w:tcPr>
          <w:p>
            <w:pPr>
              <w:jc w:val="center"/>
              <w:rPr>
                <w:rFonts w:hint="default" w:ascii="Times New Roman" w:eastAsia="宋体"/>
                <w:color w:val="auto"/>
                <w:kern w:val="28"/>
                <w:position w:val="-24"/>
                <w:sz w:val="21"/>
                <w:szCs w:val="21"/>
                <w:lang w:val="en-US" w:eastAsia="zh-CN"/>
              </w:rPr>
            </w:pPr>
            <w:r>
              <w:rPr>
                <w:rFonts w:hint="eastAsia" w:ascii="Times New Roman" w:eastAsia="宋体"/>
                <w:color w:val="auto"/>
                <w:kern w:val="28"/>
                <w:position w:val="-24"/>
                <w:sz w:val="21"/>
                <w:szCs w:val="21"/>
                <w:lang w:val="en-US" w:eastAsia="zh-CN"/>
              </w:rPr>
              <w:t>本项目在鸡舍内设有10个鸡粪暂存区，用于短时间暂存，鸡粪外售制肥；废水依托新华养殖场污水处理站处理，处理后用于周边农林施肥，新华养殖场已租赁20亩农林地用于施肥，面积和土壤消纳能力满足要求，可实现废水资源化</w:t>
            </w:r>
          </w:p>
        </w:tc>
        <w:tc>
          <w:tcPr>
            <w:tcW w:w="702" w:type="dxa"/>
            <w:tcBorders>
              <w:tl2br w:val="nil"/>
              <w:tr2bl w:val="nil"/>
            </w:tcBorders>
            <w:vAlign w:val="center"/>
          </w:tcPr>
          <w:p>
            <w:pPr>
              <w:jc w:val="center"/>
              <w:rPr>
                <w:rFonts w:ascii="Times New Roman" w:eastAsia="宋体"/>
                <w:color w:val="auto"/>
                <w:kern w:val="28"/>
                <w:position w:val="-24"/>
                <w:sz w:val="21"/>
                <w:szCs w:val="21"/>
              </w:rPr>
            </w:pPr>
            <w:r>
              <w:rPr>
                <w:rFonts w:ascii="Times New Roman" w:eastAsia="宋体"/>
                <w:color w:val="auto"/>
                <w:kern w:val="2"/>
                <w:position w:val="-24"/>
                <w:sz w:val="21"/>
                <w:szCs w:val="21"/>
              </w:rPr>
              <w:t>符合</w:t>
            </w:r>
          </w:p>
        </w:tc>
      </w:tr>
    </w:tbl>
    <w:p>
      <w:pPr>
        <w:pStyle w:val="218"/>
        <w:rPr>
          <w:color w:val="auto"/>
        </w:rPr>
      </w:pP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 xml:space="preserve">1.3.3 </w:t>
      </w:r>
      <w:r>
        <w:rPr>
          <w:rFonts w:ascii="Times New Roman" w:eastAsia="宋体"/>
          <w:b/>
          <w:bCs/>
          <w:color w:val="auto"/>
          <w:kern w:val="2"/>
          <w:sz w:val="24"/>
        </w:rPr>
        <w:t>建设项目选址相符性分析</w:t>
      </w:r>
    </w:p>
    <w:p>
      <w:pPr>
        <w:pStyle w:val="173"/>
        <w:ind w:firstLine="480"/>
        <w:rPr>
          <w:rFonts w:ascii="Times New Roman" w:eastAsia="宋体"/>
          <w:color w:val="auto"/>
        </w:rPr>
      </w:pPr>
      <w:r>
        <w:rPr>
          <w:rFonts w:hint="eastAsia" w:ascii="Times New Roman" w:eastAsia="宋体"/>
          <w:color w:val="auto"/>
        </w:rPr>
        <w:t>（1）规划符合性分析</w:t>
      </w:r>
    </w:p>
    <w:p>
      <w:pPr>
        <w:pStyle w:val="240"/>
        <w:ind w:firstLine="480" w:firstLineChars="200"/>
        <w:jc w:val="left"/>
        <w:rPr>
          <w:rFonts w:hint="eastAsia" w:ascii="Times New Roman" w:eastAsia="宋体"/>
          <w:b w:val="0"/>
          <w:bCs/>
          <w:color w:val="auto"/>
          <w:sz w:val="24"/>
          <w:szCs w:val="24"/>
          <w:u w:val="none"/>
        </w:rPr>
      </w:pPr>
      <w:r>
        <w:rPr>
          <w:rFonts w:ascii="Times New Roman" w:eastAsia="宋体"/>
          <w:b w:val="0"/>
          <w:bCs/>
          <w:color w:val="auto"/>
          <w:sz w:val="24"/>
          <w:szCs w:val="24"/>
          <w:u w:val="none"/>
        </w:rPr>
        <w:t>本项目位于</w:t>
      </w:r>
      <w:r>
        <w:rPr>
          <w:rFonts w:hint="eastAsia" w:ascii="Times New Roman" w:eastAsia="宋体"/>
          <w:b w:val="0"/>
          <w:bCs/>
          <w:color w:val="auto"/>
          <w:sz w:val="24"/>
          <w:szCs w:val="24"/>
          <w:u w:val="none"/>
        </w:rPr>
        <w:t>岳阳市</w:t>
      </w:r>
      <w:r>
        <w:rPr>
          <w:rFonts w:ascii="Times New Roman" w:eastAsia="宋体"/>
          <w:b w:val="0"/>
          <w:bCs/>
          <w:color w:val="auto"/>
          <w:sz w:val="24"/>
          <w:szCs w:val="24"/>
          <w:u w:val="none"/>
        </w:rPr>
        <w:t>岳阳县新墙镇新华村桃源片，总占地面积</w:t>
      </w:r>
      <w:r>
        <w:rPr>
          <w:rFonts w:hint="eastAsia" w:ascii="Times New Roman" w:eastAsia="宋体"/>
          <w:b w:val="0"/>
          <w:bCs/>
          <w:color w:val="auto"/>
          <w:sz w:val="24"/>
          <w:szCs w:val="24"/>
          <w:u w:val="none"/>
        </w:rPr>
        <w:t>43905</w:t>
      </w:r>
      <w:r>
        <w:rPr>
          <w:rFonts w:ascii="Times New Roman" w:eastAsia="宋体"/>
          <w:b w:val="0"/>
          <w:bCs/>
          <w:color w:val="auto"/>
          <w:sz w:val="24"/>
          <w:szCs w:val="24"/>
          <w:u w:val="none"/>
        </w:rPr>
        <w:t>m</w:t>
      </w:r>
      <w:r>
        <w:rPr>
          <w:rFonts w:ascii="Times New Roman" w:eastAsia="宋体"/>
          <w:b w:val="0"/>
          <w:bCs/>
          <w:color w:val="auto"/>
          <w:sz w:val="24"/>
          <w:szCs w:val="24"/>
          <w:u w:val="none"/>
          <w:vertAlign w:val="superscript"/>
        </w:rPr>
        <w:t>2</w:t>
      </w:r>
      <w:r>
        <w:rPr>
          <w:rFonts w:hint="eastAsia" w:ascii="Times New Roman" w:eastAsia="宋体"/>
          <w:b w:val="0"/>
          <w:bCs/>
          <w:color w:val="auto"/>
          <w:sz w:val="24"/>
          <w:szCs w:val="24"/>
          <w:u w:val="none"/>
        </w:rPr>
        <w:t>。</w:t>
      </w:r>
      <w:r>
        <w:rPr>
          <w:rFonts w:ascii="Times New Roman" w:eastAsia="宋体"/>
          <w:b w:val="0"/>
          <w:bCs/>
          <w:color w:val="auto"/>
          <w:sz w:val="24"/>
          <w:szCs w:val="24"/>
          <w:u w:val="none"/>
        </w:rPr>
        <w:t>用地范围主要包括一般林地</w:t>
      </w:r>
      <w:r>
        <w:rPr>
          <w:rFonts w:hint="eastAsia" w:ascii="Times New Roman" w:eastAsia="宋体"/>
          <w:b w:val="0"/>
          <w:bCs/>
          <w:color w:val="auto"/>
          <w:sz w:val="24"/>
          <w:szCs w:val="24"/>
          <w:u w:val="none"/>
        </w:rPr>
        <w:t>40313m</w:t>
      </w:r>
      <w:r>
        <w:rPr>
          <w:rFonts w:hint="eastAsia" w:ascii="Times New Roman" w:eastAsia="宋体"/>
          <w:b w:val="0"/>
          <w:bCs/>
          <w:color w:val="auto"/>
          <w:sz w:val="24"/>
          <w:szCs w:val="24"/>
          <w:u w:val="none"/>
          <w:vertAlign w:val="superscript"/>
        </w:rPr>
        <w:t>2</w:t>
      </w:r>
      <w:r>
        <w:rPr>
          <w:rFonts w:ascii="Times New Roman" w:eastAsia="宋体"/>
          <w:b w:val="0"/>
          <w:bCs/>
          <w:color w:val="auto"/>
          <w:sz w:val="24"/>
          <w:szCs w:val="24"/>
          <w:u w:val="none"/>
        </w:rPr>
        <w:t>、</w:t>
      </w:r>
      <w:r>
        <w:rPr>
          <w:rFonts w:hint="eastAsia" w:ascii="Times New Roman" w:eastAsia="宋体"/>
          <w:b w:val="0"/>
          <w:bCs/>
          <w:color w:val="auto"/>
          <w:sz w:val="24"/>
          <w:szCs w:val="24"/>
          <w:u w:val="none"/>
        </w:rPr>
        <w:t>耕地896m</w:t>
      </w:r>
      <w:r>
        <w:rPr>
          <w:rFonts w:hint="eastAsia" w:ascii="Times New Roman" w:eastAsia="宋体"/>
          <w:b w:val="0"/>
          <w:bCs/>
          <w:color w:val="auto"/>
          <w:sz w:val="24"/>
          <w:szCs w:val="24"/>
          <w:u w:val="none"/>
          <w:vertAlign w:val="superscript"/>
        </w:rPr>
        <w:t>2</w:t>
      </w:r>
      <w:r>
        <w:rPr>
          <w:rFonts w:hint="eastAsia" w:ascii="Times New Roman" w:eastAsia="宋体"/>
          <w:b w:val="0"/>
          <w:bCs/>
          <w:color w:val="auto"/>
          <w:sz w:val="24"/>
          <w:szCs w:val="24"/>
          <w:u w:val="none"/>
        </w:rPr>
        <w:t>、其他农用地2479m</w:t>
      </w:r>
      <w:r>
        <w:rPr>
          <w:rFonts w:hint="eastAsia" w:ascii="Times New Roman" w:eastAsia="宋体"/>
          <w:b w:val="0"/>
          <w:bCs/>
          <w:color w:val="auto"/>
          <w:sz w:val="24"/>
          <w:szCs w:val="24"/>
          <w:u w:val="none"/>
          <w:vertAlign w:val="superscript"/>
        </w:rPr>
        <w:t>2</w:t>
      </w:r>
      <w:r>
        <w:rPr>
          <w:rFonts w:hint="eastAsia" w:ascii="Times New Roman" w:eastAsia="宋体"/>
          <w:b w:val="0"/>
          <w:bCs/>
          <w:color w:val="auto"/>
          <w:sz w:val="24"/>
          <w:szCs w:val="24"/>
          <w:u w:val="none"/>
        </w:rPr>
        <w:t>和农村宅基地217m</w:t>
      </w:r>
      <w:r>
        <w:rPr>
          <w:rFonts w:hint="eastAsia" w:ascii="Times New Roman" w:eastAsia="宋体"/>
          <w:b w:val="0"/>
          <w:bCs/>
          <w:color w:val="auto"/>
          <w:sz w:val="24"/>
          <w:szCs w:val="24"/>
          <w:u w:val="none"/>
          <w:vertAlign w:val="superscript"/>
        </w:rPr>
        <w:t>2</w:t>
      </w:r>
      <w:r>
        <w:rPr>
          <w:rFonts w:hint="eastAsia" w:ascii="Times New Roman" w:eastAsia="宋体"/>
          <w:b w:val="0"/>
          <w:bCs/>
          <w:color w:val="auto"/>
          <w:sz w:val="24"/>
          <w:szCs w:val="24"/>
          <w:u w:val="none"/>
        </w:rPr>
        <w:t>。</w:t>
      </w:r>
    </w:p>
    <w:p>
      <w:pPr>
        <w:pStyle w:val="240"/>
        <w:ind w:firstLine="480" w:firstLineChars="200"/>
        <w:jc w:val="left"/>
        <w:rPr>
          <w:rFonts w:hint="eastAsia" w:ascii="Times New Roman" w:eastAsia="宋体"/>
          <w:b w:val="0"/>
          <w:bCs/>
          <w:color w:val="auto"/>
          <w:sz w:val="24"/>
          <w:szCs w:val="24"/>
          <w:u w:val="single"/>
          <w:lang w:val="en-US" w:eastAsia="zh-CN"/>
        </w:rPr>
      </w:pPr>
      <w:r>
        <w:rPr>
          <w:rFonts w:hint="eastAsia" w:ascii="Times New Roman" w:eastAsia="宋体"/>
          <w:b w:val="0"/>
          <w:bCs/>
          <w:color w:val="auto"/>
          <w:sz w:val="24"/>
          <w:szCs w:val="24"/>
          <w:u w:val="single"/>
          <w:lang w:val="en-US" w:eastAsia="zh-CN"/>
        </w:rPr>
        <w:t>针对本项目用地，岳阳县自然资源局出具的《关于岳阳湘佳牧业有限公司桃源肉鸡养殖场项目规划选址意见》：……拟用地范围未占用永久基本农田，未覆压生态保护红线和九大类保护区范围，该项目用地符合设施农用地相关政策规定，按设施农业用地管理，符合岳阳县新墙镇土地利用总体规划……。</w:t>
      </w:r>
    </w:p>
    <w:p>
      <w:pPr>
        <w:pStyle w:val="240"/>
        <w:ind w:firstLine="480" w:firstLineChars="200"/>
        <w:jc w:val="left"/>
        <w:rPr>
          <w:rFonts w:hint="eastAsia" w:ascii="Times New Roman" w:eastAsia="宋体"/>
          <w:b w:val="0"/>
          <w:bCs/>
          <w:color w:val="auto"/>
          <w:sz w:val="24"/>
          <w:szCs w:val="24"/>
          <w:u w:val="single"/>
          <w:lang w:val="en-US" w:eastAsia="zh-CN"/>
        </w:rPr>
      </w:pPr>
      <w:r>
        <w:rPr>
          <w:rFonts w:hint="eastAsia" w:ascii="Times New Roman" w:eastAsia="宋体"/>
          <w:b w:val="0"/>
          <w:bCs/>
          <w:color w:val="auto"/>
          <w:sz w:val="24"/>
          <w:szCs w:val="24"/>
          <w:u w:val="single"/>
          <w:lang w:val="en-US" w:eastAsia="zh-CN"/>
        </w:rPr>
        <w:t>岳阳县农业农村局出具《关于岳阳湘佳牧业有限公司桃源肉鸡养殖场项目规划选址意见》：……拟用地符合设施用地相关政策规定，按设施农业用地管理，符合岳阳县畜牧养殖产业发展规划……。</w:t>
      </w:r>
    </w:p>
    <w:p>
      <w:pPr>
        <w:pStyle w:val="240"/>
        <w:ind w:firstLine="480" w:firstLineChars="200"/>
        <w:jc w:val="left"/>
        <w:rPr>
          <w:rFonts w:hint="eastAsia" w:ascii="Times New Roman" w:eastAsia="宋体"/>
          <w:b w:val="0"/>
          <w:bCs/>
          <w:color w:val="auto"/>
          <w:sz w:val="24"/>
          <w:szCs w:val="24"/>
          <w:u w:val="single"/>
          <w:lang w:val="en-US" w:eastAsia="zh-CN"/>
        </w:rPr>
      </w:pPr>
      <w:r>
        <w:rPr>
          <w:rFonts w:hint="eastAsia" w:ascii="Times New Roman" w:eastAsia="宋体"/>
          <w:b w:val="0"/>
          <w:bCs/>
          <w:color w:val="auto"/>
          <w:sz w:val="24"/>
          <w:szCs w:val="24"/>
          <w:u w:val="single"/>
          <w:lang w:val="en-US" w:eastAsia="zh-CN"/>
        </w:rPr>
        <w:t>岳阳县畜牧水产发展服务中心出具《关于岳阳湘佳牧业有限公司桃源肉鸡养殖场养殖备案的批复》：……选址符《动物防疫条件审核办法》所列畜禽养殖场要求……。</w:t>
      </w:r>
    </w:p>
    <w:p>
      <w:pPr>
        <w:pStyle w:val="240"/>
        <w:ind w:firstLine="480" w:firstLineChars="200"/>
        <w:jc w:val="left"/>
        <w:rPr>
          <w:rFonts w:hint="default" w:ascii="Times New Roman" w:eastAsia="宋体"/>
          <w:b w:val="0"/>
          <w:bCs/>
          <w:color w:val="auto"/>
          <w:sz w:val="24"/>
          <w:szCs w:val="24"/>
          <w:u w:val="single"/>
          <w:lang w:val="en-US" w:eastAsia="zh-CN"/>
        </w:rPr>
      </w:pPr>
      <w:r>
        <w:rPr>
          <w:rFonts w:hint="eastAsia" w:ascii="Times New Roman" w:eastAsia="宋体"/>
          <w:b w:val="0"/>
          <w:bCs/>
          <w:color w:val="auto"/>
          <w:sz w:val="24"/>
          <w:szCs w:val="24"/>
          <w:u w:val="single"/>
          <w:lang w:val="en-US" w:eastAsia="zh-CN"/>
        </w:rPr>
        <w:t>岳阳县新墙镇人民政府出具《关于岳阳湘佳牧业有限公司“桃源肉鸡养殖场”选址的意见》：……符合产业布局规划，镇人民政府同意选址。</w:t>
      </w:r>
    </w:p>
    <w:p>
      <w:pPr>
        <w:pStyle w:val="240"/>
        <w:ind w:firstLine="480" w:firstLineChars="200"/>
        <w:jc w:val="left"/>
        <w:rPr>
          <w:rFonts w:hint="default" w:ascii="Times New Roman" w:eastAsia="宋体"/>
          <w:b w:val="0"/>
          <w:bCs/>
          <w:color w:val="auto"/>
          <w:sz w:val="24"/>
          <w:szCs w:val="24"/>
          <w:u w:val="single"/>
          <w:lang w:val="en-US" w:eastAsia="zh-CN"/>
        </w:rPr>
      </w:pPr>
      <w:r>
        <w:rPr>
          <w:rFonts w:ascii="Times New Roman" w:eastAsia="宋体"/>
          <w:b w:val="0"/>
          <w:bCs/>
          <w:color w:val="auto"/>
          <w:sz w:val="24"/>
          <w:szCs w:val="24"/>
          <w:u w:val="single"/>
        </w:rPr>
        <w:t>岳阳县</w:t>
      </w:r>
      <w:r>
        <w:rPr>
          <w:rFonts w:hint="eastAsia" w:ascii="Times New Roman" w:eastAsia="宋体"/>
          <w:b w:val="0"/>
          <w:bCs/>
          <w:color w:val="auto"/>
          <w:sz w:val="24"/>
          <w:szCs w:val="24"/>
          <w:u w:val="single"/>
        </w:rPr>
        <w:t>新墙镇</w:t>
      </w:r>
      <w:r>
        <w:rPr>
          <w:rFonts w:ascii="Times New Roman" w:eastAsia="宋体"/>
          <w:b w:val="0"/>
          <w:bCs/>
          <w:color w:val="auto"/>
          <w:sz w:val="24"/>
          <w:szCs w:val="24"/>
          <w:u w:val="single"/>
        </w:rPr>
        <w:t>人民政府、岳阳市生态环境局岳阳县分局、岳阳县自然资源局、岳阳县林业局、岳阳县水利局、岳阳县畜牧水产发展服务中心对养殖场选址联合审批备案申请表的审核意见可知（详见附件5）</w:t>
      </w:r>
      <w:r>
        <w:rPr>
          <w:rFonts w:hint="eastAsia" w:ascii="Times New Roman" w:eastAsia="宋体"/>
          <w:b w:val="0"/>
          <w:bCs/>
          <w:color w:val="auto"/>
          <w:sz w:val="24"/>
          <w:szCs w:val="24"/>
          <w:u w:val="single"/>
          <w:lang w:val="en-US" w:eastAsia="zh-CN"/>
        </w:rPr>
        <w:t>，</w:t>
      </w:r>
      <w:r>
        <w:rPr>
          <w:rFonts w:ascii="Times New Roman" w:eastAsia="宋体"/>
          <w:b w:val="0"/>
          <w:bCs/>
          <w:color w:val="auto"/>
          <w:sz w:val="24"/>
          <w:szCs w:val="24"/>
          <w:u w:val="single"/>
        </w:rPr>
        <w:t>上述单位、部门均同意项目</w:t>
      </w:r>
      <w:r>
        <w:rPr>
          <w:rFonts w:hint="eastAsia" w:ascii="Times New Roman" w:eastAsia="宋体"/>
          <w:b w:val="0"/>
          <w:bCs/>
          <w:color w:val="auto"/>
          <w:sz w:val="24"/>
          <w:szCs w:val="24"/>
          <w:u w:val="single"/>
          <w:lang w:val="en-US" w:eastAsia="zh-CN"/>
        </w:rPr>
        <w:t>选址</w:t>
      </w:r>
      <w:r>
        <w:rPr>
          <w:rFonts w:ascii="Times New Roman" w:eastAsia="宋体"/>
          <w:b w:val="0"/>
          <w:bCs/>
          <w:color w:val="auto"/>
          <w:sz w:val="24"/>
          <w:szCs w:val="24"/>
          <w:u w:val="single"/>
        </w:rPr>
        <w:t>，因此项目建设符合当地规划。</w:t>
      </w:r>
    </w:p>
    <w:p>
      <w:pPr>
        <w:pStyle w:val="173"/>
        <w:ind w:firstLine="480"/>
        <w:rPr>
          <w:rFonts w:ascii="Times New Roman" w:eastAsia="宋体"/>
          <w:color w:val="auto"/>
        </w:rPr>
      </w:pPr>
      <w:r>
        <w:rPr>
          <w:rFonts w:ascii="Times New Roman" w:eastAsia="宋体"/>
          <w:color w:val="auto"/>
        </w:rPr>
        <w:t>（</w:t>
      </w:r>
      <w:r>
        <w:rPr>
          <w:rFonts w:hint="eastAsia" w:ascii="Times New Roman" w:eastAsia="宋体"/>
          <w:color w:val="auto"/>
          <w:lang w:val="en-US" w:eastAsia="zh-CN"/>
        </w:rPr>
        <w:t>2</w:t>
      </w:r>
      <w:r>
        <w:rPr>
          <w:rFonts w:ascii="Times New Roman" w:eastAsia="宋体"/>
          <w:color w:val="auto"/>
        </w:rPr>
        <w:t>）区域环境质量现状及影响分析</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①项目所在区域环境空气为《环境空气质量标准》（GB3095-2012）中二类区，依据202</w:t>
      </w:r>
      <w:r>
        <w:rPr>
          <w:rFonts w:hint="eastAsia" w:ascii="Times New Roman" w:eastAsia="宋体"/>
          <w:b w:val="0"/>
          <w:bCs/>
          <w:color w:val="auto"/>
          <w:sz w:val="24"/>
          <w:szCs w:val="24"/>
          <w:lang w:val="en-US" w:eastAsia="zh-CN"/>
        </w:rPr>
        <w:t>2</w:t>
      </w:r>
      <w:r>
        <w:rPr>
          <w:rFonts w:ascii="Times New Roman" w:eastAsia="宋体"/>
          <w:b w:val="0"/>
          <w:bCs/>
          <w:color w:val="auto"/>
          <w:sz w:val="24"/>
          <w:szCs w:val="24"/>
        </w:rPr>
        <w:t>年岳阳县环境质量状况公报，项目所处区域为环境空气达标区域，项目营运期不涉及粉尘污染物的排放，拟建地特征因子能满足相关质量标准要求，不会降低区域环境空气质量；</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根据现状监测结果可知</w:t>
      </w:r>
      <w:r>
        <w:rPr>
          <w:rFonts w:hint="eastAsia" w:ascii="Times New Roman" w:eastAsia="宋体"/>
          <w:b w:val="0"/>
          <w:bCs/>
          <w:color w:val="auto"/>
          <w:sz w:val="24"/>
          <w:szCs w:val="24"/>
          <w:lang w:eastAsia="zh-CN"/>
        </w:rPr>
        <w:t>：</w:t>
      </w:r>
      <w:r>
        <w:rPr>
          <w:rFonts w:ascii="Times New Roman" w:eastAsia="宋体"/>
          <w:b w:val="0"/>
          <w:bCs/>
          <w:color w:val="auto"/>
          <w:sz w:val="24"/>
          <w:szCs w:val="24"/>
        </w:rPr>
        <w:t>项目所在区域地表水体水质能满足《地表水环境质量标准》（GB3838-2002）III类标准；地下水环境质量</w:t>
      </w:r>
      <w:r>
        <w:rPr>
          <w:rFonts w:hint="eastAsia" w:ascii="Times New Roman" w:eastAsia="宋体"/>
          <w:b w:val="0"/>
          <w:bCs/>
          <w:color w:val="auto"/>
          <w:sz w:val="24"/>
          <w:szCs w:val="24"/>
          <w:lang w:val="en-US" w:eastAsia="zh-CN"/>
        </w:rPr>
        <w:t>除硝酸盐、总大肠菌群外，其他参数</w:t>
      </w:r>
      <w:r>
        <w:rPr>
          <w:rFonts w:ascii="Times New Roman" w:eastAsia="宋体"/>
          <w:b w:val="0"/>
          <w:bCs/>
          <w:color w:val="auto"/>
          <w:sz w:val="24"/>
          <w:szCs w:val="24"/>
        </w:rPr>
        <w:t>满足《地下水环境质量标准》（GB/T14848-2017）中的Ⅲ类水质标准；声环境能满足《声环境质量标准》（GB3096-2008）2类区标准</w:t>
      </w:r>
      <w:r>
        <w:rPr>
          <w:rFonts w:hint="eastAsia" w:ascii="Times New Roman" w:eastAsia="宋体"/>
          <w:b w:val="0"/>
          <w:bCs/>
          <w:color w:val="auto"/>
          <w:sz w:val="24"/>
          <w:szCs w:val="24"/>
        </w:rPr>
        <w:t>，</w:t>
      </w:r>
      <w:r>
        <w:rPr>
          <w:rFonts w:ascii="Times New Roman" w:eastAsia="宋体"/>
          <w:b w:val="0"/>
          <w:bCs/>
          <w:color w:val="auto"/>
          <w:sz w:val="24"/>
          <w:szCs w:val="24"/>
        </w:rPr>
        <w:t>土壤能满足</w:t>
      </w:r>
      <w:r>
        <w:rPr>
          <w:rFonts w:hint="eastAsia" w:ascii="Times New Roman" w:eastAsia="宋体"/>
          <w:b w:val="0"/>
          <w:bCs/>
          <w:color w:val="auto"/>
          <w:sz w:val="24"/>
          <w:szCs w:val="24"/>
        </w:rPr>
        <w:t>《农用地土壤污染风险管控标准（试行）》（GB15618-2018）表1农用地土壤污染风险筛选值</w:t>
      </w:r>
      <w:r>
        <w:rPr>
          <w:rFonts w:ascii="Times New Roman" w:eastAsia="宋体"/>
          <w:b w:val="0"/>
          <w:bCs/>
          <w:color w:val="auto"/>
          <w:sz w:val="24"/>
          <w:szCs w:val="24"/>
        </w:rPr>
        <w:t>标准，选址符合环境功能区划要求。</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②环境影响分析</w:t>
      </w:r>
      <w:r>
        <w:rPr>
          <w:rFonts w:hint="eastAsia" w:ascii="Times New Roman" w:eastAsia="宋体"/>
          <w:b w:val="0"/>
          <w:bCs/>
          <w:color w:val="auto"/>
          <w:sz w:val="24"/>
          <w:szCs w:val="24"/>
        </w:rPr>
        <w:t>：</w:t>
      </w:r>
      <w:r>
        <w:rPr>
          <w:rFonts w:ascii="Times New Roman" w:eastAsia="宋体"/>
          <w:b w:val="0"/>
          <w:bCs/>
          <w:color w:val="auto"/>
          <w:sz w:val="24"/>
          <w:szCs w:val="24"/>
        </w:rPr>
        <w:t>项目产生的恶臭气体通过日常管理、喷洒除臭剂、周边绿化等措施，</w:t>
      </w:r>
      <w:r>
        <w:rPr>
          <w:rFonts w:hint="eastAsia" w:ascii="Times New Roman" w:eastAsia="宋体"/>
          <w:b w:val="0"/>
          <w:bCs/>
          <w:color w:val="auto"/>
          <w:sz w:val="24"/>
          <w:szCs w:val="24"/>
          <w:lang w:val="en-US" w:eastAsia="zh-CN"/>
        </w:rPr>
        <w:t>锅炉废气通过布袋除尘处理，均可实现达标排放，</w:t>
      </w:r>
      <w:r>
        <w:rPr>
          <w:rFonts w:ascii="Times New Roman" w:eastAsia="宋体"/>
          <w:b w:val="0"/>
          <w:bCs/>
          <w:color w:val="auto"/>
          <w:sz w:val="24"/>
          <w:szCs w:val="24"/>
        </w:rPr>
        <w:t>不会对大气环境产生明显不利影响；</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鸡舍冲洗废水通过地下收集管道收集后排入</w:t>
      </w:r>
      <w:r>
        <w:rPr>
          <w:rFonts w:hint="eastAsia" w:ascii="Times New Roman" w:eastAsia="宋体"/>
          <w:b w:val="0"/>
          <w:bCs/>
          <w:color w:val="auto"/>
          <w:sz w:val="24"/>
          <w:szCs w:val="24"/>
        </w:rPr>
        <w:t>场区污水沉淀池</w:t>
      </w:r>
      <w:r>
        <w:rPr>
          <w:rFonts w:ascii="Times New Roman" w:eastAsia="宋体"/>
          <w:b w:val="0"/>
          <w:bCs/>
          <w:color w:val="auto"/>
          <w:sz w:val="24"/>
          <w:szCs w:val="24"/>
        </w:rPr>
        <w:t>（</w:t>
      </w:r>
      <w:r>
        <w:rPr>
          <w:rFonts w:hint="eastAsia" w:ascii="Times New Roman" w:eastAsia="宋体"/>
          <w:b w:val="0"/>
          <w:bCs/>
          <w:color w:val="auto"/>
          <w:sz w:val="24"/>
          <w:szCs w:val="24"/>
        </w:rPr>
        <w:t>400m</w:t>
      </w:r>
      <w:r>
        <w:rPr>
          <w:rFonts w:ascii="Times New Roman" w:hAnsi="Times New Roman" w:eastAsia="宋体"/>
          <w:b w:val="0"/>
          <w:bCs/>
          <w:color w:val="auto"/>
          <w:sz w:val="24"/>
          <w:szCs w:val="24"/>
          <w:vertAlign w:val="superscript"/>
        </w:rPr>
        <w:t>3</w:t>
      </w:r>
      <w:r>
        <w:rPr>
          <w:rFonts w:ascii="Times New Roman" w:eastAsia="宋体"/>
          <w:b w:val="0"/>
          <w:bCs/>
          <w:color w:val="auto"/>
          <w:sz w:val="24"/>
          <w:szCs w:val="24"/>
        </w:rPr>
        <w:t>），</w:t>
      </w:r>
      <w:r>
        <w:rPr>
          <w:rFonts w:hint="eastAsia" w:ascii="Times New Roman" w:eastAsia="宋体"/>
          <w:b w:val="0"/>
          <w:bCs/>
          <w:color w:val="auto"/>
          <w:sz w:val="24"/>
          <w:szCs w:val="24"/>
        </w:rPr>
        <w:t>后经槽车运送至公司新华养殖场的污水处理厂处理达标后浇灌农林地，不外排</w:t>
      </w:r>
      <w:r>
        <w:rPr>
          <w:rFonts w:ascii="Times New Roman" w:eastAsia="宋体"/>
          <w:b w:val="0"/>
          <w:bCs/>
          <w:color w:val="auto"/>
          <w:sz w:val="24"/>
          <w:szCs w:val="24"/>
        </w:rPr>
        <w:t>，</w:t>
      </w:r>
      <w:r>
        <w:rPr>
          <w:rFonts w:hint="eastAsia" w:ascii="Times New Roman" w:eastAsia="宋体"/>
          <w:b w:val="0"/>
          <w:bCs/>
          <w:color w:val="auto"/>
          <w:sz w:val="24"/>
          <w:szCs w:val="24"/>
        </w:rPr>
        <w:t>污水沉淀池</w:t>
      </w:r>
      <w:r>
        <w:rPr>
          <w:rFonts w:ascii="Times New Roman" w:eastAsia="宋体"/>
          <w:b w:val="0"/>
          <w:bCs/>
          <w:color w:val="auto"/>
          <w:sz w:val="24"/>
          <w:szCs w:val="24"/>
        </w:rPr>
        <w:t>容积能够满足本项目</w:t>
      </w:r>
      <w:r>
        <w:rPr>
          <w:rFonts w:hint="eastAsia" w:ascii="Times New Roman" w:eastAsia="宋体"/>
          <w:b w:val="0"/>
          <w:bCs/>
          <w:color w:val="auto"/>
          <w:sz w:val="24"/>
          <w:szCs w:val="24"/>
        </w:rPr>
        <w:t>每栏次</w:t>
      </w:r>
      <w:r>
        <w:rPr>
          <w:rFonts w:ascii="Times New Roman" w:eastAsia="宋体"/>
          <w:b w:val="0"/>
          <w:bCs/>
          <w:color w:val="auto"/>
          <w:sz w:val="24"/>
          <w:szCs w:val="24"/>
        </w:rPr>
        <w:t>的污水储存量</w:t>
      </w:r>
      <w:r>
        <w:rPr>
          <w:rFonts w:hint="eastAsia" w:ascii="Times New Roman" w:eastAsia="宋体"/>
          <w:b w:val="0"/>
          <w:bCs/>
          <w:color w:val="auto"/>
          <w:sz w:val="24"/>
          <w:szCs w:val="24"/>
        </w:rPr>
        <w:t>需求</w:t>
      </w:r>
      <w:r>
        <w:rPr>
          <w:rFonts w:ascii="Times New Roman" w:eastAsia="宋体"/>
          <w:b w:val="0"/>
          <w:bCs/>
          <w:color w:val="auto"/>
          <w:sz w:val="24"/>
          <w:szCs w:val="24"/>
        </w:rPr>
        <w:t>。</w:t>
      </w:r>
    </w:p>
    <w:p>
      <w:pPr>
        <w:pStyle w:val="240"/>
        <w:ind w:firstLine="480" w:firstLineChars="200"/>
        <w:jc w:val="left"/>
        <w:rPr>
          <w:rFonts w:ascii="Times New Roman" w:eastAsia="宋体"/>
          <w:b w:val="0"/>
          <w:bCs/>
          <w:color w:val="auto"/>
          <w:sz w:val="24"/>
          <w:szCs w:val="24"/>
        </w:rPr>
      </w:pPr>
      <w:r>
        <w:rPr>
          <w:rFonts w:hint="eastAsia" w:ascii="Times New Roman" w:eastAsia="宋体"/>
          <w:b w:val="0"/>
          <w:bCs/>
          <w:color w:val="auto"/>
          <w:sz w:val="24"/>
          <w:szCs w:val="24"/>
        </w:rPr>
        <w:t>清粪</w:t>
      </w:r>
      <w:r>
        <w:rPr>
          <w:rFonts w:ascii="Times New Roman" w:eastAsia="宋体"/>
          <w:b w:val="0"/>
          <w:bCs/>
          <w:color w:val="auto"/>
          <w:sz w:val="24"/>
          <w:szCs w:val="24"/>
        </w:rPr>
        <w:t>采用干清粪工艺，粪便日产日清，鸡粪经自动清粪机清出后，</w:t>
      </w:r>
      <w:r>
        <w:rPr>
          <w:rFonts w:hint="eastAsia" w:ascii="Times New Roman" w:eastAsia="宋体"/>
          <w:b w:val="0"/>
          <w:bCs/>
          <w:color w:val="auto"/>
          <w:sz w:val="24"/>
          <w:szCs w:val="24"/>
        </w:rPr>
        <w:t>每日由湖南春雨生物科技有限公司收走</w:t>
      </w:r>
      <w:r>
        <w:rPr>
          <w:rFonts w:ascii="Times New Roman" w:eastAsia="宋体"/>
          <w:b w:val="0"/>
          <w:bCs/>
          <w:color w:val="auto"/>
          <w:sz w:val="24"/>
          <w:szCs w:val="24"/>
        </w:rPr>
        <w:t>。本项目病死鸡</w:t>
      </w:r>
      <w:r>
        <w:rPr>
          <w:rFonts w:hint="eastAsia" w:ascii="Times New Roman" w:eastAsia="宋体"/>
          <w:b w:val="0"/>
          <w:bCs/>
          <w:color w:val="auto"/>
          <w:sz w:val="24"/>
          <w:szCs w:val="24"/>
        </w:rPr>
        <w:t>交由岳阳县病死禽无害化处理厂</w:t>
      </w:r>
      <w:r>
        <w:rPr>
          <w:rFonts w:ascii="Times New Roman" w:eastAsia="宋体"/>
          <w:b w:val="0"/>
          <w:bCs/>
          <w:color w:val="auto"/>
          <w:sz w:val="24"/>
          <w:szCs w:val="24"/>
        </w:rPr>
        <w:t>进行无害化处理。</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本项目鸡舍自动清粪机、风机设备以及各种泵类均设置在厂房内，选用低噪声型设备，经隔声、消声、减振等降噪措施后，厂界噪声均满足《工业企业厂界环境噪声排放标准》（GB12348-2008）的</w:t>
      </w:r>
      <w:r>
        <w:rPr>
          <w:rFonts w:hint="eastAsia" w:ascii="Times New Roman" w:eastAsia="宋体"/>
          <w:b w:val="0"/>
          <w:bCs/>
          <w:color w:val="auto"/>
          <w:sz w:val="24"/>
          <w:szCs w:val="24"/>
        </w:rPr>
        <w:t>2</w:t>
      </w:r>
      <w:r>
        <w:rPr>
          <w:rFonts w:ascii="Times New Roman" w:eastAsia="宋体"/>
          <w:b w:val="0"/>
          <w:bCs/>
          <w:color w:val="auto"/>
          <w:sz w:val="24"/>
          <w:szCs w:val="24"/>
        </w:rPr>
        <w:t>类标准。</w:t>
      </w:r>
    </w:p>
    <w:p>
      <w:pPr>
        <w:pStyle w:val="173"/>
        <w:ind w:firstLine="480"/>
        <w:rPr>
          <w:rFonts w:ascii="Times New Roman" w:eastAsia="宋体"/>
          <w:color w:val="auto"/>
        </w:rPr>
      </w:pPr>
      <w:r>
        <w:rPr>
          <w:rFonts w:ascii="Times New Roman" w:eastAsia="宋体"/>
          <w:color w:val="auto"/>
        </w:rPr>
        <w:t>（4）建设条件可行性</w:t>
      </w:r>
      <w:r>
        <w:rPr>
          <w:rFonts w:hint="eastAsia" w:ascii="Times New Roman" w:eastAsia="宋体"/>
          <w:color w:val="auto"/>
        </w:rPr>
        <w:t>分析</w:t>
      </w:r>
    </w:p>
    <w:p>
      <w:pPr>
        <w:pStyle w:val="240"/>
        <w:ind w:firstLine="480" w:firstLineChars="200"/>
        <w:jc w:val="left"/>
        <w:rPr>
          <w:rFonts w:ascii="Times New Roman" w:eastAsia="宋体"/>
          <w:b w:val="0"/>
          <w:bCs/>
          <w:color w:val="auto"/>
          <w:sz w:val="24"/>
          <w:szCs w:val="24"/>
        </w:rPr>
      </w:pPr>
      <w:r>
        <w:rPr>
          <w:rFonts w:ascii="Times New Roman" w:eastAsia="宋体"/>
          <w:b w:val="0"/>
          <w:bCs/>
          <w:color w:val="auto"/>
          <w:sz w:val="24"/>
          <w:szCs w:val="24"/>
        </w:rPr>
        <w:t>项目选址位于</w:t>
      </w:r>
      <w:r>
        <w:rPr>
          <w:rFonts w:hint="eastAsia" w:ascii="Times New Roman" w:eastAsia="宋体"/>
          <w:b w:val="0"/>
          <w:bCs/>
          <w:color w:val="auto"/>
          <w:sz w:val="24"/>
          <w:szCs w:val="24"/>
        </w:rPr>
        <w:t>新墙镇新华村桃源片</w:t>
      </w:r>
      <w:r>
        <w:rPr>
          <w:rFonts w:ascii="Times New Roman" w:eastAsia="宋体"/>
          <w:b w:val="0"/>
          <w:bCs/>
          <w:color w:val="auto"/>
          <w:sz w:val="24"/>
          <w:szCs w:val="24"/>
        </w:rPr>
        <w:t>，所在位置邻近乡道，物料输送方便。项目所在区域水资源丰富，可满足场区用水需求。场区供电引自区域乡镇公共电网，可满足项目用电需求。根据现场勘查，项目周边区域无工业企业进驻。综合上述，项目建设区域不存在工业污染源分布，无明显限制因素，建设条件可行。</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 xml:space="preserve">1.3.4 </w:t>
      </w:r>
      <w:r>
        <w:rPr>
          <w:rFonts w:ascii="Times New Roman" w:eastAsia="宋体"/>
          <w:b/>
          <w:bCs/>
          <w:color w:val="auto"/>
          <w:kern w:val="2"/>
          <w:sz w:val="24"/>
        </w:rPr>
        <w:t>其他符合性分析</w:t>
      </w:r>
    </w:p>
    <w:p>
      <w:pPr>
        <w:spacing w:line="360" w:lineRule="auto"/>
        <w:jc w:val="left"/>
        <w:outlineLvl w:val="3"/>
        <w:rPr>
          <w:rFonts w:ascii="Times New Roman" w:eastAsia="宋体" w:cs="宋体"/>
          <w:color w:val="auto"/>
          <w:kern w:val="2"/>
          <w:szCs w:val="24"/>
        </w:rPr>
      </w:pPr>
      <w:r>
        <w:rPr>
          <w:rFonts w:hint="eastAsia" w:ascii="Times New Roman" w:eastAsia="宋体" w:cs="宋体"/>
          <w:color w:val="auto"/>
          <w:kern w:val="2"/>
          <w:szCs w:val="24"/>
        </w:rPr>
        <w:t xml:space="preserve">1.3.4.1 </w:t>
      </w:r>
      <w:r>
        <w:rPr>
          <w:rFonts w:ascii="Times New Roman" w:eastAsia="宋体" w:cs="宋体"/>
          <w:color w:val="auto"/>
          <w:kern w:val="2"/>
          <w:szCs w:val="24"/>
        </w:rPr>
        <w:t>与岳阳市人民政府《关于实施岳阳市“三线一单”生态环境分区管控的意见》（岳政发〔2020〕2号）符合性分析</w:t>
      </w:r>
    </w:p>
    <w:p>
      <w:pPr>
        <w:pStyle w:val="429"/>
        <w:spacing w:line="360" w:lineRule="auto"/>
        <w:rPr>
          <w:rFonts w:ascii="Times New Roman" w:hAnsi="Times New Roman" w:cs="Times New Roman"/>
          <w:color w:val="auto"/>
          <w:kern w:val="0"/>
        </w:rPr>
      </w:pPr>
      <w:r>
        <w:rPr>
          <w:rFonts w:ascii="Times New Roman" w:hAnsi="Times New Roman" w:cs="Times New Roman"/>
          <w:color w:val="auto"/>
          <w:kern w:val="0"/>
        </w:rPr>
        <w:t>环境保护部《关于以改善环境质量为核心加强环境影响评价管理的通知》（环环评[2016]150号）要求：强化“生态保护红线、环境质量底线、资源利用上线和环境准入负面清单”（简称“三线一单”）的约束作用。现将项目与“三线一单”相符性分析如下：</w:t>
      </w:r>
    </w:p>
    <w:p>
      <w:pPr>
        <w:pStyle w:val="173"/>
        <w:ind w:firstLine="480"/>
        <w:rPr>
          <w:rFonts w:ascii="Times New Roman" w:eastAsia="宋体"/>
          <w:color w:val="auto"/>
        </w:rPr>
      </w:pPr>
      <w:r>
        <w:rPr>
          <w:rFonts w:ascii="Times New Roman" w:eastAsia="宋体"/>
          <w:color w:val="auto"/>
        </w:rPr>
        <w:t>（1）生态保护红线</w:t>
      </w:r>
    </w:p>
    <w:p>
      <w:pPr>
        <w:pStyle w:val="429"/>
        <w:spacing w:line="360" w:lineRule="auto"/>
        <w:rPr>
          <w:rFonts w:ascii="Times New Roman" w:hAnsi="Times New Roman" w:cs="Times New Roman"/>
          <w:color w:val="auto"/>
          <w:kern w:val="0"/>
        </w:rPr>
      </w:pPr>
      <w:r>
        <w:rPr>
          <w:rFonts w:ascii="Times New Roman" w:hAnsi="Times New Roman" w:cs="Times New Roman"/>
          <w:color w:val="auto"/>
          <w:szCs w:val="21"/>
        </w:rPr>
        <w:t>项目拟建于位于岳阳县</w:t>
      </w:r>
      <w:r>
        <w:rPr>
          <w:rFonts w:hint="eastAsia" w:ascii="Times New Roman" w:hAnsi="Times New Roman" w:cs="Times New Roman"/>
          <w:color w:val="auto"/>
          <w:szCs w:val="21"/>
        </w:rPr>
        <w:t>新墙镇新华村桃园片</w:t>
      </w:r>
      <w:r>
        <w:rPr>
          <w:rFonts w:ascii="Times New Roman" w:hAnsi="Times New Roman" w:cs="Times New Roman"/>
          <w:color w:val="auto"/>
          <w:szCs w:val="21"/>
        </w:rPr>
        <w:t>，属于农村环境，</w:t>
      </w:r>
      <w:r>
        <w:rPr>
          <w:rFonts w:ascii="Times New Roman" w:hAnsi="Times New Roman" w:cs="Times New Roman"/>
          <w:color w:val="auto"/>
          <w:kern w:val="0"/>
        </w:rPr>
        <w:t>周边不涉及</w:t>
      </w:r>
      <w:r>
        <w:rPr>
          <w:rFonts w:ascii="Times New Roman" w:hAnsi="Times New Roman" w:cs="Times New Roman"/>
          <w:color w:val="auto"/>
        </w:rPr>
        <w:t>风景名胜区、饮用水源保护区、自然保护区等</w:t>
      </w:r>
      <w:r>
        <w:rPr>
          <w:rFonts w:ascii="Times New Roman" w:hAnsi="Times New Roman" w:cs="Times New Roman"/>
          <w:color w:val="auto"/>
          <w:kern w:val="0"/>
        </w:rPr>
        <w:t>生态环境敏感点，</w:t>
      </w:r>
      <w:r>
        <w:rPr>
          <w:rFonts w:ascii="Times New Roman" w:hAnsi="Times New Roman" w:cs="Times New Roman"/>
          <w:color w:val="auto"/>
        </w:rPr>
        <w:t>根据《湖南省人民政府关于印发&lt;湖南省生态保护红线&gt;的通知》（湘政发〔2018〕20号）</w:t>
      </w:r>
      <w:r>
        <w:rPr>
          <w:rFonts w:hint="eastAsia" w:ascii="Times New Roman" w:hAnsi="Times New Roman" w:cs="Times New Roman"/>
          <w:color w:val="auto"/>
          <w:lang w:val="en-US" w:eastAsia="zh-CN"/>
        </w:rPr>
        <w:t>和岳阳县</w:t>
      </w:r>
      <w:r>
        <w:rPr>
          <w:rFonts w:hint="eastAsia" w:ascii="Times New Roman" w:hAnsi="Times New Roman" w:cs="Times New Roman"/>
          <w:color w:val="auto"/>
        </w:rPr>
        <w:t>自然资源局选址意见</w:t>
      </w:r>
      <w:r>
        <w:rPr>
          <w:rFonts w:hint="eastAsia" w:ascii="Times New Roman" w:hAnsi="Times New Roman" w:cs="Times New Roman"/>
          <w:color w:val="auto"/>
          <w:lang w:eastAsia="zh-CN"/>
        </w:rPr>
        <w:t>，</w:t>
      </w:r>
      <w:r>
        <w:rPr>
          <w:rFonts w:ascii="Times New Roman" w:hAnsi="Times New Roman" w:cs="Times New Roman"/>
          <w:color w:val="auto"/>
        </w:rPr>
        <w:t>项目所在地</w:t>
      </w:r>
      <w:r>
        <w:rPr>
          <w:rFonts w:hint="eastAsia" w:ascii="Times New Roman" w:hAnsi="Times New Roman" w:cs="Times New Roman"/>
          <w:color w:val="auto"/>
        </w:rPr>
        <w:t>“未占用永久基本农田，未压覆生态保护红线和九大类保护区范围”</w:t>
      </w:r>
      <w:r>
        <w:rPr>
          <w:rFonts w:hint="eastAsia" w:ascii="Times New Roman" w:hAnsi="Times New Roman" w:cs="Times New Roman"/>
          <w:color w:val="auto"/>
          <w:lang w:eastAsia="zh-CN"/>
        </w:rPr>
        <w:t>，</w:t>
      </w:r>
      <w:r>
        <w:rPr>
          <w:rFonts w:ascii="Times New Roman" w:hAnsi="Times New Roman" w:cs="Times New Roman"/>
          <w:color w:val="auto"/>
        </w:rPr>
        <w:t>不在生态保护红线范围内</w:t>
      </w:r>
      <w:r>
        <w:rPr>
          <w:rFonts w:ascii="Times New Roman" w:hAnsi="Times New Roman" w:cs="Times New Roman"/>
          <w:color w:val="auto"/>
          <w:kern w:val="0"/>
        </w:rPr>
        <w:t>，符合生态保护红线要求</w:t>
      </w:r>
      <w:r>
        <w:rPr>
          <w:rFonts w:ascii="Times New Roman" w:hAnsi="Times New Roman" w:cs="Times New Roman"/>
          <w:color w:val="auto"/>
          <w:szCs w:val="21"/>
        </w:rPr>
        <w:t>。</w:t>
      </w:r>
    </w:p>
    <w:p>
      <w:pPr>
        <w:pStyle w:val="173"/>
        <w:ind w:firstLine="480"/>
        <w:rPr>
          <w:rFonts w:ascii="Times New Roman" w:eastAsia="宋体"/>
          <w:color w:val="auto"/>
        </w:rPr>
      </w:pPr>
      <w:r>
        <w:rPr>
          <w:rFonts w:ascii="Times New Roman" w:eastAsia="宋体"/>
          <w:color w:val="auto"/>
        </w:rPr>
        <w:t>（2）环境质量底线</w:t>
      </w:r>
    </w:p>
    <w:p>
      <w:pPr>
        <w:pStyle w:val="429"/>
        <w:spacing w:line="360" w:lineRule="auto"/>
        <w:rPr>
          <w:rFonts w:ascii="Times New Roman" w:hAnsi="Times New Roman" w:cs="Times New Roman"/>
          <w:color w:val="auto"/>
          <w:kern w:val="0"/>
        </w:rPr>
      </w:pPr>
      <w:r>
        <w:rPr>
          <w:rFonts w:ascii="Times New Roman" w:hAnsi="Times New Roman" w:cs="Times New Roman"/>
          <w:color w:val="auto"/>
          <w:kern w:val="0"/>
        </w:rPr>
        <w:t>依据202</w:t>
      </w:r>
      <w:r>
        <w:rPr>
          <w:rFonts w:hint="eastAsia" w:ascii="Times New Roman" w:hAnsi="Times New Roman" w:cs="Times New Roman"/>
          <w:color w:val="auto"/>
          <w:kern w:val="0"/>
          <w:lang w:val="en-US" w:eastAsia="zh-CN"/>
        </w:rPr>
        <w:t>2</w:t>
      </w:r>
      <w:r>
        <w:rPr>
          <w:rFonts w:ascii="Times New Roman" w:hAnsi="Times New Roman" w:cs="Times New Roman"/>
          <w:color w:val="auto"/>
          <w:kern w:val="0"/>
        </w:rPr>
        <w:t>年岳阳县环境质量状况公报，项目所处区域为环境空气达标区域</w:t>
      </w:r>
      <w:r>
        <w:rPr>
          <w:rFonts w:ascii="Times New Roman" w:hAnsi="Times New Roman" w:cs="Times New Roman"/>
          <w:color w:val="auto"/>
          <w:szCs w:val="21"/>
          <w:shd w:val="clear" w:color="auto" w:fill="FFFFFF"/>
        </w:rPr>
        <w:t>。</w:t>
      </w:r>
      <w:r>
        <w:rPr>
          <w:rFonts w:ascii="Times New Roman" w:hAnsi="Times New Roman" w:cs="Times New Roman"/>
          <w:color w:val="auto"/>
        </w:rPr>
        <w:t>根据调查以及环境质量现状监测可知，项目所在区域硫化氢和氨均符合《环境影响评价技术导则大气环境》（HJ2.2-2018）附录D中的浓度限值。</w:t>
      </w:r>
      <w:r>
        <w:rPr>
          <w:rFonts w:hint="eastAsia" w:ascii="Times New Roman" w:hAnsi="Times New Roman" w:cs="Times New Roman"/>
          <w:color w:val="auto"/>
          <w:szCs w:val="21"/>
          <w:shd w:val="clear" w:color="auto" w:fill="FFFFFF"/>
          <w:lang w:val="en-US" w:eastAsia="zh-CN"/>
        </w:rPr>
        <w:t>根据现状监测结果表明</w:t>
      </w:r>
      <w:r>
        <w:rPr>
          <w:rFonts w:ascii="Times New Roman" w:hAnsi="Times New Roman" w:cs="Times New Roman"/>
          <w:color w:val="auto"/>
          <w:szCs w:val="21"/>
        </w:rPr>
        <w:t>地表水环境、地下水环境、声环境质量和土壤均能满足相应</w:t>
      </w:r>
      <w:r>
        <w:rPr>
          <w:rFonts w:hint="eastAsia" w:ascii="Times New Roman" w:hAnsi="Times New Roman" w:cs="Times New Roman"/>
          <w:color w:val="auto"/>
          <w:szCs w:val="21"/>
        </w:rPr>
        <w:t>环境功能标准</w:t>
      </w:r>
      <w:r>
        <w:rPr>
          <w:rFonts w:ascii="Times New Roman" w:hAnsi="Times New Roman" w:cs="Times New Roman"/>
          <w:color w:val="auto"/>
          <w:szCs w:val="21"/>
        </w:rPr>
        <w:t>要求。项目废气、废水、噪声及固体废物等经相应处理措施处理后对周围环境很小，预测结果表明不会改变环境质量现状，符合环境质量底线要求。</w:t>
      </w:r>
    </w:p>
    <w:p>
      <w:pPr>
        <w:pStyle w:val="173"/>
        <w:ind w:firstLine="480"/>
        <w:rPr>
          <w:rFonts w:ascii="Times New Roman" w:eastAsia="宋体"/>
          <w:color w:val="auto"/>
        </w:rPr>
      </w:pPr>
      <w:r>
        <w:rPr>
          <w:rFonts w:ascii="Times New Roman" w:eastAsia="宋体"/>
          <w:color w:val="auto"/>
        </w:rPr>
        <w:t>（3）资源利用上线</w:t>
      </w:r>
    </w:p>
    <w:p>
      <w:pPr>
        <w:pStyle w:val="429"/>
        <w:spacing w:line="360" w:lineRule="auto"/>
        <w:rPr>
          <w:rFonts w:ascii="Times New Roman" w:hAnsi="Times New Roman" w:cs="Times New Roman"/>
          <w:color w:val="auto"/>
          <w:kern w:val="0"/>
        </w:rPr>
      </w:pPr>
      <w:r>
        <w:rPr>
          <w:rFonts w:ascii="Times New Roman" w:hAnsi="Times New Roman" w:cs="Times New Roman"/>
          <w:color w:val="auto"/>
        </w:rPr>
        <w:t>项目营运过程中消耗一定量的电源、水和原辅材</w:t>
      </w:r>
      <w:r>
        <w:rPr>
          <w:rFonts w:hint="eastAsia" w:ascii="Times New Roman" w:hAnsi="Times New Roman" w:cs="Times New Roman"/>
          <w:color w:val="auto"/>
        </w:rPr>
        <w:t>料</w:t>
      </w:r>
      <w:r>
        <w:rPr>
          <w:rFonts w:ascii="Times New Roman" w:hAnsi="Times New Roman" w:cs="Times New Roman"/>
          <w:color w:val="auto"/>
        </w:rPr>
        <w:t>等，其资源消耗量相对区域资源利用总量较少，符合资源利用上限要求。</w:t>
      </w:r>
      <w:r>
        <w:rPr>
          <w:rFonts w:ascii="Times New Roman" w:hAnsi="Times New Roman" w:cs="Times New Roman"/>
          <w:color w:val="auto"/>
          <w:kern w:val="0"/>
        </w:rPr>
        <w:t>项目建设土地不</w:t>
      </w:r>
      <w:r>
        <w:rPr>
          <w:rFonts w:hint="eastAsia" w:ascii="Times New Roman" w:hAnsi="Times New Roman" w:cs="Times New Roman"/>
          <w:color w:val="auto"/>
          <w:kern w:val="0"/>
          <w:lang w:val="en-US" w:eastAsia="zh-CN"/>
        </w:rPr>
        <w:t>占用</w:t>
      </w:r>
      <w:r>
        <w:rPr>
          <w:rFonts w:ascii="Times New Roman" w:hAnsi="Times New Roman" w:cs="Times New Roman"/>
          <w:color w:val="auto"/>
          <w:kern w:val="0"/>
        </w:rPr>
        <w:t>基本农田，土地资源消耗符合要求。</w:t>
      </w:r>
    </w:p>
    <w:p>
      <w:pPr>
        <w:pStyle w:val="173"/>
        <w:ind w:firstLine="480"/>
        <w:rPr>
          <w:rFonts w:ascii="Times New Roman" w:eastAsia="宋体"/>
          <w:color w:val="auto"/>
        </w:rPr>
      </w:pPr>
      <w:r>
        <w:rPr>
          <w:rFonts w:ascii="Times New Roman" w:eastAsia="宋体"/>
          <w:color w:val="auto"/>
        </w:rPr>
        <w:t>（4）生态环境准入清单</w:t>
      </w:r>
    </w:p>
    <w:p>
      <w:pPr>
        <w:pStyle w:val="429"/>
        <w:spacing w:line="360" w:lineRule="auto"/>
        <w:rPr>
          <w:rFonts w:ascii="Times New Roman" w:hAnsi="Times New Roman" w:cs="Times New Roman"/>
          <w:color w:val="auto"/>
          <w:kern w:val="0"/>
        </w:rPr>
      </w:pPr>
      <w:r>
        <w:rPr>
          <w:rFonts w:ascii="Times New Roman" w:hAnsi="Times New Roman" w:cs="Times New Roman"/>
          <w:color w:val="auto"/>
          <w:kern w:val="0"/>
        </w:rPr>
        <w:t>本项目位于岳阳县</w:t>
      </w:r>
      <w:r>
        <w:rPr>
          <w:rFonts w:hint="eastAsia" w:ascii="Times New Roman" w:hAnsi="Times New Roman" w:cs="Times New Roman"/>
          <w:color w:val="auto"/>
          <w:kern w:val="0"/>
        </w:rPr>
        <w:t>新墙</w:t>
      </w:r>
      <w:r>
        <w:rPr>
          <w:rFonts w:ascii="Times New Roman" w:hAnsi="Times New Roman" w:cs="Times New Roman"/>
          <w:color w:val="auto"/>
          <w:kern w:val="0"/>
        </w:rPr>
        <w:t>镇，与《关于实施岳阳市“三线一单”生态环境分区管控意见的意见》相符性分析如下</w:t>
      </w:r>
      <w:r>
        <w:rPr>
          <w:rFonts w:hint="eastAsia" w:ascii="Times New Roman" w:hAnsi="Times New Roman" w:cs="Times New Roman"/>
          <w:color w:val="auto"/>
          <w:kern w:val="0"/>
        </w:rPr>
        <w:t>：</w:t>
      </w:r>
    </w:p>
    <w:p>
      <w:pPr>
        <w:spacing w:after="120"/>
        <w:ind w:firstLine="402" w:firstLineChars="200"/>
        <w:jc w:val="center"/>
        <w:rPr>
          <w:rFonts w:ascii="Times New Roman" w:eastAsia="宋体"/>
          <w:color w:val="auto"/>
          <w:kern w:val="2"/>
          <w:sz w:val="20"/>
        </w:rPr>
      </w:pPr>
      <w:r>
        <w:rPr>
          <w:rFonts w:ascii="Times New Roman" w:eastAsia="宋体"/>
          <w:b/>
          <w:bCs/>
          <w:color w:val="auto"/>
          <w:kern w:val="2"/>
          <w:sz w:val="20"/>
        </w:rPr>
        <w:t>表1.</w:t>
      </w:r>
      <w:r>
        <w:rPr>
          <w:rFonts w:hint="eastAsia" w:ascii="Times New Roman" w:eastAsia="宋体"/>
          <w:b/>
          <w:bCs/>
          <w:color w:val="auto"/>
          <w:kern w:val="2"/>
          <w:sz w:val="20"/>
        </w:rPr>
        <w:t>3-8</w:t>
      </w:r>
      <w:r>
        <w:rPr>
          <w:rFonts w:ascii="Times New Roman" w:eastAsia="宋体"/>
          <w:b/>
          <w:bCs/>
          <w:color w:val="auto"/>
          <w:kern w:val="2"/>
          <w:sz w:val="20"/>
        </w:rPr>
        <w:tab/>
      </w:r>
      <w:r>
        <w:rPr>
          <w:rFonts w:ascii="Times New Roman" w:eastAsia="宋体"/>
          <w:b/>
          <w:bCs/>
          <w:color w:val="auto"/>
          <w:kern w:val="2"/>
          <w:sz w:val="20"/>
        </w:rPr>
        <w:t>项目与岳阳市</w:t>
      </w:r>
      <w:r>
        <w:rPr>
          <w:rFonts w:hint="eastAsia" w:ascii="Times New Roman" w:eastAsia="宋体"/>
          <w:b/>
          <w:bCs/>
          <w:color w:val="auto"/>
          <w:kern w:val="2"/>
          <w:sz w:val="20"/>
        </w:rPr>
        <w:t>“</w:t>
      </w:r>
      <w:r>
        <w:rPr>
          <w:rFonts w:ascii="Times New Roman" w:eastAsia="宋体"/>
          <w:b/>
          <w:bCs/>
          <w:color w:val="auto"/>
          <w:kern w:val="2"/>
          <w:sz w:val="20"/>
        </w:rPr>
        <w:t>三线一单</w:t>
      </w:r>
      <w:r>
        <w:rPr>
          <w:rFonts w:hint="eastAsia" w:ascii="Times New Roman" w:eastAsia="宋体"/>
          <w:b/>
          <w:bCs/>
          <w:color w:val="auto"/>
          <w:kern w:val="2"/>
          <w:sz w:val="20"/>
        </w:rPr>
        <w:t>”</w:t>
      </w:r>
      <w:r>
        <w:rPr>
          <w:rFonts w:ascii="Times New Roman" w:eastAsia="宋体"/>
          <w:b/>
          <w:bCs/>
          <w:color w:val="auto"/>
          <w:kern w:val="2"/>
          <w:sz w:val="20"/>
        </w:rPr>
        <w:t>相符性分析说明符合性一览表</w:t>
      </w:r>
    </w:p>
    <w:tbl>
      <w:tblPr>
        <w:tblStyle w:val="47"/>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63"/>
        <w:gridCol w:w="4659"/>
        <w:gridCol w:w="1983"/>
        <w:gridCol w:w="9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35" w:hRule="atLeast"/>
          <w:jc w:val="center"/>
        </w:trPr>
        <w:tc>
          <w:tcPr>
            <w:tcW w:w="5322" w:type="dxa"/>
            <w:gridSpan w:val="2"/>
            <w:vAlign w:val="center"/>
          </w:tcPr>
          <w:p>
            <w:pPr>
              <w:jc w:val="center"/>
              <w:textAlignment w:val="center"/>
              <w:rPr>
                <w:rFonts w:ascii="Times New Roman" w:eastAsia="宋体"/>
                <w:color w:val="auto"/>
                <w:sz w:val="21"/>
                <w:szCs w:val="21"/>
              </w:rPr>
            </w:pPr>
            <w:r>
              <w:rPr>
                <w:rFonts w:ascii="Times New Roman" w:eastAsia="宋体"/>
                <w:color w:val="auto"/>
                <w:sz w:val="21"/>
                <w:szCs w:val="21"/>
              </w:rPr>
              <w:t>管控要求</w:t>
            </w:r>
          </w:p>
        </w:tc>
        <w:tc>
          <w:tcPr>
            <w:tcW w:w="1983"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本项目情况</w:t>
            </w:r>
          </w:p>
        </w:tc>
        <w:tc>
          <w:tcPr>
            <w:tcW w:w="915"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符合</w:t>
            </w:r>
          </w:p>
          <w:p>
            <w:pPr>
              <w:jc w:val="center"/>
              <w:textAlignment w:val="center"/>
              <w:rPr>
                <w:rFonts w:ascii="Times New Roman" w:eastAsia="宋体"/>
                <w:color w:val="auto"/>
                <w:sz w:val="21"/>
                <w:szCs w:val="21"/>
              </w:rPr>
            </w:pPr>
            <w:r>
              <w:rPr>
                <w:rFonts w:ascii="Times New Roman" w:eastAsia="宋体"/>
                <w:color w:val="auto"/>
                <w:sz w:val="21"/>
                <w:szCs w:val="21"/>
              </w:rPr>
              <w:t>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57" w:hRule="atLeast"/>
          <w:jc w:val="center"/>
        </w:trPr>
        <w:tc>
          <w:tcPr>
            <w:tcW w:w="663"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空间布局约束</w:t>
            </w:r>
          </w:p>
        </w:tc>
        <w:tc>
          <w:tcPr>
            <w:tcW w:w="4659" w:type="dxa"/>
            <w:vAlign w:val="center"/>
          </w:tcPr>
          <w:p>
            <w:pPr>
              <w:jc w:val="left"/>
              <w:textAlignment w:val="center"/>
              <w:rPr>
                <w:rFonts w:ascii="Times New Roman" w:eastAsia="宋体"/>
                <w:color w:val="auto"/>
                <w:sz w:val="21"/>
                <w:szCs w:val="21"/>
              </w:rPr>
            </w:pPr>
            <w:r>
              <w:rPr>
                <w:rFonts w:ascii="Times New Roman" w:eastAsia="宋体"/>
                <w:color w:val="auto"/>
                <w:sz w:val="21"/>
                <w:szCs w:val="21"/>
              </w:rPr>
              <w:t>全面淘汰传统掩埋、化尸窖等处理方式，实行病死畜禽无害化处理，禁止任何单位和个人非法抛弃、收购、贩卖、屠宰、加工病死畜禽；从事畜禽饲养、屠宰、经营、运输的单位和个人，在畜禽因病死亡或染疫时，应立即向所在区域收集暂存点报告，由区域收集暂存点收集后送至病死畜禽专业无害化集中处理厂进行无害化处理；严厉打击非法抛弃、收购、贩卖、屠宰、加工病死畜禽等违法行为</w:t>
            </w:r>
          </w:p>
          <w:p>
            <w:pPr>
              <w:jc w:val="left"/>
              <w:textAlignment w:val="center"/>
              <w:rPr>
                <w:rFonts w:ascii="Times New Roman" w:eastAsia="宋体"/>
                <w:color w:val="auto"/>
                <w:sz w:val="21"/>
                <w:szCs w:val="21"/>
              </w:rPr>
            </w:pPr>
            <w:r>
              <w:rPr>
                <w:rFonts w:ascii="Times New Roman" w:eastAsia="宋体"/>
                <w:color w:val="auto"/>
                <w:sz w:val="21"/>
                <w:szCs w:val="21"/>
              </w:rPr>
              <w:t>1.2在禁养区内，撤除人工养殖网箱、网围、拦网，禁止从事投肥、投饵等各类人工水产养殖行为；在限养区内，全面限制投肥投饵养殖，限制周边生活污水及畜禽粪污直接排入农村集体生活用水水源地水库；重点湖泊限制网箱、网围、网栏等人工养殖，重点生态功能区内的水产养殖搬迁或关停</w:t>
            </w:r>
          </w:p>
        </w:tc>
        <w:tc>
          <w:tcPr>
            <w:tcW w:w="1983" w:type="dxa"/>
            <w:vAlign w:val="center"/>
          </w:tcPr>
          <w:p>
            <w:pPr>
              <w:jc w:val="center"/>
              <w:textAlignment w:val="center"/>
              <w:rPr>
                <w:rFonts w:hint="default" w:ascii="Times New Roman" w:eastAsia="宋体"/>
                <w:color w:val="auto"/>
                <w:sz w:val="21"/>
                <w:szCs w:val="21"/>
                <w:lang w:val="en-US" w:eastAsia="zh-CN"/>
              </w:rPr>
            </w:pPr>
            <w:r>
              <w:rPr>
                <w:rFonts w:ascii="Times New Roman" w:eastAsia="宋体"/>
                <w:color w:val="auto"/>
                <w:sz w:val="21"/>
                <w:szCs w:val="21"/>
              </w:rPr>
              <w:t>本项目产生的病死</w:t>
            </w:r>
            <w:r>
              <w:rPr>
                <w:rFonts w:hint="eastAsia" w:ascii="Times New Roman" w:eastAsia="宋体"/>
                <w:color w:val="auto"/>
                <w:sz w:val="21"/>
                <w:szCs w:val="21"/>
              </w:rPr>
              <w:t>鸡</w:t>
            </w:r>
            <w:r>
              <w:rPr>
                <w:rFonts w:ascii="Times New Roman" w:eastAsia="宋体"/>
                <w:color w:val="auto"/>
                <w:sz w:val="21"/>
                <w:szCs w:val="21"/>
              </w:rPr>
              <w:t>交</w:t>
            </w:r>
            <w:r>
              <w:rPr>
                <w:rFonts w:hint="eastAsia" w:ascii="Times New Roman" w:eastAsia="宋体"/>
                <w:color w:val="auto"/>
                <w:sz w:val="21"/>
                <w:szCs w:val="21"/>
              </w:rPr>
              <w:t>岳阳县病死禽无害化处理厂进行无害化处理</w:t>
            </w:r>
            <w:r>
              <w:rPr>
                <w:rFonts w:ascii="Times New Roman" w:eastAsia="宋体"/>
                <w:color w:val="auto"/>
                <w:sz w:val="21"/>
                <w:szCs w:val="21"/>
              </w:rPr>
              <w:t>，本项目不属于禁养区</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本项目废水经收集收后依托新华养殖场污水处理站处理，鸡舍粪污采取干清粪方式收集后外售制肥。</w:t>
            </w:r>
          </w:p>
        </w:tc>
        <w:tc>
          <w:tcPr>
            <w:tcW w:w="915"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2" w:hRule="atLeast"/>
          <w:jc w:val="center"/>
        </w:trPr>
        <w:tc>
          <w:tcPr>
            <w:tcW w:w="663"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污染物排放管控</w:t>
            </w:r>
          </w:p>
          <w:p>
            <w:pPr>
              <w:jc w:val="center"/>
              <w:textAlignment w:val="center"/>
              <w:rPr>
                <w:rFonts w:ascii="Times New Roman" w:eastAsia="宋体"/>
                <w:color w:val="auto"/>
                <w:sz w:val="21"/>
                <w:szCs w:val="21"/>
              </w:rPr>
            </w:pPr>
          </w:p>
        </w:tc>
        <w:tc>
          <w:tcPr>
            <w:tcW w:w="4659" w:type="dxa"/>
            <w:vAlign w:val="center"/>
          </w:tcPr>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2.加快补齐污水收集和处理设施短板，积极推进雨污分流、老旧污水管网改造和破损修复等工作，加快消除城中村、老旧城区和城乡结合部生活污水收集处理设施空白区，显著提升城镇生活污水集中收集效能</w:t>
            </w:r>
          </w:p>
        </w:tc>
        <w:tc>
          <w:tcPr>
            <w:tcW w:w="1983" w:type="dxa"/>
            <w:vAlign w:val="center"/>
          </w:tcPr>
          <w:p>
            <w:pPr>
              <w:jc w:val="left"/>
              <w:textAlignment w:val="center"/>
              <w:rPr>
                <w:rFonts w:ascii="Times New Roman" w:eastAsia="宋体"/>
                <w:color w:val="auto"/>
                <w:sz w:val="21"/>
                <w:szCs w:val="21"/>
              </w:rPr>
            </w:pPr>
            <w:r>
              <w:rPr>
                <w:rFonts w:ascii="Times New Roman" w:eastAsia="宋体"/>
                <w:color w:val="auto"/>
                <w:sz w:val="21"/>
                <w:szCs w:val="21"/>
              </w:rPr>
              <w:t>本项目采用雨污分流，</w:t>
            </w:r>
            <w:r>
              <w:rPr>
                <w:rFonts w:hint="eastAsia" w:ascii="Times New Roman" w:eastAsia="宋体"/>
                <w:color w:val="auto"/>
                <w:sz w:val="21"/>
                <w:szCs w:val="21"/>
              </w:rPr>
              <w:t>生活污水经化粪池处理后与养殖废水一并汇入沉淀池，后有密闭槽罐车运送至公司新华养殖场污水处理站处理，处理达标后用于周边林果地浇灌。</w:t>
            </w:r>
          </w:p>
        </w:tc>
        <w:tc>
          <w:tcPr>
            <w:tcW w:w="915"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25" w:hRule="atLeast"/>
          <w:jc w:val="center"/>
        </w:trPr>
        <w:tc>
          <w:tcPr>
            <w:tcW w:w="663"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环境风险防控</w:t>
            </w:r>
          </w:p>
          <w:p>
            <w:pPr>
              <w:jc w:val="center"/>
              <w:textAlignment w:val="center"/>
              <w:rPr>
                <w:rFonts w:ascii="Times New Roman" w:eastAsia="宋体"/>
                <w:color w:val="auto"/>
                <w:sz w:val="21"/>
                <w:szCs w:val="21"/>
              </w:rPr>
            </w:pPr>
          </w:p>
        </w:tc>
        <w:tc>
          <w:tcPr>
            <w:tcW w:w="4659" w:type="dxa"/>
            <w:vAlign w:val="center"/>
          </w:tcPr>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3.1大型养殖场已建设自用病死畜禽处理设施的，应当符合病死畜禽无害化处理技术规范，并经县生态环境和畜牧水产部门审查批准后方可使用</w:t>
            </w:r>
          </w:p>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3.2防治畜禽养殖污染。严格禁养区管理，依法处理违规畜禽养殖问题，现有规模化畜禽养殖场（小区）根据污染治理需要，配套建设畜禽粪污贮存、处理、利用设施，落实</w:t>
            </w:r>
            <w:r>
              <w:rPr>
                <w:rFonts w:hint="eastAsia" w:ascii="Times New Roman" w:eastAsia="宋体"/>
                <w:color w:val="auto"/>
                <w:sz w:val="21"/>
                <w:szCs w:val="21"/>
                <w:lang w:val="zh-CN"/>
              </w:rPr>
              <w:t>“</w:t>
            </w:r>
            <w:r>
              <w:rPr>
                <w:rFonts w:ascii="Times New Roman" w:eastAsia="宋体"/>
                <w:color w:val="auto"/>
                <w:sz w:val="21"/>
                <w:szCs w:val="21"/>
                <w:lang w:val="zh-CN"/>
              </w:rPr>
              <w:t>种养结合，以地定畜</w:t>
            </w:r>
            <w:r>
              <w:rPr>
                <w:rFonts w:hint="eastAsia" w:ascii="Times New Roman" w:eastAsia="宋体"/>
                <w:color w:val="auto"/>
                <w:sz w:val="21"/>
                <w:szCs w:val="21"/>
                <w:lang w:val="zh-CN"/>
              </w:rPr>
              <w:t>”</w:t>
            </w:r>
            <w:r>
              <w:rPr>
                <w:rFonts w:ascii="Times New Roman" w:eastAsia="宋体"/>
                <w:color w:val="auto"/>
                <w:sz w:val="21"/>
                <w:szCs w:val="21"/>
                <w:lang w:val="zh-CN"/>
              </w:rPr>
              <w:t>要求，推动就地就近消纳利用畜禽养殖废弃物；鼓励第三方处理企业开展畜禽粪污专业化集中处理</w:t>
            </w:r>
          </w:p>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3.3控制农业面源污染。全面贯彻落实</w:t>
            </w:r>
            <w:r>
              <w:rPr>
                <w:rFonts w:hint="eastAsia" w:ascii="Times New Roman" w:eastAsia="宋体"/>
                <w:color w:val="auto"/>
                <w:sz w:val="21"/>
                <w:szCs w:val="21"/>
                <w:lang w:val="zh-CN"/>
              </w:rPr>
              <w:t>“</w:t>
            </w:r>
            <w:r>
              <w:rPr>
                <w:rFonts w:ascii="Times New Roman" w:eastAsia="宋体"/>
                <w:color w:val="auto"/>
                <w:sz w:val="21"/>
                <w:szCs w:val="21"/>
                <w:lang w:val="zh-CN"/>
              </w:rPr>
              <w:t>一控两减三基本</w:t>
            </w:r>
            <w:r>
              <w:rPr>
                <w:rFonts w:hint="eastAsia" w:ascii="Times New Roman" w:eastAsia="宋体"/>
                <w:color w:val="auto"/>
                <w:sz w:val="21"/>
                <w:szCs w:val="21"/>
                <w:lang w:val="zh-CN"/>
              </w:rPr>
              <w:t>”</w:t>
            </w:r>
            <w:r>
              <w:rPr>
                <w:rFonts w:ascii="Times New Roman" w:eastAsia="宋体"/>
                <w:color w:val="auto"/>
                <w:sz w:val="21"/>
                <w:szCs w:val="21"/>
                <w:lang w:val="zh-CN"/>
              </w:rPr>
              <w:t>行动，加强肥料、农药包装废弃物回收处理试点与推广应用，建立健全废弃农膜回收贮运和综合利用网络</w:t>
            </w:r>
          </w:p>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3.4强化枯水期环境监管，在枯水期对重点断面、重点污染源、饮用水水源地进行加密监测，强化区域环境风险隐患排查整治</w:t>
            </w:r>
          </w:p>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3.5深入推动落实河（湖）长制，加强河湖巡查，及时发现、解决有关问题；巩固河湖</w:t>
            </w:r>
            <w:r>
              <w:rPr>
                <w:rFonts w:hint="eastAsia" w:ascii="Times New Roman" w:eastAsia="宋体"/>
                <w:color w:val="auto"/>
                <w:sz w:val="21"/>
                <w:szCs w:val="21"/>
                <w:lang w:val="zh-CN"/>
              </w:rPr>
              <w:t>“</w:t>
            </w:r>
            <w:r>
              <w:rPr>
                <w:rFonts w:ascii="Times New Roman" w:eastAsia="宋体"/>
                <w:color w:val="auto"/>
                <w:sz w:val="21"/>
                <w:szCs w:val="21"/>
                <w:lang w:val="zh-CN"/>
              </w:rPr>
              <w:t>清四乱</w:t>
            </w:r>
            <w:r>
              <w:rPr>
                <w:rFonts w:hint="eastAsia" w:ascii="Times New Roman" w:eastAsia="宋体"/>
                <w:color w:val="auto"/>
                <w:sz w:val="21"/>
                <w:szCs w:val="21"/>
                <w:lang w:val="zh-CN"/>
              </w:rPr>
              <w:t>”</w:t>
            </w:r>
            <w:r>
              <w:rPr>
                <w:rFonts w:ascii="Times New Roman" w:eastAsia="宋体"/>
                <w:color w:val="auto"/>
                <w:sz w:val="21"/>
                <w:szCs w:val="21"/>
                <w:lang w:val="zh-CN"/>
              </w:rPr>
              <w:t>成效，推动清理整治重点向中小河流、农村河湖延伸，将国控断面水质控制目标、饮用水水源保护纳入河（湖）长制考核体系</w:t>
            </w:r>
          </w:p>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3.6建立涵盖基础信息、实时水量水质数据等在内的河湖库管理信息平台，河湖管护联合执法机制逐步形成，在东洞庭湖、新墙河、铁山水库等重要河湖干流及主要支流建立基于水质水量考核的流域生态补偿机制</w:t>
            </w:r>
          </w:p>
        </w:tc>
        <w:tc>
          <w:tcPr>
            <w:tcW w:w="1983" w:type="dxa"/>
            <w:vAlign w:val="center"/>
          </w:tcPr>
          <w:p>
            <w:pPr>
              <w:jc w:val="left"/>
              <w:textAlignment w:val="center"/>
              <w:rPr>
                <w:rFonts w:ascii="Times New Roman" w:eastAsia="宋体"/>
                <w:color w:val="auto"/>
                <w:sz w:val="21"/>
                <w:szCs w:val="21"/>
              </w:rPr>
            </w:pPr>
            <w:r>
              <w:rPr>
                <w:rFonts w:hint="eastAsia" w:ascii="Times New Roman" w:eastAsia="宋体"/>
                <w:color w:val="auto"/>
                <w:sz w:val="21"/>
                <w:szCs w:val="21"/>
                <w:lang w:val="en-US" w:eastAsia="zh-CN"/>
              </w:rPr>
              <w:t>3.1</w:t>
            </w:r>
            <w:r>
              <w:rPr>
                <w:rFonts w:ascii="Times New Roman" w:eastAsia="宋体"/>
                <w:color w:val="auto"/>
                <w:sz w:val="21"/>
                <w:szCs w:val="21"/>
              </w:rPr>
              <w:t>根据附件5可知岳阳县杨</w:t>
            </w:r>
            <w:r>
              <w:rPr>
                <w:rFonts w:hint="eastAsia" w:ascii="Times New Roman" w:eastAsia="宋体"/>
                <w:color w:val="auto"/>
                <w:sz w:val="21"/>
                <w:szCs w:val="21"/>
              </w:rPr>
              <w:t>新墙</w:t>
            </w:r>
            <w:r>
              <w:rPr>
                <w:rFonts w:ascii="Times New Roman" w:eastAsia="宋体"/>
                <w:color w:val="auto"/>
                <w:sz w:val="21"/>
                <w:szCs w:val="21"/>
              </w:rPr>
              <w:t>镇人民政府、岳阳市生态环境局岳阳县分局、岳阳县自然资源局、岳阳县林业局、岳阳县水利局、岳阳县畜牧水产发展服务中心对同意本项目的选址。</w:t>
            </w:r>
          </w:p>
          <w:p>
            <w:pPr>
              <w:keepNext w:val="0"/>
              <w:keepLines w:val="0"/>
              <w:pageBreakBefore w:val="0"/>
              <w:widowControl w:val="0"/>
              <w:kinsoku/>
              <w:wordWrap/>
              <w:overflowPunct/>
              <w:topLinePunct w:val="0"/>
              <w:autoSpaceDE/>
              <w:autoSpaceDN/>
              <w:bidi w:val="0"/>
              <w:adjustRightInd/>
              <w:snapToGrid w:val="0"/>
              <w:jc w:val="left"/>
              <w:textAlignment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3.2</w:t>
            </w:r>
            <w:r>
              <w:rPr>
                <w:rFonts w:ascii="Times New Roman" w:eastAsia="宋体"/>
                <w:color w:val="auto"/>
                <w:sz w:val="21"/>
                <w:szCs w:val="21"/>
              </w:rPr>
              <w:t>本项目</w:t>
            </w:r>
            <w:r>
              <w:rPr>
                <w:rFonts w:hint="eastAsia" w:ascii="Times New Roman" w:eastAsia="宋体"/>
                <w:color w:val="auto"/>
                <w:sz w:val="21"/>
                <w:szCs w:val="21"/>
                <w:lang w:val="en-US" w:eastAsia="zh-CN"/>
              </w:rPr>
              <w:t>在鸡舍内设有鸡粪暂存区，用于短时间存放后外售制肥；</w:t>
            </w:r>
            <w:r>
              <w:rPr>
                <w:rFonts w:hint="eastAsia" w:ascii="Times New Roman" w:eastAsia="宋体"/>
                <w:color w:val="auto"/>
                <w:sz w:val="21"/>
                <w:szCs w:val="21"/>
              </w:rPr>
              <w:t>废水经地下收集管道收集后排入场区污水沉淀池，后经槽车运送至公司新华养殖场的污水处理场处理后达浇灌农林地，不外排</w:t>
            </w:r>
            <w:r>
              <w:rPr>
                <w:rFonts w:hint="eastAsia" w:ascii="Times New Roman" w:eastAsia="宋体"/>
                <w:color w:val="auto"/>
                <w:sz w:val="21"/>
                <w:szCs w:val="21"/>
                <w:lang w:eastAsia="zh-CN"/>
              </w:rPr>
              <w:t>；</w:t>
            </w:r>
            <w:r>
              <w:rPr>
                <w:rFonts w:hint="eastAsia" w:ascii="Times New Roman" w:eastAsia="宋体"/>
                <w:color w:val="auto"/>
                <w:sz w:val="21"/>
                <w:szCs w:val="21"/>
                <w:u w:val="none"/>
                <w:lang w:val="en-US" w:eastAsia="zh-CN"/>
              </w:rPr>
              <w:t>鸡舍病死鸡，收集后</w:t>
            </w:r>
            <w:r>
              <w:rPr>
                <w:rFonts w:hint="eastAsia" w:ascii="Times New Roman" w:eastAsia="宋体"/>
                <w:color w:val="auto"/>
                <w:sz w:val="21"/>
                <w:szCs w:val="21"/>
                <w:u w:val="none"/>
              </w:rPr>
              <w:t>暂存</w:t>
            </w:r>
            <w:r>
              <w:rPr>
                <w:rFonts w:hint="eastAsia" w:ascii="Times New Roman" w:eastAsia="宋体"/>
                <w:color w:val="auto"/>
                <w:sz w:val="21"/>
                <w:szCs w:val="21"/>
                <w:u w:val="none"/>
                <w:lang w:val="en-US" w:eastAsia="zh-CN"/>
              </w:rPr>
              <w:t>于西侧</w:t>
            </w:r>
            <w:r>
              <w:rPr>
                <w:rFonts w:hint="eastAsia" w:ascii="Times New Roman" w:eastAsia="宋体"/>
                <w:color w:val="auto"/>
                <w:sz w:val="21"/>
                <w:szCs w:val="21"/>
                <w:u w:val="none"/>
              </w:rPr>
              <w:t>冷柜，由岳阳县病死禽无</w:t>
            </w:r>
            <w:r>
              <w:rPr>
                <w:rFonts w:hint="eastAsia" w:ascii="Times New Roman" w:eastAsia="宋体"/>
                <w:color w:val="auto"/>
                <w:sz w:val="21"/>
                <w:szCs w:val="21"/>
              </w:rPr>
              <w:t>害处理厂</w:t>
            </w:r>
            <w:r>
              <w:rPr>
                <w:rFonts w:hint="eastAsia" w:ascii="Times New Roman" w:eastAsia="宋体"/>
                <w:color w:val="auto"/>
                <w:sz w:val="21"/>
                <w:szCs w:val="21"/>
                <w:lang w:val="en-US" w:eastAsia="zh-CN"/>
              </w:rPr>
              <w:t>收集后</w:t>
            </w:r>
            <w:r>
              <w:rPr>
                <w:rFonts w:hint="eastAsia" w:ascii="Times New Roman" w:eastAsia="宋体"/>
                <w:color w:val="auto"/>
                <w:sz w:val="21"/>
                <w:szCs w:val="21"/>
              </w:rPr>
              <w:t>无害化处理</w:t>
            </w:r>
            <w:r>
              <w:rPr>
                <w:rFonts w:hint="eastAsia" w:ascii="Times New Roman" w:eastAsia="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val="0"/>
              <w:jc w:val="left"/>
              <w:textAlignment w:val="center"/>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3.3不涉及。</w:t>
            </w:r>
          </w:p>
          <w:p>
            <w:pPr>
              <w:keepNext w:val="0"/>
              <w:keepLines w:val="0"/>
              <w:pageBreakBefore w:val="0"/>
              <w:widowControl w:val="0"/>
              <w:kinsoku/>
              <w:wordWrap/>
              <w:overflowPunct/>
              <w:topLinePunct w:val="0"/>
              <w:autoSpaceDE/>
              <w:autoSpaceDN/>
              <w:bidi w:val="0"/>
              <w:adjustRightInd/>
              <w:snapToGrid w:val="0"/>
              <w:jc w:val="both"/>
              <w:textAlignment w:val="center"/>
              <w:rPr>
                <w:rFonts w:hint="default"/>
                <w:lang w:val="en-US" w:eastAsia="zh-CN"/>
              </w:rPr>
            </w:pPr>
            <w:r>
              <w:rPr>
                <w:rFonts w:hint="eastAsia" w:ascii="Times New Roman" w:eastAsia="宋体"/>
                <w:color w:val="auto"/>
                <w:sz w:val="21"/>
                <w:szCs w:val="21"/>
                <w:lang w:val="en-US" w:eastAsia="zh-CN"/>
              </w:rPr>
              <w:t>3.4～3.6养殖废水经处理后用于农灌，不外排。</w:t>
            </w:r>
          </w:p>
        </w:tc>
        <w:tc>
          <w:tcPr>
            <w:tcW w:w="915"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592" w:hRule="atLeast"/>
          <w:jc w:val="center"/>
        </w:trPr>
        <w:tc>
          <w:tcPr>
            <w:tcW w:w="663"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资源开发效率要求</w:t>
            </w:r>
          </w:p>
        </w:tc>
        <w:tc>
          <w:tcPr>
            <w:tcW w:w="4659" w:type="dxa"/>
            <w:vAlign w:val="center"/>
          </w:tcPr>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4.1对取用水总量接近控制指标的地区，限制审批建设项目新增取水许可；已达到或超过控制指标的地区，暂停审批建设项目新增取水许可；划定全县地下水禁采区、限采区和地面沉降控制区范围</w:t>
            </w:r>
          </w:p>
          <w:p>
            <w:pPr>
              <w:jc w:val="left"/>
              <w:textAlignment w:val="center"/>
              <w:rPr>
                <w:rFonts w:ascii="Times New Roman" w:eastAsia="宋体"/>
                <w:color w:val="auto"/>
                <w:sz w:val="21"/>
                <w:szCs w:val="21"/>
                <w:lang w:val="zh-CN"/>
              </w:rPr>
            </w:pPr>
            <w:r>
              <w:rPr>
                <w:rFonts w:ascii="Times New Roman" w:eastAsia="宋体"/>
                <w:color w:val="auto"/>
                <w:sz w:val="21"/>
                <w:szCs w:val="21"/>
                <w:lang w:val="zh-CN"/>
              </w:rPr>
              <w:t>4.2积极推进农业节水，完成高效节水灌溉年度任务；推进循环发展，将再生水、雨水、矿井水等非常规水源纳入区域水资源统一配置</w:t>
            </w:r>
          </w:p>
        </w:tc>
        <w:tc>
          <w:tcPr>
            <w:tcW w:w="1983"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项目营运过程中消耗一定量的电源、水和原辅材等，其资源消耗量相对区域资源利用总量较少，符合资源利用上限要求。</w:t>
            </w:r>
          </w:p>
        </w:tc>
        <w:tc>
          <w:tcPr>
            <w:tcW w:w="915" w:type="dxa"/>
            <w:vAlign w:val="center"/>
          </w:tcPr>
          <w:p>
            <w:pPr>
              <w:jc w:val="center"/>
              <w:textAlignment w:val="center"/>
              <w:rPr>
                <w:rFonts w:ascii="Times New Roman" w:eastAsia="宋体"/>
                <w:color w:val="auto"/>
                <w:sz w:val="21"/>
                <w:szCs w:val="21"/>
              </w:rPr>
            </w:pPr>
            <w:r>
              <w:rPr>
                <w:rFonts w:ascii="Times New Roman" w:eastAsia="宋体"/>
                <w:color w:val="auto"/>
                <w:sz w:val="21"/>
                <w:szCs w:val="21"/>
              </w:rPr>
              <w:t>符合</w:t>
            </w:r>
          </w:p>
        </w:tc>
      </w:tr>
    </w:tbl>
    <w:p>
      <w:pPr>
        <w:spacing w:line="360" w:lineRule="auto"/>
        <w:ind w:firstLine="480" w:firstLineChars="200"/>
        <w:rPr>
          <w:rFonts w:ascii="Times New Roman" w:eastAsia="宋体"/>
          <w:color w:val="auto"/>
        </w:rPr>
      </w:pPr>
    </w:p>
    <w:p>
      <w:pPr>
        <w:spacing w:line="360" w:lineRule="auto"/>
        <w:ind w:firstLine="480" w:firstLineChars="200"/>
        <w:rPr>
          <w:rFonts w:ascii="Times New Roman" w:eastAsia="宋体"/>
          <w:color w:val="auto"/>
        </w:rPr>
        <w:sectPr>
          <w:pgSz w:w="11906" w:h="16838"/>
          <w:pgMar w:top="1440" w:right="1803" w:bottom="1440" w:left="1803" w:header="851" w:footer="992" w:gutter="0"/>
          <w:pgNumType w:fmt="decimal"/>
          <w:cols w:space="720" w:num="1"/>
          <w:docGrid w:linePitch="312" w:charSpace="0"/>
        </w:sectPr>
      </w:pPr>
      <w:r>
        <w:rPr>
          <w:rFonts w:ascii="Times New Roman" w:eastAsia="宋体"/>
          <w:color w:val="auto"/>
        </w:rPr>
        <w:t>综上，本项目与《关于实施岳阳市</w:t>
      </w:r>
      <w:r>
        <w:rPr>
          <w:rFonts w:hint="eastAsia" w:ascii="Times New Roman" w:eastAsia="宋体"/>
          <w:color w:val="auto"/>
        </w:rPr>
        <w:t>“</w:t>
      </w:r>
      <w:r>
        <w:rPr>
          <w:rFonts w:ascii="Times New Roman" w:eastAsia="宋体"/>
          <w:color w:val="auto"/>
        </w:rPr>
        <w:t>三线一单</w:t>
      </w:r>
      <w:r>
        <w:rPr>
          <w:rFonts w:hint="eastAsia" w:ascii="Times New Roman" w:eastAsia="宋体"/>
          <w:color w:val="auto"/>
        </w:rPr>
        <w:t>”</w:t>
      </w:r>
      <w:r>
        <w:rPr>
          <w:rFonts w:ascii="Times New Roman" w:eastAsia="宋体"/>
          <w:color w:val="auto"/>
        </w:rPr>
        <w:t>生态环境分区管控的意见》（岳政发〔2020〕2号）相符合。</w:t>
      </w:r>
    </w:p>
    <w:p>
      <w:pPr>
        <w:pStyle w:val="408"/>
        <w:rPr>
          <w:rFonts w:ascii="Times New Roman"/>
          <w:b/>
          <w:bCs/>
          <w:color w:val="auto"/>
          <w:sz w:val="24"/>
          <w:szCs w:val="24"/>
        </w:rPr>
      </w:pPr>
      <w:r>
        <w:rPr>
          <w:rFonts w:hint="eastAsia" w:ascii="Times New Roman" w:hAnsi="Times New Roman" w:eastAsia="宋体" w:cs="Times New Roman"/>
          <w:b/>
          <w:sz w:val="28"/>
          <w:szCs w:val="28"/>
          <w:lang w:val="en-US" w:eastAsia="zh-CN"/>
        </w:rPr>
        <w:drawing>
          <wp:anchor distT="0" distB="0" distL="114300" distR="114300" simplePos="0" relativeHeight="251713536" behindDoc="0" locked="0" layoutInCell="1" allowOverlap="1">
            <wp:simplePos x="0" y="0"/>
            <wp:positionH relativeFrom="column">
              <wp:posOffset>8231505</wp:posOffset>
            </wp:positionH>
            <wp:positionV relativeFrom="paragraph">
              <wp:posOffset>36830</wp:posOffset>
            </wp:positionV>
            <wp:extent cx="360680" cy="645160"/>
            <wp:effectExtent l="0" t="0" r="7620" b="2540"/>
            <wp:wrapNone/>
            <wp:docPr id="5" name="图片 2" descr="a24107915dac3cc3baa6c1c4471a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a24107915dac3cc3baa6c1c4471a862"/>
                    <pic:cNvPicPr>
                      <a:picLocks noChangeAspect="1"/>
                    </pic:cNvPicPr>
                  </pic:nvPicPr>
                  <pic:blipFill>
                    <a:blip r:embed="rId16"/>
                    <a:stretch>
                      <a:fillRect/>
                    </a:stretch>
                  </pic:blipFill>
                  <pic:spPr>
                    <a:xfrm>
                      <a:off x="0" y="0"/>
                      <a:ext cx="360680" cy="645160"/>
                    </a:xfrm>
                    <a:prstGeom prst="rect">
                      <a:avLst/>
                    </a:prstGeom>
                    <a:noFill/>
                    <a:ln>
                      <a:noFill/>
                    </a:ln>
                  </pic:spPr>
                </pic:pic>
              </a:graphicData>
            </a:graphic>
          </wp:anchor>
        </w:drawing>
      </w:r>
      <w:r>
        <w:rPr>
          <w:rFonts w:ascii="Times New Roman"/>
          <w:b/>
          <w:bCs/>
          <w:color w:val="auto"/>
        </w:rPr>
        <mc:AlternateContent>
          <mc:Choice Requires="wpg">
            <w:drawing>
              <wp:anchor distT="0" distB="0" distL="114300" distR="114300" simplePos="0" relativeHeight="251675648" behindDoc="0" locked="0" layoutInCell="1" allowOverlap="1">
                <wp:simplePos x="0" y="0"/>
                <wp:positionH relativeFrom="column">
                  <wp:posOffset>3321685</wp:posOffset>
                </wp:positionH>
                <wp:positionV relativeFrom="paragraph">
                  <wp:posOffset>2703830</wp:posOffset>
                </wp:positionV>
                <wp:extent cx="560070" cy="490855"/>
                <wp:effectExtent l="4445" t="13335" r="26035" b="10160"/>
                <wp:wrapNone/>
                <wp:docPr id="74" name="组合 218"/>
                <wp:cNvGraphicFramePr/>
                <a:graphic xmlns:a="http://schemas.openxmlformats.org/drawingml/2006/main">
                  <a:graphicData uri="http://schemas.microsoft.com/office/word/2010/wordprocessingGroup">
                    <wpg:wgp>
                      <wpg:cNvGrpSpPr/>
                      <wpg:grpSpPr>
                        <a:xfrm rot="10800000">
                          <a:off x="0" y="0"/>
                          <a:ext cx="560070" cy="490855"/>
                          <a:chOff x="4742" y="225913"/>
                          <a:chExt cx="1237" cy="998"/>
                        </a:xfrm>
                        <a:effectLst/>
                      </wpg:grpSpPr>
                      <wps:wsp>
                        <wps:cNvPr id="586" name="圆角矩形标注 24"/>
                        <wps:cNvSpPr/>
                        <wps:spPr>
                          <a:xfrm>
                            <a:off x="4855" y="225913"/>
                            <a:ext cx="1124" cy="500"/>
                          </a:xfrm>
                          <a:prstGeom prst="wedgeRoundRectCallout">
                            <a:avLst>
                              <a:gd name="adj1" fmla="val -51509"/>
                              <a:gd name="adj2" fmla="val 130000"/>
                              <a:gd name="adj3" fmla="val 16667"/>
                            </a:avLst>
                          </a:prstGeom>
                          <a:solidFill>
                            <a:srgbClr val="FFFFFF"/>
                          </a:solidFill>
                          <a:ln w="9525" cap="flat" cmpd="sng">
                            <a:solidFill>
                              <a:srgbClr val="000000"/>
                            </a:solidFill>
                            <a:prstDash val="solid"/>
                            <a:miter/>
                            <a:headEnd type="none" w="med" len="med"/>
                            <a:tailEnd type="none" w="med" len="med"/>
                          </a:ln>
                          <a:effectLst/>
                        </wps:spPr>
                        <wps:txbx>
                          <w:txbxContent>
                            <w:p>
                              <w:pPr>
                                <w:rPr>
                                  <w:b/>
                                  <w:bCs/>
                                </w:rPr>
                              </w:pPr>
                              <w:r>
                                <w:rPr>
                                  <w:rFonts w:hint="eastAsia"/>
                                  <w:b/>
                                  <w:bCs/>
                                  <w:sz w:val="15"/>
                                  <w:szCs w:val="15"/>
                                </w:rPr>
                                <w:t>本项目</w:t>
                              </w:r>
                            </w:p>
                          </w:txbxContent>
                        </wps:txbx>
                        <wps:bodyPr upright="1"/>
                      </wps:wsp>
                      <wps:wsp>
                        <wps:cNvPr id="587" name="五角星 26"/>
                        <wps:cNvSpPr/>
                        <wps:spPr>
                          <a:xfrm>
                            <a:off x="4742" y="226713"/>
                            <a:ext cx="198" cy="198"/>
                          </a:xfrm>
                          <a:prstGeom prst="star5">
                            <a:avLst/>
                          </a:prstGeom>
                          <a:solidFill>
                            <a:srgbClr val="FF0000"/>
                          </a:solidFill>
                          <a:ln w="9525" cap="flat" cmpd="sng">
                            <a:solidFill>
                              <a:srgbClr val="000000"/>
                            </a:solidFill>
                            <a:prstDash val="solid"/>
                            <a:miter/>
                            <a:headEnd type="none" w="med" len="med"/>
                            <a:tailEnd type="none" w="med" len="med"/>
                          </a:ln>
                          <a:effectLst/>
                        </wps:spPr>
                        <wps:bodyPr upright="1"/>
                      </wps:wsp>
                    </wpg:wgp>
                  </a:graphicData>
                </a:graphic>
              </wp:anchor>
            </w:drawing>
          </mc:Choice>
          <mc:Fallback>
            <w:pict>
              <v:group id="组合 218" o:spid="_x0000_s1026" o:spt="203" style="position:absolute;left:0pt;margin-left:261.55pt;margin-top:212.9pt;height:38.65pt;width:44.1pt;rotation:11796480f;z-index:251675648;mso-width-relative:page;mso-height-relative:page;" coordorigin="4742,225913" coordsize="1237,998" o:gfxdata="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">
                <o:lock v:ext="edit" aspectratio="f"/>
                <v:shape id="圆角矩形标注 24" o:spid="_x0000_s1026" o:spt="62" type="#_x0000_t62" style="position:absolute;left:4855;top:225913;height:500;width:1124;" fillcolor="#FFFFFF" filled="t" stroked="t" coordsize="21600,21600" o:gfxdata="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lkSwK5AAAA3AAA&#10;AA8AAAAAAAAAAQAgAAAAIgAAAGRycy9kb3ducmV2LnhtbFBLAQIUABQAAAAIAIdO4kAzLwWeOwAA&#10;ADkAAAAQAAAAAAAAAAEAIAAAAAgBAABkcnMvc2hhcGV4bWwueG1sUEsFBgAAAAAGAAYAWwEAALID&#10;AAAAAA==&#10;" adj="-326,38880,14400">
                  <v:fill on="t" focussize="0,0"/>
                  <v:stroke color="#000000" joinstyle="miter"/>
                  <v:imagedata o:title=""/>
                  <o:lock v:ext="edit" aspectratio="f"/>
                  <v:textbox>
                    <w:txbxContent>
                      <w:p>
                        <w:pPr>
                          <w:rPr>
                            <w:b/>
                            <w:bCs/>
                          </w:rPr>
                        </w:pPr>
                        <w:r>
                          <w:rPr>
                            <w:rFonts w:hint="eastAsia"/>
                            <w:b/>
                            <w:bCs/>
                            <w:sz w:val="15"/>
                            <w:szCs w:val="15"/>
                          </w:rPr>
                          <w:t>本项目</w:t>
                        </w:r>
                      </w:p>
                    </w:txbxContent>
                  </v:textbox>
                </v:shape>
                <v:shape id="五角星 26" o:spid="_x0000_s1026" style="position:absolute;left:4742;top:226713;height:198;width:198;" fillcolor="#FF0000" filled="t" stroked="t" coordsize="198,198" o:gfxdata="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7CDB&#10;hMEAAADcAAAADwAAAAAAAAABACAAAAAiAAAAZHJzL2Rvd25yZXYueG1sUEsBAhQAFAAAAAgAh07i&#10;QDMvBZ47AAAAOQAAABAAAAAAAAAAAQAgAAAAEAEAAGRycy9zaGFwZXhtbC54bWxQSwUGAAAAAAYA&#10;BgBbAQAAugMAAAAA&#10;" path="m0,75l75,75,99,0,122,75,197,75,136,122,160,197,99,151,37,197,61,122xe">
                  <v:path o:connectlocs="99,0;0,75;37,197;160,197;197,75" o:connectangles="247,164,82,82,0"/>
                  <v:fill on="t" focussize="0,0"/>
                  <v:stroke color="#000000" joinstyle="miter"/>
                  <v:imagedata o:title=""/>
                  <o:lock v:ext="edit" aspectratio="f"/>
                </v:shape>
              </v:group>
            </w:pict>
          </mc:Fallback>
        </mc:AlternateContent>
      </w:r>
      <w:r>
        <w:rPr>
          <w:rFonts w:ascii="Times New Roman"/>
          <w:color w:val="auto"/>
        </w:rPr>
        <w:drawing>
          <wp:inline distT="0" distB="0" distL="114300" distR="114300">
            <wp:extent cx="7545070" cy="4778375"/>
            <wp:effectExtent l="0" t="0" r="17780" b="3175"/>
            <wp:docPr id="2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7"/>
                    <pic:cNvPicPr>
                      <a:picLocks noChangeAspect="1"/>
                    </pic:cNvPicPr>
                  </pic:nvPicPr>
                  <pic:blipFill>
                    <a:blip r:embed="rId17"/>
                    <a:stretch>
                      <a:fillRect/>
                    </a:stretch>
                  </pic:blipFill>
                  <pic:spPr>
                    <a:xfrm>
                      <a:off x="0" y="0"/>
                      <a:ext cx="7545070" cy="4778375"/>
                    </a:xfrm>
                    <a:prstGeom prst="rect">
                      <a:avLst/>
                    </a:prstGeom>
                    <a:noFill/>
                    <a:ln>
                      <a:noFill/>
                    </a:ln>
                  </pic:spPr>
                </pic:pic>
              </a:graphicData>
            </a:graphic>
          </wp:inline>
        </w:drawing>
      </w:r>
    </w:p>
    <w:p>
      <w:pPr>
        <w:pStyle w:val="408"/>
        <w:rPr>
          <w:rFonts w:ascii="Times New Roman" w:eastAsia="宋体"/>
          <w:color w:val="auto"/>
        </w:rPr>
      </w:pPr>
      <w:r>
        <w:rPr>
          <w:rFonts w:ascii="Times New Roman" w:eastAsia="宋体"/>
          <w:b/>
          <w:bCs/>
          <w:color w:val="auto"/>
          <w:sz w:val="24"/>
          <w:szCs w:val="24"/>
        </w:rPr>
        <w:t xml:space="preserve">图1.3-1  </w:t>
      </w:r>
      <w:r>
        <w:rPr>
          <w:rFonts w:hint="eastAsia" w:ascii="Times New Roman" w:eastAsia="宋体"/>
          <w:b/>
          <w:bCs/>
          <w:color w:val="auto"/>
          <w:sz w:val="24"/>
          <w:szCs w:val="24"/>
        </w:rPr>
        <w:t>岳阳市</w:t>
      </w:r>
      <w:r>
        <w:rPr>
          <w:rFonts w:ascii="Times New Roman" w:eastAsia="宋体"/>
          <w:b/>
          <w:bCs/>
          <w:color w:val="auto"/>
          <w:sz w:val="24"/>
          <w:szCs w:val="24"/>
        </w:rPr>
        <w:t>环境管控单元图</w:t>
      </w:r>
    </w:p>
    <w:p>
      <w:pPr>
        <w:pStyle w:val="408"/>
        <w:rPr>
          <w:rFonts w:ascii="Times New Roman"/>
          <w:b/>
          <w:bCs/>
          <w:color w:val="auto"/>
          <w:sz w:val="24"/>
          <w:szCs w:val="24"/>
        </w:rPr>
      </w:pPr>
    </w:p>
    <w:p>
      <w:pPr>
        <w:pStyle w:val="408"/>
        <w:rPr>
          <w:rFonts w:ascii="Times New Roman"/>
          <w:b/>
          <w:bCs/>
          <w:color w:val="auto"/>
          <w:sz w:val="24"/>
          <w:szCs w:val="24"/>
        </w:rPr>
      </w:pPr>
      <w:r>
        <w:rPr>
          <w:rFonts w:hint="eastAsia" w:ascii="Times New Roman" w:hAnsi="Times New Roman" w:eastAsia="宋体" w:cs="Times New Roman"/>
          <w:b/>
          <w:sz w:val="28"/>
          <w:szCs w:val="28"/>
          <w:lang w:val="en-US" w:eastAsia="zh-CN"/>
        </w:rPr>
        <w:drawing>
          <wp:anchor distT="0" distB="0" distL="114300" distR="114300" simplePos="0" relativeHeight="251714560" behindDoc="0" locked="0" layoutInCell="1" allowOverlap="1">
            <wp:simplePos x="0" y="0"/>
            <wp:positionH relativeFrom="column">
              <wp:posOffset>8104505</wp:posOffset>
            </wp:positionH>
            <wp:positionV relativeFrom="paragraph">
              <wp:posOffset>7620</wp:posOffset>
            </wp:positionV>
            <wp:extent cx="360680" cy="645160"/>
            <wp:effectExtent l="0" t="0" r="7620" b="2540"/>
            <wp:wrapNone/>
            <wp:docPr id="121" name="图片 3" descr="a24107915dac3cc3baa6c1c4471a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3" descr="a24107915dac3cc3baa6c1c4471a862"/>
                    <pic:cNvPicPr>
                      <a:picLocks noChangeAspect="1"/>
                    </pic:cNvPicPr>
                  </pic:nvPicPr>
                  <pic:blipFill>
                    <a:blip r:embed="rId16"/>
                    <a:stretch>
                      <a:fillRect/>
                    </a:stretch>
                  </pic:blipFill>
                  <pic:spPr>
                    <a:xfrm>
                      <a:off x="0" y="0"/>
                      <a:ext cx="360680" cy="645160"/>
                    </a:xfrm>
                    <a:prstGeom prst="rect">
                      <a:avLst/>
                    </a:prstGeom>
                    <a:noFill/>
                    <a:ln>
                      <a:noFill/>
                    </a:ln>
                  </pic:spPr>
                </pic:pic>
              </a:graphicData>
            </a:graphic>
          </wp:anchor>
        </w:drawing>
      </w:r>
      <w:r>
        <w:rPr>
          <w:color w:val="auto"/>
        </w:rPr>
        <w:drawing>
          <wp:anchor distT="0" distB="0" distL="114935" distR="114935" simplePos="0" relativeHeight="251693056" behindDoc="0" locked="0" layoutInCell="1" allowOverlap="1">
            <wp:simplePos x="0" y="0"/>
            <wp:positionH relativeFrom="column">
              <wp:posOffset>7336790</wp:posOffset>
            </wp:positionH>
            <wp:positionV relativeFrom="paragraph">
              <wp:posOffset>4124325</wp:posOffset>
            </wp:positionV>
            <wp:extent cx="1066800" cy="619125"/>
            <wp:effectExtent l="0" t="0" r="0" b="9525"/>
            <wp:wrapNone/>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18"/>
                    <a:stretch>
                      <a:fillRect/>
                    </a:stretch>
                  </pic:blipFill>
                  <pic:spPr>
                    <a:xfrm>
                      <a:off x="0" y="0"/>
                      <a:ext cx="1066800" cy="619125"/>
                    </a:xfrm>
                    <a:prstGeom prst="rect">
                      <a:avLst/>
                    </a:prstGeom>
                    <a:noFill/>
                    <a:ln>
                      <a:noFill/>
                    </a:ln>
                  </pic:spPr>
                </pic:pic>
              </a:graphicData>
            </a:graphic>
          </wp:anchor>
        </w:drawing>
      </w:r>
      <w:r>
        <w:rPr>
          <w:color w:val="auto"/>
        </w:rPr>
        <w:drawing>
          <wp:inline distT="0" distB="0" distL="114300" distR="114300">
            <wp:extent cx="8105140" cy="4809490"/>
            <wp:effectExtent l="0" t="0" r="10160" b="1016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9"/>
                    <a:stretch>
                      <a:fillRect/>
                    </a:stretch>
                  </pic:blipFill>
                  <pic:spPr>
                    <a:xfrm>
                      <a:off x="0" y="0"/>
                      <a:ext cx="8105140" cy="4809490"/>
                    </a:xfrm>
                    <a:prstGeom prst="rect">
                      <a:avLst/>
                    </a:prstGeom>
                    <a:noFill/>
                    <a:ln>
                      <a:noFill/>
                    </a:ln>
                  </pic:spPr>
                </pic:pic>
              </a:graphicData>
            </a:graphic>
          </wp:inline>
        </w:drawing>
      </w:r>
    </w:p>
    <w:p>
      <w:pPr>
        <w:pStyle w:val="408"/>
        <w:rPr>
          <w:rFonts w:ascii="Times New Roman" w:eastAsia="宋体"/>
          <w:b/>
          <w:bCs/>
          <w:color w:val="auto"/>
          <w:sz w:val="24"/>
          <w:szCs w:val="24"/>
        </w:rPr>
      </w:pPr>
      <w:r>
        <w:rPr>
          <w:rFonts w:hint="eastAsia" w:ascii="Times New Roman" w:eastAsia="宋体"/>
          <w:b/>
          <w:bCs/>
          <w:color w:val="auto"/>
          <w:sz w:val="24"/>
          <w:szCs w:val="24"/>
        </w:rPr>
        <w:t>图</w:t>
      </w:r>
      <w:r>
        <w:rPr>
          <w:rFonts w:ascii="Times New Roman" w:eastAsia="宋体"/>
          <w:b/>
          <w:bCs/>
          <w:color w:val="auto"/>
          <w:sz w:val="24"/>
          <w:szCs w:val="24"/>
        </w:rPr>
        <w:t>1</w:t>
      </w:r>
      <w:r>
        <w:rPr>
          <w:rFonts w:hint="eastAsia" w:ascii="Times New Roman" w:eastAsia="宋体"/>
          <w:b/>
          <w:bCs/>
          <w:color w:val="auto"/>
          <w:sz w:val="24"/>
          <w:szCs w:val="24"/>
        </w:rPr>
        <w:t>.3</w:t>
      </w:r>
      <w:r>
        <w:rPr>
          <w:rFonts w:ascii="Times New Roman" w:eastAsia="宋体"/>
          <w:b/>
          <w:bCs/>
          <w:color w:val="auto"/>
          <w:sz w:val="24"/>
          <w:szCs w:val="24"/>
        </w:rPr>
        <w:t xml:space="preserve">-2 </w:t>
      </w:r>
      <w:r>
        <w:rPr>
          <w:rFonts w:hint="eastAsia" w:ascii="Times New Roman" w:eastAsia="宋体"/>
          <w:b/>
          <w:bCs/>
          <w:color w:val="auto"/>
          <w:sz w:val="24"/>
          <w:szCs w:val="24"/>
        </w:rPr>
        <w:t>项目具体地理位置</w:t>
      </w:r>
    </w:p>
    <w:p>
      <w:pPr>
        <w:pStyle w:val="408"/>
        <w:rPr>
          <w:rFonts w:ascii="Times New Roman"/>
          <w:b/>
          <w:bCs/>
          <w:color w:val="auto"/>
          <w:sz w:val="24"/>
          <w:szCs w:val="24"/>
        </w:rPr>
        <w:sectPr>
          <w:pgSz w:w="16838" w:h="11906" w:orient="landscape"/>
          <w:pgMar w:top="1803" w:right="1440" w:bottom="1803" w:left="1440" w:header="851" w:footer="992" w:gutter="0"/>
          <w:pgNumType w:fmt="decimal"/>
          <w:cols w:space="720" w:num="1"/>
          <w:docGrid w:linePitch="312" w:charSpace="0"/>
        </w:sectPr>
      </w:pPr>
    </w:p>
    <w:p>
      <w:pPr>
        <w:pStyle w:val="408"/>
        <w:rPr>
          <w:rFonts w:ascii="Times New Roman"/>
          <w:b/>
          <w:bCs/>
          <w:color w:val="auto"/>
          <w:sz w:val="24"/>
          <w:szCs w:val="24"/>
        </w:rPr>
      </w:pPr>
    </w:p>
    <w:p>
      <w:pPr>
        <w:spacing w:line="360" w:lineRule="auto"/>
        <w:jc w:val="left"/>
        <w:outlineLvl w:val="3"/>
        <w:rPr>
          <w:rFonts w:ascii="Times New Roman" w:eastAsia="宋体" w:cs="宋体"/>
          <w:color w:val="auto"/>
          <w:kern w:val="2"/>
          <w:szCs w:val="24"/>
        </w:rPr>
      </w:pPr>
      <w:r>
        <w:rPr>
          <w:rFonts w:hint="eastAsia" w:ascii="Times New Roman" w:eastAsia="宋体" w:cs="宋体"/>
          <w:color w:val="auto"/>
          <w:kern w:val="2"/>
          <w:szCs w:val="24"/>
        </w:rPr>
        <w:t>1.3.4.2</w:t>
      </w:r>
      <w:r>
        <w:rPr>
          <w:rFonts w:ascii="Times New Roman" w:eastAsia="宋体" w:cs="宋体"/>
          <w:color w:val="auto"/>
          <w:kern w:val="2"/>
          <w:szCs w:val="24"/>
        </w:rPr>
        <w:t>与湖南省人民政府办公厅《关于促进畜牧业高质量发展的实施意见》湘政办发〔2021〕28号相符性分析</w:t>
      </w:r>
    </w:p>
    <w:p>
      <w:pPr>
        <w:spacing w:line="360" w:lineRule="auto"/>
        <w:ind w:firstLine="484" w:firstLineChars="200"/>
        <w:rPr>
          <w:rFonts w:ascii="Times New Roman" w:eastAsia="宋体"/>
          <w:color w:val="auto"/>
          <w:szCs w:val="24"/>
        </w:rPr>
      </w:pPr>
      <w:r>
        <w:rPr>
          <w:rFonts w:ascii="Times New Roman" w:eastAsia="宋体"/>
          <w:color w:val="auto"/>
          <w:szCs w:val="24"/>
        </w:rPr>
        <w:t>《关于促进畜牧业高质量发展的实施意见》</w:t>
      </w:r>
      <w:r>
        <w:rPr>
          <w:rFonts w:hint="eastAsia" w:ascii="Times New Roman" w:eastAsia="宋体"/>
          <w:color w:val="auto"/>
          <w:szCs w:val="24"/>
        </w:rPr>
        <w:t>要求：①</w:t>
      </w:r>
      <w:r>
        <w:rPr>
          <w:rFonts w:ascii="Times New Roman" w:eastAsia="宋体"/>
          <w:color w:val="auto"/>
          <w:szCs w:val="24"/>
        </w:rPr>
        <w:t>特色家禽产业重点发展湘中湘南特色黄鸡、湘北湘中优质肉鸡、湘北湘南优质蛋鸡、湘西雪峰乌骨鸡、环洞庭湖水禽、湘南临武鸭6个优势家禽产业带。</w:t>
      </w:r>
      <w:r>
        <w:rPr>
          <w:rFonts w:hint="eastAsia" w:ascii="Times New Roman" w:eastAsia="宋体"/>
          <w:color w:val="auto"/>
          <w:szCs w:val="24"/>
        </w:rPr>
        <w:t>岳阳市位于湘北，属于优质肉鸡产业带。</w:t>
      </w:r>
    </w:p>
    <w:p>
      <w:pPr>
        <w:spacing w:line="360" w:lineRule="auto"/>
        <w:ind w:firstLine="484" w:firstLineChars="200"/>
        <w:rPr>
          <w:rFonts w:ascii="Times New Roman" w:eastAsia="宋体"/>
          <w:color w:val="auto"/>
          <w:szCs w:val="24"/>
        </w:rPr>
      </w:pPr>
      <w:r>
        <w:rPr>
          <w:rFonts w:hint="eastAsia" w:ascii="Times New Roman" w:eastAsia="宋体"/>
          <w:color w:val="auto"/>
          <w:szCs w:val="24"/>
        </w:rPr>
        <w:t>②</w:t>
      </w:r>
      <w:r>
        <w:rPr>
          <w:rFonts w:ascii="Times New Roman" w:eastAsia="宋体"/>
          <w:color w:val="auto"/>
          <w:szCs w:val="24"/>
        </w:rPr>
        <w:t>本项目</w:t>
      </w:r>
      <w:r>
        <w:rPr>
          <w:rFonts w:hint="eastAsia" w:ascii="Times New Roman" w:eastAsia="宋体"/>
          <w:color w:val="auto"/>
          <w:szCs w:val="24"/>
        </w:rPr>
        <w:t>废水经收集依托新华养殖场污水处理厂处理达标后用于浇灌农林地，</w:t>
      </w:r>
      <w:r>
        <w:rPr>
          <w:rFonts w:hint="eastAsia" w:ascii="Times New Roman" w:hAnsi="Times New Roman" w:eastAsia="宋体"/>
          <w:color w:val="auto"/>
          <w:szCs w:val="24"/>
        </w:rPr>
        <w:t>鸡粪外售给湖南春雨生物科技有限公司制肥使用，生物质燃烧灰渣肥田</w:t>
      </w:r>
      <w:r>
        <w:rPr>
          <w:rFonts w:hint="eastAsia" w:ascii="Times New Roman" w:eastAsia="宋体"/>
          <w:color w:val="auto"/>
          <w:szCs w:val="24"/>
        </w:rPr>
        <w:t>，</w:t>
      </w:r>
      <w:r>
        <w:rPr>
          <w:rFonts w:ascii="Times New Roman" w:eastAsia="宋体"/>
          <w:color w:val="auto"/>
          <w:szCs w:val="24"/>
        </w:rPr>
        <w:t>符合</w:t>
      </w:r>
      <w:r>
        <w:rPr>
          <w:rFonts w:hint="eastAsia" w:ascii="Times New Roman" w:eastAsia="宋体"/>
          <w:color w:val="auto"/>
          <w:szCs w:val="24"/>
        </w:rPr>
        <w:t>“持续推动畜牧业绿色循环发展”要求</w:t>
      </w:r>
      <w:r>
        <w:rPr>
          <w:rFonts w:ascii="Times New Roman" w:eastAsia="宋体"/>
          <w:color w:val="auto"/>
          <w:szCs w:val="24"/>
        </w:rPr>
        <w:t>。</w:t>
      </w:r>
    </w:p>
    <w:p>
      <w:pPr>
        <w:spacing w:line="360" w:lineRule="auto"/>
        <w:jc w:val="left"/>
        <w:outlineLvl w:val="3"/>
        <w:rPr>
          <w:rFonts w:ascii="Times New Roman" w:eastAsia="宋体" w:cs="宋体"/>
          <w:color w:val="auto"/>
          <w:kern w:val="2"/>
          <w:szCs w:val="24"/>
        </w:rPr>
      </w:pPr>
      <w:r>
        <w:rPr>
          <w:rFonts w:hint="eastAsia" w:ascii="Times New Roman" w:eastAsia="宋体" w:cs="宋体"/>
          <w:color w:val="auto"/>
          <w:kern w:val="2"/>
          <w:szCs w:val="24"/>
        </w:rPr>
        <w:t xml:space="preserve">1.3.4.3 </w:t>
      </w:r>
      <w:r>
        <w:rPr>
          <w:rFonts w:ascii="Times New Roman" w:eastAsia="宋体" w:cs="宋体"/>
          <w:color w:val="auto"/>
          <w:kern w:val="2"/>
          <w:szCs w:val="24"/>
        </w:rPr>
        <w:t>与《湖南省“十四五”生态环境保护规划》湘政办发〔2021〕61号符合性分析</w:t>
      </w:r>
    </w:p>
    <w:p>
      <w:pPr>
        <w:pStyle w:val="43"/>
        <w:shd w:val="clear" w:color="auto" w:fill="FFFFFF"/>
        <w:spacing w:before="0" w:beforeAutospacing="0" w:after="0" w:afterAutospacing="0" w:line="360" w:lineRule="auto"/>
        <w:ind w:firstLine="720"/>
        <w:jc w:val="both"/>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湖南</w:t>
      </w:r>
      <w:r>
        <w:rPr>
          <w:rFonts w:ascii="Times New Roman" w:hAnsi="Times New Roman" w:eastAsia="宋体" w:cs="Times New Roman"/>
          <w:color w:val="auto"/>
          <w:kern w:val="2"/>
          <w:szCs w:val="24"/>
        </w:rPr>
        <w:t>省“十四五”生态环境保护规划提出：</w:t>
      </w:r>
      <w:r>
        <w:rPr>
          <w:rFonts w:hint="eastAsia" w:ascii="Times New Roman" w:hAnsi="Times New Roman" w:eastAsia="宋体" w:cs="Times New Roman"/>
          <w:color w:val="auto"/>
          <w:kern w:val="2"/>
          <w:szCs w:val="24"/>
        </w:rPr>
        <w:t>加强养殖业污染防治。坚持以地定畜、以种定养，以县为单位优化畜禽养殖区域布局，科学规划养殖业空间布局，根据土地承载能力确定畜禽养殖规模，超过土地承载能力的区域和规模养殖场，逐步调减养殖总量。以畜禽养殖大县和规模养殖场为重点，以农用有机肥和农村能源为主要利用方向，加大畜禽粪污资源化利用整县推进力度，加强规模以下畜禽养殖监管，鼓励养殖户全量收集和利用畜禽粪污，积极推行经济高效粪污资源化利用技术模式。提升种养结合水平，以果菜茶优势产区、核心产区、知名品牌生产基地为重点，支持引导农民和新型经营主体积造和施用有机肥，引导国家现代农业示范区、国家现代农业产业园和国家农业绿色发展先行区率先实现种养循环发展。优化水产养殖空间布局，坚持生态健康养殖，以洞庭湖区为重点全面开展水产养殖尾水污染综合整治。到</w:t>
      </w:r>
      <w:r>
        <w:rPr>
          <w:rFonts w:ascii="Times New Roman" w:hAnsi="Times New Roman" w:eastAsia="宋体" w:cs="Times New Roman"/>
          <w:color w:val="auto"/>
          <w:kern w:val="2"/>
          <w:szCs w:val="24"/>
        </w:rPr>
        <w:t>2025</w:t>
      </w:r>
      <w:r>
        <w:rPr>
          <w:rFonts w:hint="eastAsia" w:ascii="Times New Roman" w:hAnsi="Times New Roman" w:eastAsia="宋体" w:cs="Times New Roman"/>
          <w:color w:val="auto"/>
          <w:kern w:val="2"/>
          <w:szCs w:val="24"/>
        </w:rPr>
        <w:t>年，全省畜禽粪污综合利用率达到</w:t>
      </w:r>
      <w:r>
        <w:rPr>
          <w:rFonts w:ascii="Times New Roman" w:hAnsi="Times New Roman" w:eastAsia="宋体" w:cs="Times New Roman"/>
          <w:color w:val="auto"/>
          <w:kern w:val="2"/>
          <w:szCs w:val="24"/>
        </w:rPr>
        <w:t>80%</w:t>
      </w:r>
      <w:r>
        <w:rPr>
          <w:rFonts w:hint="eastAsia" w:ascii="Times New Roman" w:hAnsi="Times New Roman" w:eastAsia="宋体" w:cs="Times New Roman"/>
          <w:color w:val="auto"/>
          <w:kern w:val="2"/>
          <w:szCs w:val="24"/>
        </w:rPr>
        <w:t>以上，基本解决畜禽规模养殖场粪污处理和资源化利用问题。</w:t>
      </w:r>
    </w:p>
    <w:p>
      <w:pPr>
        <w:pStyle w:val="43"/>
        <w:shd w:val="clear" w:color="auto" w:fill="FFFFFF"/>
        <w:spacing w:before="0" w:beforeAutospacing="0" w:after="0" w:afterAutospacing="0" w:line="360" w:lineRule="auto"/>
        <w:ind w:firstLine="720"/>
        <w:jc w:val="both"/>
        <w:rPr>
          <w:rFonts w:ascii="Times New Roman" w:hAnsi="Times New Roman" w:eastAsia="宋体" w:cs="Times New Roman"/>
          <w:color w:val="auto"/>
          <w:szCs w:val="24"/>
        </w:rPr>
      </w:pPr>
      <w:r>
        <w:rPr>
          <w:rFonts w:ascii="Times New Roman" w:hAnsi="Times New Roman" w:eastAsia="宋体" w:cs="Times New Roman"/>
          <w:color w:val="auto"/>
          <w:kern w:val="2"/>
          <w:szCs w:val="24"/>
        </w:rPr>
        <w:t>本项目建设雨污分离污水收集系统；采用干清粪的方法收集粪便，</w:t>
      </w:r>
      <w:r>
        <w:rPr>
          <w:rFonts w:ascii="Times New Roman" w:eastAsia="宋体"/>
          <w:color w:val="auto"/>
        </w:rPr>
        <w:t>自动清粪机收集</w:t>
      </w:r>
      <w:r>
        <w:rPr>
          <w:rFonts w:hint="eastAsia" w:ascii="Times New Roman" w:eastAsia="宋体"/>
          <w:color w:val="auto"/>
          <w:lang w:eastAsia="zh-CN"/>
        </w:rPr>
        <w:t>，再通过传送带运输至末端打捆装袋</w:t>
      </w:r>
      <w:r>
        <w:rPr>
          <w:rFonts w:ascii="Times New Roman" w:eastAsia="宋体"/>
          <w:color w:val="auto"/>
        </w:rPr>
        <w:t>，</w:t>
      </w:r>
      <w:r>
        <w:rPr>
          <w:rFonts w:hint="eastAsia" w:ascii="Times New Roman" w:eastAsia="宋体"/>
          <w:color w:val="auto"/>
        </w:rPr>
        <w:t>暂存于</w:t>
      </w:r>
      <w:r>
        <w:rPr>
          <w:rFonts w:hint="eastAsia" w:ascii="Times New Roman" w:eastAsia="宋体"/>
          <w:color w:val="auto"/>
          <w:lang w:eastAsia="zh-CN"/>
        </w:rPr>
        <w:t>鸡舍内</w:t>
      </w:r>
      <w:r>
        <w:rPr>
          <w:rFonts w:hint="eastAsia" w:ascii="Times New Roman" w:eastAsia="宋体"/>
          <w:color w:val="auto"/>
        </w:rPr>
        <w:t>鸡粪暂</w:t>
      </w:r>
      <w:r>
        <w:rPr>
          <w:rFonts w:hint="eastAsia" w:ascii="Times New Roman" w:eastAsia="宋体"/>
          <w:color w:val="auto"/>
          <w:lang w:eastAsia="zh-CN"/>
        </w:rPr>
        <w:t>区</w:t>
      </w:r>
      <w:r>
        <w:rPr>
          <w:rFonts w:hint="eastAsia" w:ascii="Times New Roman" w:eastAsia="宋体"/>
          <w:color w:val="auto"/>
        </w:rPr>
        <w:t>，后定期外售</w:t>
      </w:r>
      <w:r>
        <w:rPr>
          <w:rFonts w:hint="eastAsia" w:ascii="Times New Roman" w:eastAsia="宋体"/>
          <w:color w:val="auto"/>
          <w:lang w:val="en-US" w:eastAsia="zh-CN"/>
        </w:rPr>
        <w:t>制肥</w:t>
      </w:r>
      <w:r>
        <w:rPr>
          <w:rFonts w:ascii="Times New Roman" w:hAnsi="Times New Roman" w:eastAsia="宋体" w:cs="Times New Roman"/>
          <w:color w:val="auto"/>
          <w:kern w:val="2"/>
          <w:szCs w:val="24"/>
        </w:rPr>
        <w:t>；鸡舍冲洗废水经</w:t>
      </w:r>
      <w:r>
        <w:rPr>
          <w:rFonts w:hint="eastAsia" w:ascii="Times New Roman" w:hAnsi="Times New Roman" w:eastAsia="宋体" w:cs="Times New Roman"/>
          <w:color w:val="auto"/>
          <w:kern w:val="2"/>
          <w:szCs w:val="24"/>
        </w:rPr>
        <w:t>收集外运至新华养殖场污水处理</w:t>
      </w:r>
      <w:r>
        <w:rPr>
          <w:rFonts w:ascii="Times New Roman" w:hAnsi="Times New Roman" w:eastAsia="宋体" w:cs="Times New Roman"/>
          <w:color w:val="auto"/>
          <w:kern w:val="2"/>
          <w:szCs w:val="24"/>
        </w:rPr>
        <w:t>后，用于附近农田</w:t>
      </w:r>
      <w:r>
        <w:rPr>
          <w:rFonts w:hint="eastAsia" w:ascii="Times New Roman" w:hAnsi="Times New Roman" w:eastAsia="宋体" w:cs="Times New Roman"/>
          <w:color w:val="auto"/>
          <w:kern w:val="2"/>
          <w:szCs w:val="24"/>
        </w:rPr>
        <w:t>、林地</w:t>
      </w:r>
      <w:r>
        <w:rPr>
          <w:rFonts w:hint="eastAsia" w:ascii="Times New Roman" w:hAnsi="Times New Roman" w:eastAsia="宋体" w:cs="Times New Roman"/>
          <w:color w:val="auto"/>
          <w:kern w:val="2"/>
          <w:szCs w:val="24"/>
          <w:lang w:val="en-US" w:eastAsia="zh-CN"/>
        </w:rPr>
        <w:t>施肥</w:t>
      </w:r>
      <w:r>
        <w:rPr>
          <w:rFonts w:ascii="Times New Roman" w:hAnsi="Times New Roman" w:eastAsia="宋体" w:cs="Times New Roman"/>
          <w:color w:val="auto"/>
          <w:kern w:val="2"/>
          <w:szCs w:val="24"/>
        </w:rPr>
        <w:t>；</w:t>
      </w:r>
      <w:r>
        <w:rPr>
          <w:rFonts w:hint="eastAsia" w:ascii="Times New Roman" w:hAnsi="Times New Roman" w:eastAsia="宋体" w:cs="Times New Roman"/>
          <w:color w:val="auto"/>
          <w:kern w:val="2"/>
          <w:szCs w:val="24"/>
        </w:rPr>
        <w:t>生物质燃烧灰渣用于肥田</w:t>
      </w:r>
      <w:r>
        <w:rPr>
          <w:rFonts w:ascii="Times New Roman" w:hAnsi="Times New Roman" w:eastAsia="宋体" w:cs="Times New Roman"/>
          <w:color w:val="auto"/>
          <w:kern w:val="2"/>
          <w:szCs w:val="24"/>
        </w:rPr>
        <w:t>。因此</w:t>
      </w:r>
      <w:r>
        <w:rPr>
          <w:rFonts w:ascii="Times New Roman" w:hAnsi="Times New Roman" w:eastAsia="宋体" w:cs="Times New Roman"/>
          <w:color w:val="auto"/>
          <w:szCs w:val="24"/>
        </w:rPr>
        <w:t>，本项目实施符合</w:t>
      </w:r>
      <w:r>
        <w:rPr>
          <w:rFonts w:hint="eastAsia" w:ascii="Times New Roman" w:hAnsi="Times New Roman" w:eastAsia="宋体" w:cs="Times New Roman"/>
          <w:color w:val="auto"/>
          <w:szCs w:val="24"/>
        </w:rPr>
        <w:t>湖南</w:t>
      </w:r>
      <w:r>
        <w:rPr>
          <w:rFonts w:ascii="Times New Roman" w:hAnsi="Times New Roman" w:eastAsia="宋体" w:cs="Times New Roman"/>
          <w:color w:val="auto"/>
          <w:szCs w:val="24"/>
        </w:rPr>
        <w:t>省“十四五”生态环境保护规划相关要求。</w:t>
      </w:r>
    </w:p>
    <w:p>
      <w:pPr>
        <w:pStyle w:val="43"/>
        <w:shd w:val="clear" w:color="auto" w:fill="FFFFFF"/>
        <w:spacing w:before="0" w:beforeAutospacing="0" w:after="0" w:afterAutospacing="0" w:line="360" w:lineRule="auto"/>
        <w:jc w:val="both"/>
        <w:rPr>
          <w:color w:val="auto"/>
        </w:rPr>
      </w:pPr>
      <w:r>
        <w:rPr>
          <w:rFonts w:hint="eastAsia" w:ascii="Times New Roman" w:eastAsia="宋体" w:cs="宋体"/>
          <w:color w:val="auto"/>
          <w:kern w:val="2"/>
          <w:szCs w:val="24"/>
        </w:rPr>
        <w:t>1.3.4.</w:t>
      </w:r>
      <w:r>
        <w:rPr>
          <w:rFonts w:hint="eastAsia" w:ascii="Times New Roman" w:eastAsia="宋体" w:cs="宋体"/>
          <w:color w:val="auto"/>
          <w:kern w:val="2"/>
          <w:szCs w:val="24"/>
          <w:lang w:val="en-US" w:eastAsia="zh-CN"/>
        </w:rPr>
        <w:t>3与</w:t>
      </w:r>
      <w:r>
        <w:rPr>
          <w:rFonts w:hint="eastAsia" w:ascii="Times New Roman" w:hAnsi="Times New Roman" w:eastAsia="宋体" w:cs="Times New Roman"/>
          <w:color w:val="auto"/>
          <w:szCs w:val="24"/>
        </w:rPr>
        <w:t>《湖南省长江经济带发展负面清单实施细则（试行 2022年版）》相符性分析</w:t>
      </w:r>
    </w:p>
    <w:p>
      <w:pPr>
        <w:pStyle w:val="445"/>
        <w:keepNext w:val="0"/>
        <w:keepLines w:val="0"/>
        <w:pageBreakBefore w:val="0"/>
        <w:widowControl w:val="0"/>
        <w:kinsoku/>
        <w:wordWrap/>
        <w:overflowPunct/>
        <w:topLinePunct w:val="0"/>
        <w:autoSpaceDE/>
        <w:autoSpaceDN/>
        <w:bidi w:val="0"/>
        <w:snapToGrid w:val="0"/>
        <w:spacing w:after="0" w:line="360" w:lineRule="auto"/>
        <w:ind w:firstLine="480"/>
        <w:textAlignment w:val="auto"/>
        <w:outlineLvl w:val="9"/>
        <w:rPr>
          <w:rFonts w:eastAsia="宋体" w:cs="Times New Roman"/>
          <w:color w:val="auto"/>
          <w:u w:val="none" w:color="auto"/>
        </w:rPr>
      </w:pPr>
      <w:r>
        <w:rPr>
          <w:rFonts w:hint="default" w:ascii="Times New Roman" w:hAnsi="Times New Roman" w:eastAsia="宋体" w:cs="Times New Roman"/>
          <w:color w:val="auto"/>
          <w:highlight w:val="none"/>
          <w:u w:val="none" w:color="auto"/>
          <w:lang w:val="en-US" w:eastAsia="zh-CN"/>
        </w:rPr>
        <w:t>与</w:t>
      </w:r>
      <w:r>
        <w:rPr>
          <w:rFonts w:hint="default" w:ascii="Times New Roman" w:hAnsi="Times New Roman" w:eastAsia="宋体" w:cs="Times New Roman"/>
          <w:b w:val="0"/>
          <w:bCs w:val="0"/>
          <w:color w:val="auto"/>
          <w:kern w:val="2"/>
          <w:sz w:val="24"/>
          <w:szCs w:val="24"/>
          <w:highlight w:val="none"/>
          <w:u w:val="none" w:color="auto"/>
          <w:lang w:val="en-US" w:eastAsia="zh-CN" w:bidi="ar-SA"/>
        </w:rPr>
        <w:t>《湖南省长江经济带发展负面清单实施细则（试行，2022年版）》</w:t>
      </w:r>
      <w:r>
        <w:rPr>
          <w:rFonts w:hint="default" w:ascii="Times New Roman" w:hAnsi="Times New Roman" w:eastAsia="宋体" w:cs="Times New Roman"/>
          <w:color w:val="auto"/>
          <w:highlight w:val="none"/>
          <w:u w:val="none" w:color="auto"/>
          <w:lang w:val="en-US" w:eastAsia="zh-CN"/>
        </w:rPr>
        <w:t>相关部分的</w:t>
      </w:r>
      <w:r>
        <w:rPr>
          <w:rFonts w:hint="default" w:ascii="Times New Roman" w:hAnsi="Times New Roman" w:eastAsia="宋体" w:cs="Times New Roman"/>
          <w:color w:val="auto"/>
          <w:highlight w:val="none"/>
          <w:u w:val="none" w:color="auto"/>
        </w:rPr>
        <w:t>相符性分析如下：</w:t>
      </w:r>
    </w:p>
    <w:p>
      <w:pPr>
        <w:pStyle w:val="445"/>
        <w:keepNext w:val="0"/>
        <w:keepLines w:val="0"/>
        <w:pageBreakBefore w:val="0"/>
        <w:widowControl w:val="0"/>
        <w:kinsoku/>
        <w:wordWrap/>
        <w:overflowPunct/>
        <w:topLinePunct w:val="0"/>
        <w:autoSpaceDE/>
        <w:autoSpaceDN/>
        <w:bidi w:val="0"/>
        <w:snapToGrid w:val="0"/>
        <w:spacing w:after="0" w:line="360" w:lineRule="auto"/>
        <w:ind w:firstLine="0" w:firstLineChars="0"/>
        <w:jc w:val="center"/>
        <w:textAlignment w:val="auto"/>
        <w:outlineLvl w:val="9"/>
        <w:rPr>
          <w:rFonts w:eastAsia="宋体" w:cs="Times New Roman"/>
          <w:b/>
          <w:bCs w:val="0"/>
          <w:color w:val="auto"/>
          <w:sz w:val="21"/>
          <w:szCs w:val="21"/>
          <w:u w:val="none" w:color="auto"/>
        </w:rPr>
      </w:pPr>
      <w:r>
        <w:rPr>
          <w:rFonts w:eastAsia="宋体" w:cs="Times New Roman"/>
          <w:b/>
          <w:bCs w:val="0"/>
          <w:color w:val="auto"/>
          <w:sz w:val="21"/>
          <w:szCs w:val="21"/>
          <w:u w:val="none" w:color="auto"/>
        </w:rPr>
        <w:t>表</w:t>
      </w:r>
      <w:r>
        <w:rPr>
          <w:rFonts w:hint="eastAsia" w:cs="Times New Roman"/>
          <w:b/>
          <w:bCs w:val="0"/>
          <w:color w:val="auto"/>
          <w:sz w:val="21"/>
          <w:szCs w:val="21"/>
          <w:u w:val="none" w:color="auto"/>
          <w:lang w:val="en-US" w:eastAsia="zh-CN"/>
        </w:rPr>
        <w:t>1.3-9</w:t>
      </w:r>
      <w:r>
        <w:rPr>
          <w:rFonts w:eastAsia="宋体" w:cs="Times New Roman"/>
          <w:b/>
          <w:bCs w:val="0"/>
          <w:color w:val="auto"/>
          <w:sz w:val="21"/>
          <w:szCs w:val="21"/>
          <w:u w:val="none" w:color="auto"/>
        </w:rPr>
        <w:t xml:space="preserve"> </w:t>
      </w:r>
      <w:r>
        <w:rPr>
          <w:rFonts w:hint="eastAsia" w:eastAsia="宋体" w:cs="Times New Roman"/>
          <w:b/>
          <w:bCs w:val="0"/>
          <w:color w:val="auto"/>
          <w:sz w:val="21"/>
          <w:szCs w:val="21"/>
          <w:u w:val="none" w:color="auto"/>
        </w:rPr>
        <w:t xml:space="preserve"> </w:t>
      </w:r>
      <w:r>
        <w:rPr>
          <w:rFonts w:eastAsia="宋体" w:cs="Times New Roman"/>
          <w:b/>
          <w:bCs w:val="0"/>
          <w:color w:val="auto"/>
          <w:sz w:val="21"/>
          <w:szCs w:val="21"/>
          <w:u w:val="none" w:color="auto"/>
        </w:rPr>
        <w:t>与</w:t>
      </w:r>
      <w:r>
        <w:rPr>
          <w:rStyle w:val="446"/>
          <w:rFonts w:hint="default" w:ascii="Times New Roman" w:hAnsi="Times New Roman" w:eastAsia="宋体" w:cs="Times New Roman"/>
          <w:bCs w:val="0"/>
          <w:color w:val="auto"/>
          <w:sz w:val="21"/>
          <w:szCs w:val="21"/>
          <w:u w:val="none" w:color="auto"/>
        </w:rPr>
        <w:t>湖南省长江经济带发展负面清单</w:t>
      </w:r>
      <w:r>
        <w:rPr>
          <w:rFonts w:eastAsia="宋体" w:cs="Times New Roman"/>
          <w:b/>
          <w:bCs w:val="0"/>
          <w:color w:val="auto"/>
          <w:sz w:val="21"/>
          <w:szCs w:val="21"/>
          <w:u w:val="none" w:color="auto"/>
        </w:rPr>
        <w:t>的符合性分析</w:t>
      </w:r>
    </w:p>
    <w:tbl>
      <w:tblPr>
        <w:tblStyle w:val="47"/>
        <w:tblW w:w="85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27"/>
        <w:gridCol w:w="2207"/>
        <w:gridCol w:w="9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b/>
                <w:bCs/>
                <w:color w:val="auto"/>
                <w:sz w:val="21"/>
                <w:szCs w:val="21"/>
                <w:lang w:val="en-US" w:eastAsia="zh-CN" w:bidi="ar-SA"/>
              </w:rPr>
              <w:t>要求</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b/>
                <w:bCs/>
                <w:color w:val="auto"/>
                <w:sz w:val="21"/>
                <w:szCs w:val="21"/>
                <w:lang w:val="en-US" w:eastAsia="zh-CN" w:bidi="ar-SA"/>
              </w:rPr>
              <w:t>本项目情况</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b/>
                <w:bCs/>
                <w:color w:val="auto"/>
                <w:sz w:val="21"/>
                <w:szCs w:val="21"/>
                <w:lang w:val="en-US" w:eastAsia="zh-CN" w:bidi="ar-SA"/>
              </w:rPr>
              <w:t>相符性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建设不符合全国和省级港口布局规划以及港口总体规划的码头项目。对不符合港口总体规划的新建、改建和扩建的码头工程(含舾装码头工程)及其同时建设的配套设施、防波堤、锚地、护岸等工程，投资主管部门不得审批或核准。码头工程建设项目需要使用港口岸线的，项目单位应当按照国省港口岸线使用的管理规定办理港口岸线使用手续。未取得岸线使用批准文件或者岸线使用意见的，不得开工建设。禁止建设不符合《长江干线过江通道布局规划(2020-2035年)》的过长江通道项目</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本项目不涉及码头建设项目和过长江通道项目</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在自然保护区核心区、缓冲区的岸线和河段范围内投资建设以下旅游和生产经营项目：(一)高尔夫球场开发、房地产开发、索道建设、会所建设等项目；(二)光伏发电、风力发电、火力发电建设项目；(三)社会资金进行商业性探矿勘查，以及不属于国家紧缺矿种资源的基础地质调查和矿产远景调查等公益性工作的设施建设；(四)野生动物驯养繁殖、展览基地建设项目；(五)污染环境、破坏自然资源或自然景观的建设设施；(六)对自然保护区主要保护对象产生重大影响、改变自然生态系统完整性、原真性、破坏自然景观的设施；(七)其他不符合自然保护区主体功能定位和国家禁止的设施</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本项目位于湖南岳阳</w:t>
            </w:r>
            <w:r>
              <w:rPr>
                <w:rFonts w:hint="eastAsia" w:ascii="Times New Roman" w:hAnsi="Times New Roman" w:eastAsia="宋体" w:cs="Times New Roman"/>
                <w:color w:val="auto"/>
                <w:sz w:val="21"/>
                <w:szCs w:val="21"/>
                <w:lang w:val="en-US" w:eastAsia="zh-CN" w:bidi="ar-SA"/>
              </w:rPr>
              <w:t>市岳阳县新墙镇桃源片</w:t>
            </w:r>
            <w:r>
              <w:rPr>
                <w:rFonts w:hint="default" w:ascii="Times New Roman" w:hAnsi="Times New Roman" w:eastAsia="宋体" w:cs="Times New Roman"/>
                <w:color w:val="auto"/>
                <w:sz w:val="21"/>
                <w:szCs w:val="21"/>
                <w:lang w:val="en-US" w:eastAsia="zh-CN" w:bidi="ar-SA"/>
              </w:rPr>
              <w:t>，不属于自然保护区及风景名胜区内</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机场、铁路、公路、水利、围堰等公益性基础设施的选址选线应多方案优化比选，尽量避让相关自然保护区域、野生动物迁徙洄游通道；无法避让的，应当采取修建野生动物通道、过鱼设施等措施，消除或者减少对野生动物的不利影响。</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本项目不属于机场、铁路、公路、水利、围堰等公益性基础设施建设，且不位于自然保护区内</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禁止违反风景名胜区规划，在风景名胜区内设立各类开发区和在核心景区内建设宾馆、招待所、培训中心、疗养院以及与风景名胜资源保护无关的其他建筑物；已经建设的，应当按照风景名胜区规划，逐步迁出</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本项目位于湖南岳阳</w:t>
            </w:r>
            <w:r>
              <w:rPr>
                <w:rFonts w:hint="eastAsia" w:ascii="Times New Roman" w:hAnsi="Times New Roman" w:eastAsia="宋体" w:cs="Times New Roman"/>
                <w:color w:val="auto"/>
                <w:sz w:val="21"/>
                <w:szCs w:val="21"/>
                <w:lang w:val="en-US" w:eastAsia="zh-CN" w:bidi="ar-SA"/>
              </w:rPr>
              <w:t>市岳阳县新墙镇桃源片</w:t>
            </w:r>
            <w:r>
              <w:rPr>
                <w:rFonts w:hint="default" w:ascii="Times New Roman" w:hAnsi="Times New Roman" w:eastAsia="宋体" w:cs="Times New Roman"/>
                <w:color w:val="auto"/>
                <w:sz w:val="21"/>
                <w:szCs w:val="21"/>
                <w:lang w:val="en-US" w:eastAsia="zh-CN" w:bidi="ar-SA"/>
              </w:rPr>
              <w:t>，不位于风景名胜区内</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饮用水水源一级保护区内禁止新建、改建、扩建与供水设施和保护水源无关的建设项目，以及网箱养殖、畜禽养殖、旅游等可能污染饮用水水体的投资建设项目；禁止向水域排放污水，已设置的排污口必须拆除；不得设置与供水需要无关的码头，禁止停靠船舶；禁止堆置和存放工业废渣、城市垃圾、粪便和其它废弃物；禁止设置油库；禁止使用含磷洗涤用品</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本项目位于湖南岳阳</w:t>
            </w:r>
            <w:r>
              <w:rPr>
                <w:rFonts w:hint="eastAsia" w:ascii="Times New Roman" w:hAnsi="Times New Roman" w:eastAsia="宋体" w:cs="Times New Roman"/>
                <w:color w:val="auto"/>
                <w:sz w:val="21"/>
                <w:szCs w:val="21"/>
                <w:lang w:val="en-US" w:eastAsia="zh-CN" w:bidi="ar-SA"/>
              </w:rPr>
              <w:t>市岳阳县新墙镇桃源片</w:t>
            </w:r>
            <w:r>
              <w:rPr>
                <w:rFonts w:hint="default" w:ascii="Times New Roman" w:hAnsi="Times New Roman" w:eastAsia="宋体" w:cs="Times New Roman"/>
                <w:color w:val="auto"/>
                <w:sz w:val="21"/>
                <w:szCs w:val="21"/>
                <w:lang w:val="en-US" w:eastAsia="zh-CN" w:bidi="ar-SA"/>
              </w:rPr>
              <w:t>，不属于饮用水水源保护区内</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饮用水水源二级保护区内禁止新建、改建、扩建向水体排放污染物的投资建设项目。原有排污口依法拆除或关闭。禁止设立装卸垃圾、粪便、油类和有毒物品的码头。</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本项目位于湖南岳阳</w:t>
            </w:r>
            <w:r>
              <w:rPr>
                <w:rFonts w:hint="eastAsia" w:ascii="Times New Roman" w:hAnsi="Times New Roman" w:eastAsia="宋体" w:cs="Times New Roman"/>
                <w:color w:val="auto"/>
                <w:sz w:val="21"/>
                <w:szCs w:val="21"/>
                <w:lang w:val="en-US" w:eastAsia="zh-CN" w:bidi="ar-SA"/>
              </w:rPr>
              <w:t>市岳阳县新墙镇桃源片</w:t>
            </w:r>
            <w:r>
              <w:rPr>
                <w:rFonts w:hint="default" w:ascii="Times New Roman" w:hAnsi="Times New Roman" w:eastAsia="宋体" w:cs="Times New Roman"/>
                <w:color w:val="auto"/>
                <w:sz w:val="21"/>
                <w:szCs w:val="21"/>
                <w:lang w:val="en-US" w:eastAsia="zh-CN" w:bidi="ar-SA"/>
              </w:rPr>
              <w:t>，不涉及饮用水水源二级保护区</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禁止在水产种质资源保护区的岸线和河段范围内新建排污口、实施非法围垦河道和围湖造田造地等投资建设项目</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本项目不涉及水产种质资源保护区的岸线和河段</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除《中华人民共和国防洪法》规定的紧急防汛期采取的紧急措施外，禁止在国家湿地公园的岸线和河段范围内挖沙、采矿，以及以下不符合主体功能定位的行为和活动：(一)开(围)垦、填埋或者排干湿地(二)截断湿地水源。(三)倾倒有毒有害物质、废弃物、垃圾。(四)从事房地产、度假村、高尔夫球场、风力发电、光伏发电等任何不符合主体功能定位的建设项目和开发活动。(五)破坏野生动物栖息地和迁徙通道、鱼类洄游通道，滥采滥捕野生动植物。(六)引入外来物种。(七)擅自放牧、捕捞、取土、取水、排污、放生。(八)其他破坏湿地及其生态功能的活动</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本项目湖南岳阳</w:t>
            </w:r>
            <w:r>
              <w:rPr>
                <w:rFonts w:hint="eastAsia" w:ascii="Times New Roman" w:hAnsi="Times New Roman" w:eastAsia="宋体" w:cs="Times New Roman"/>
                <w:color w:val="auto"/>
                <w:sz w:val="21"/>
                <w:szCs w:val="21"/>
                <w:lang w:val="en-US" w:eastAsia="zh-CN" w:bidi="ar-SA"/>
              </w:rPr>
              <w:t>市岳阳县新墙镇桃源片</w:t>
            </w:r>
            <w:r>
              <w:rPr>
                <w:rFonts w:hint="default" w:ascii="Times New Roman" w:hAnsi="Times New Roman" w:eastAsia="宋体" w:cs="Times New Roman"/>
                <w:color w:val="auto"/>
                <w:sz w:val="21"/>
                <w:szCs w:val="21"/>
                <w:lang w:val="en-US" w:eastAsia="zh-CN" w:bidi="ar-SA"/>
              </w:rPr>
              <w:t>，不位于国家湿地公园的岸线和河段范围内</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填湖造地、围湖造田及非法围垦河道，禁止非法建设矮围网围、填埋湿地等侵占河湖水域或者违法利用、占用河湖岸线的行为</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本项目位于湖南岳阳</w:t>
            </w:r>
            <w:r>
              <w:rPr>
                <w:rFonts w:hint="eastAsia" w:ascii="Times New Roman" w:hAnsi="Times New Roman" w:eastAsia="宋体" w:cs="Times New Roman"/>
                <w:color w:val="auto"/>
                <w:sz w:val="21"/>
                <w:szCs w:val="21"/>
                <w:lang w:val="en-US" w:eastAsia="zh-CN" w:bidi="ar-SA"/>
              </w:rPr>
              <w:t>市岳阳县新墙镇桃源片</w:t>
            </w:r>
            <w:r>
              <w:rPr>
                <w:rFonts w:hint="default" w:ascii="Times New Roman" w:hAnsi="Times New Roman" w:eastAsia="宋体" w:cs="Times New Roman"/>
                <w:color w:val="auto"/>
                <w:sz w:val="21"/>
                <w:szCs w:val="21"/>
                <w:lang w:val="en-US" w:eastAsia="zh-CN" w:bidi="ar-SA"/>
              </w:rPr>
              <w:t>，不涉及长江流域河湖岸线，不涉及所述禁止行为</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禁止在《全国重要江河湖泊水功能区划》划定的河段及湖泊保护区、保留区内投资建设不利于水资源及自然生态保护的项目。</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本项目不位于《全国重要江河湖泊水功能区划》划定的河段及湖泊保护区、保留区内</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禁止未经许可在长江干支流及湖泊新设、改设或扩大排污口</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本项目位于湖南岳阳</w:t>
            </w:r>
            <w:r>
              <w:rPr>
                <w:rFonts w:hint="eastAsia" w:ascii="Times New Roman" w:hAnsi="Times New Roman" w:eastAsia="宋体" w:cs="Times New Roman"/>
                <w:color w:val="auto"/>
                <w:sz w:val="21"/>
                <w:szCs w:val="21"/>
                <w:lang w:val="en-US" w:eastAsia="zh-CN" w:bidi="ar-SA"/>
              </w:rPr>
              <w:t>市岳阳县新墙镇桃源片</w:t>
            </w:r>
            <w:r>
              <w:rPr>
                <w:rFonts w:hint="default" w:ascii="Times New Roman" w:hAnsi="Times New Roman" w:eastAsia="宋体" w:cs="Times New Roman"/>
                <w:color w:val="auto"/>
                <w:sz w:val="21"/>
                <w:szCs w:val="21"/>
                <w:lang w:val="en-US" w:eastAsia="zh-CN" w:bidi="ar-SA"/>
              </w:rPr>
              <w:t>，不涉及在长江干支流及湖泊新设、改设或扩大排污口</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在洞庭湖、湘江、资江、沅江、澧水干流和45个水生生物保护区开展生产性捕捞。在相关自然保护区域和禁猎(渔)区、禁猎(渔)期内，禁止猎捕以及其他妨碍野生动物生息繁衍的活动，但法律法规另有规定的除外</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本项目不涉及捕捞</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在长江湖南段和洞庭湖、湘江、资江、沅江、澧水干流岸线一公里范围内新建、扩建化工园区和化工项目。禁止在长江湖南段岸线三公里范围内和湘江、资江、沅江、澧水岸线一公里范围内新建、改建、扩建尾矿库、冶炼渣库和磷石膏库，以提升安全、生态环境保护水平为目的的改建除外</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Style w:val="59"/>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本项目属于</w:t>
            </w:r>
            <w:r>
              <w:rPr>
                <w:rFonts w:hint="eastAsia" w:ascii="Times New Roman" w:hAnsi="Times New Roman" w:eastAsia="宋体" w:cs="Times New Roman"/>
                <w:color w:val="auto"/>
                <w:sz w:val="21"/>
                <w:szCs w:val="21"/>
                <w:lang w:val="en-US" w:eastAsia="zh-CN" w:bidi="ar-SA"/>
              </w:rPr>
              <w:t>畜禽养殖</w:t>
            </w:r>
            <w:r>
              <w:rPr>
                <w:rFonts w:hint="default" w:ascii="Times New Roman" w:hAnsi="Times New Roman" w:eastAsia="宋体" w:cs="Times New Roman"/>
                <w:color w:val="auto"/>
                <w:sz w:val="21"/>
                <w:szCs w:val="21"/>
                <w:lang w:val="en-US" w:eastAsia="zh-CN" w:bidi="ar-SA"/>
              </w:rPr>
              <w:t>项目，位于湖南岳阳</w:t>
            </w:r>
            <w:r>
              <w:rPr>
                <w:rFonts w:hint="eastAsia" w:ascii="Times New Roman" w:hAnsi="Times New Roman" w:eastAsia="宋体" w:cs="Times New Roman"/>
                <w:color w:val="auto"/>
                <w:sz w:val="21"/>
                <w:szCs w:val="21"/>
                <w:lang w:val="en-US" w:eastAsia="zh-CN" w:bidi="ar-SA"/>
              </w:rPr>
              <w:t>县新墙镇</w:t>
            </w:r>
            <w:r>
              <w:rPr>
                <w:rFonts w:hint="default" w:ascii="Times New Roman" w:hAnsi="Times New Roman" w:eastAsia="宋体" w:cs="Times New Roman"/>
                <w:color w:val="auto"/>
                <w:sz w:val="21"/>
                <w:szCs w:val="21"/>
                <w:lang w:val="en-US" w:eastAsia="zh-CN" w:bidi="ar-SA"/>
              </w:rPr>
              <w:t>，距离长江干流约</w:t>
            </w:r>
            <w:r>
              <w:rPr>
                <w:rFonts w:hint="eastAsia" w:ascii="Times New Roman" w:hAnsi="Times New Roman" w:eastAsia="宋体" w:cs="Times New Roman"/>
                <w:color w:val="auto"/>
                <w:sz w:val="21"/>
                <w:szCs w:val="21"/>
                <w:lang w:val="en-US" w:eastAsia="zh-CN" w:bidi="ar-SA"/>
              </w:rPr>
              <w:t>17</w:t>
            </w:r>
            <w:r>
              <w:rPr>
                <w:rFonts w:hint="default" w:ascii="Times New Roman" w:hAnsi="Times New Roman" w:eastAsia="宋体" w:cs="Times New Roman"/>
                <w:color w:val="auto"/>
                <w:sz w:val="21"/>
                <w:szCs w:val="21"/>
                <w:lang w:val="en-US" w:eastAsia="zh-CN" w:bidi="ar-SA"/>
              </w:rPr>
              <w:t>km</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禁止在合规园区外新建、扩建钢铁、石化、化工、焦化、建材、有色、制浆造纸等高污染项目。高污染项目严格按照生态环境部《环境保护综合名录(2021年版)》有关要求执行</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w:t>
            </w:r>
            <w:r>
              <w:rPr>
                <w:rFonts w:hint="eastAsia" w:ascii="Times New Roman" w:hAnsi="Times New Roman" w:eastAsia="宋体" w:cs="Times New Roman"/>
                <w:color w:val="auto"/>
                <w:sz w:val="21"/>
                <w:szCs w:val="21"/>
                <w:lang w:val="en-US" w:eastAsia="zh-CN" w:bidi="ar-SA"/>
              </w:rPr>
              <w:t>不属于</w:t>
            </w:r>
            <w:r>
              <w:rPr>
                <w:rFonts w:hint="default" w:ascii="Times New Roman" w:hAnsi="Times New Roman" w:eastAsia="宋体" w:cs="Times New Roman"/>
                <w:color w:val="auto"/>
                <w:sz w:val="21"/>
                <w:szCs w:val="21"/>
                <w:lang w:val="en-US" w:eastAsia="zh-CN" w:bidi="ar-SA"/>
              </w:rPr>
              <w:t>高污染项目</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禁止新建、扩建不符合国家石化、现代煤化工等产业布局规划的项目。未通过认定的化工园区，不得新建、改扩建化工项目(安全、环保、节能和智能化改造项目除外)</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本项目为</w:t>
            </w:r>
            <w:r>
              <w:rPr>
                <w:rFonts w:hint="eastAsia" w:ascii="Times New Roman" w:hAnsi="Times New Roman" w:eastAsia="宋体" w:cs="Times New Roman"/>
                <w:color w:val="auto"/>
                <w:sz w:val="21"/>
                <w:szCs w:val="21"/>
                <w:lang w:val="en-US" w:eastAsia="zh-CN" w:bidi="ar-SA"/>
              </w:rPr>
              <w:t>畜禽养殖项目</w:t>
            </w:r>
            <w:r>
              <w:rPr>
                <w:rFonts w:hint="default" w:ascii="Times New Roman" w:hAnsi="Times New Roman" w:eastAsia="宋体" w:cs="Times New Roman"/>
                <w:color w:val="auto"/>
                <w:sz w:val="21"/>
                <w:szCs w:val="21"/>
                <w:lang w:val="en-US" w:eastAsia="zh-CN" w:bidi="ar-SA"/>
              </w:rPr>
              <w:t>，不属于石化、现代煤化工项目。</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2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禁止新建、扩建法律法规和相关政策明令禁止的落后产能项目；对不符合要求的落后产能存量项目依法依规退出。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求的高耗能高排放项目</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本项目主要产品不属于法律法规和相关政策明令禁止的落后产能项目，不属于不符合国家产能置换要求的严重过剩产能行业，不属于高耗能高排放项目</w:t>
            </w:r>
            <w:r>
              <w:rPr>
                <w:rFonts w:hint="eastAsia" w:ascii="Times New Roman" w:hAnsi="Times New Roman" w:eastAsia="宋体" w:cs="Times New Roman"/>
                <w:color w:val="auto"/>
                <w:sz w:val="21"/>
                <w:szCs w:val="21"/>
                <w:lang w:val="en-US" w:eastAsia="zh-CN" w:bidi="ar-SA"/>
              </w:rPr>
              <w:t>。</w:t>
            </w:r>
          </w:p>
        </w:tc>
        <w:tc>
          <w:tcPr>
            <w:tcW w:w="9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符合</w:t>
            </w:r>
          </w:p>
        </w:tc>
      </w:tr>
    </w:tbl>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9" w:name="_Toc8426"/>
      <w:bookmarkStart w:id="40" w:name="_Toc14501"/>
      <w:bookmarkStart w:id="41" w:name="_Toc31667"/>
      <w:r>
        <w:rPr>
          <w:rFonts w:hint="eastAsia" w:ascii="Times New Roman" w:hAnsi="Times New Roman" w:eastAsia="宋体"/>
          <w:color w:val="auto"/>
          <w:kern w:val="2"/>
          <w:sz w:val="28"/>
          <w:szCs w:val="28"/>
        </w:rPr>
        <w:t>1.4关注的主要环境问题及环境影响</w:t>
      </w:r>
      <w:bookmarkEnd w:id="39"/>
      <w:bookmarkEnd w:id="40"/>
      <w:bookmarkEnd w:id="41"/>
    </w:p>
    <w:p>
      <w:pPr>
        <w:spacing w:line="360" w:lineRule="auto"/>
        <w:ind w:firstLine="484" w:firstLineChars="200"/>
        <w:rPr>
          <w:rFonts w:ascii="Times New Roman" w:eastAsia="宋体"/>
          <w:color w:val="auto"/>
          <w:szCs w:val="24"/>
        </w:rPr>
      </w:pPr>
      <w:r>
        <w:rPr>
          <w:rFonts w:ascii="Times New Roman" w:eastAsia="宋体"/>
          <w:color w:val="auto"/>
          <w:szCs w:val="24"/>
        </w:rPr>
        <w:t>本次评价主要关注的环境问题是项目投入营运后主要污染物的产生、控制。</w:t>
      </w:r>
    </w:p>
    <w:p>
      <w:pPr>
        <w:pStyle w:val="231"/>
        <w:numPr>
          <w:ilvl w:val="0"/>
          <w:numId w:val="5"/>
        </w:numPr>
        <w:spacing w:after="0"/>
        <w:ind w:left="0" w:leftChars="0" w:firstLine="480"/>
        <w:rPr>
          <w:bCs/>
          <w:color w:val="auto"/>
          <w:szCs w:val="24"/>
        </w:rPr>
      </w:pPr>
      <w:r>
        <w:rPr>
          <w:color w:val="auto"/>
          <w:szCs w:val="24"/>
        </w:rPr>
        <w:t>废气：项目</w:t>
      </w:r>
      <w:r>
        <w:rPr>
          <w:color w:val="auto"/>
          <w:kern w:val="2"/>
          <w:szCs w:val="24"/>
        </w:rPr>
        <w:t>鸡舍恶臭、</w:t>
      </w:r>
      <w:r>
        <w:rPr>
          <w:rFonts w:hint="eastAsia"/>
          <w:color w:val="auto"/>
          <w:kern w:val="2"/>
          <w:szCs w:val="24"/>
        </w:rPr>
        <w:t>污水沉淀池</w:t>
      </w:r>
      <w:r>
        <w:rPr>
          <w:color w:val="auto"/>
          <w:kern w:val="2"/>
          <w:szCs w:val="24"/>
        </w:rPr>
        <w:t>恶臭、生物质锅炉烟气等对周边环境空气产生影响，</w:t>
      </w:r>
      <w:r>
        <w:rPr>
          <w:color w:val="auto"/>
          <w:szCs w:val="24"/>
        </w:rPr>
        <w:t>重点分析废气源强、治理措施的可行性及对周边大气环境的影响</w:t>
      </w:r>
      <w:r>
        <w:rPr>
          <w:bCs/>
          <w:color w:val="auto"/>
          <w:szCs w:val="24"/>
        </w:rPr>
        <w:t>。</w:t>
      </w:r>
    </w:p>
    <w:p>
      <w:pPr>
        <w:numPr>
          <w:ilvl w:val="0"/>
          <w:numId w:val="5"/>
        </w:numPr>
        <w:spacing w:line="360" w:lineRule="auto"/>
        <w:ind w:firstLine="484" w:firstLineChars="200"/>
        <w:rPr>
          <w:rFonts w:ascii="Times New Roman" w:eastAsia="宋体"/>
          <w:color w:val="auto"/>
          <w:szCs w:val="24"/>
        </w:rPr>
      </w:pPr>
      <w:r>
        <w:rPr>
          <w:rFonts w:ascii="Times New Roman" w:eastAsia="宋体"/>
          <w:color w:val="auto"/>
          <w:szCs w:val="24"/>
        </w:rPr>
        <w:t>废水：项目养殖废水、锅炉排水及生活污水等对水环境产生影响，废水污染因子为</w:t>
      </w:r>
      <w:r>
        <w:rPr>
          <w:rFonts w:ascii="Times New Roman" w:eastAsia="宋体"/>
          <w:color w:val="auto"/>
          <w:position w:val="2"/>
          <w:szCs w:val="24"/>
        </w:rPr>
        <w:t>CODcr、BOD</w:t>
      </w:r>
      <w:r>
        <w:rPr>
          <w:rFonts w:ascii="Times New Roman" w:eastAsia="宋体"/>
          <w:color w:val="auto"/>
          <w:position w:val="2"/>
          <w:szCs w:val="24"/>
          <w:vertAlign w:val="subscript"/>
        </w:rPr>
        <w:t>5</w:t>
      </w:r>
      <w:r>
        <w:rPr>
          <w:rFonts w:ascii="Times New Roman" w:eastAsia="宋体"/>
          <w:color w:val="auto"/>
          <w:position w:val="2"/>
          <w:szCs w:val="24"/>
        </w:rPr>
        <w:t>、NH</w:t>
      </w:r>
      <w:r>
        <w:rPr>
          <w:rFonts w:ascii="Times New Roman" w:eastAsia="宋体"/>
          <w:color w:val="auto"/>
          <w:position w:val="2"/>
          <w:szCs w:val="24"/>
          <w:vertAlign w:val="subscript"/>
        </w:rPr>
        <w:t>3</w:t>
      </w:r>
      <w:r>
        <w:rPr>
          <w:rFonts w:ascii="Times New Roman" w:eastAsia="宋体"/>
          <w:color w:val="auto"/>
          <w:position w:val="2"/>
          <w:szCs w:val="24"/>
        </w:rPr>
        <w:t>-N、SS、总磷、总氮、蛔虫卵、</w:t>
      </w:r>
      <w:r>
        <w:rPr>
          <w:rFonts w:hint="eastAsia" w:ascii="Times New Roman" w:eastAsia="宋体"/>
          <w:color w:val="auto"/>
          <w:position w:val="2"/>
          <w:szCs w:val="24"/>
        </w:rPr>
        <w:t>粪大肠菌群</w:t>
      </w:r>
      <w:r>
        <w:rPr>
          <w:rFonts w:ascii="Times New Roman" w:eastAsia="宋体"/>
          <w:color w:val="auto"/>
          <w:position w:val="2"/>
          <w:szCs w:val="24"/>
        </w:rPr>
        <w:t>，重点分析</w:t>
      </w:r>
      <w:r>
        <w:rPr>
          <w:rFonts w:hint="eastAsia" w:ascii="Times New Roman" w:eastAsia="宋体"/>
          <w:color w:val="auto"/>
          <w:position w:val="2"/>
          <w:szCs w:val="24"/>
        </w:rPr>
        <w:t>依托新华养殖场出水处理设施的依托</w:t>
      </w:r>
      <w:r>
        <w:rPr>
          <w:rFonts w:ascii="Times New Roman" w:eastAsia="宋体"/>
          <w:color w:val="auto"/>
          <w:position w:val="2"/>
          <w:szCs w:val="24"/>
        </w:rPr>
        <w:t>可行性。</w:t>
      </w:r>
    </w:p>
    <w:p>
      <w:pPr>
        <w:spacing w:line="360" w:lineRule="auto"/>
        <w:ind w:firstLine="484" w:firstLineChars="200"/>
        <w:rPr>
          <w:rFonts w:ascii="Times New Roman" w:eastAsia="宋体"/>
          <w:color w:val="auto"/>
          <w:szCs w:val="24"/>
        </w:rPr>
      </w:pPr>
      <w:r>
        <w:rPr>
          <w:rFonts w:ascii="Times New Roman" w:eastAsia="宋体"/>
          <w:color w:val="auto"/>
          <w:szCs w:val="24"/>
        </w:rPr>
        <w:t>（3）噪声：项目机械设备噪声及鸡叫声对周边环境的影响，重点分析噪声控制措施的可行性及厂界的达标可行性。</w:t>
      </w:r>
    </w:p>
    <w:p>
      <w:pPr>
        <w:spacing w:line="360" w:lineRule="auto"/>
        <w:ind w:firstLine="484" w:firstLineChars="200"/>
        <w:rPr>
          <w:rFonts w:ascii="Times New Roman" w:eastAsia="宋体"/>
          <w:color w:val="auto"/>
          <w:szCs w:val="24"/>
        </w:rPr>
      </w:pPr>
      <w:r>
        <w:rPr>
          <w:rFonts w:ascii="Times New Roman" w:eastAsia="宋体"/>
          <w:color w:val="auto"/>
          <w:szCs w:val="24"/>
        </w:rPr>
        <w:t>（4）固废：项目产生的鸡粪、病死鸡、医疗废物、锅炉灰渣</w:t>
      </w:r>
      <w:r>
        <w:rPr>
          <w:rFonts w:hint="eastAsia" w:ascii="Times New Roman" w:eastAsia="宋体"/>
          <w:color w:val="auto"/>
          <w:szCs w:val="24"/>
        </w:rPr>
        <w:t>、废布袋及除尘灰、物料包装袋</w:t>
      </w:r>
      <w:r>
        <w:rPr>
          <w:rFonts w:ascii="Times New Roman" w:eastAsia="宋体"/>
          <w:color w:val="auto"/>
          <w:szCs w:val="24"/>
        </w:rPr>
        <w:t>及生活垃圾等对周边环境的影响，重点分析固废的产生情况、暂存设施设置的规范要求及处置是否符合环保要求。</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42" w:name="_Toc1298"/>
      <w:bookmarkStart w:id="43" w:name="_Toc1660"/>
      <w:bookmarkStart w:id="44" w:name="_Toc26773"/>
      <w:bookmarkStart w:id="45" w:name="_Toc19524"/>
      <w:r>
        <w:rPr>
          <w:rFonts w:ascii="Times New Roman" w:hAnsi="Times New Roman" w:eastAsia="宋体"/>
          <w:color w:val="auto"/>
          <w:kern w:val="2"/>
          <w:sz w:val="28"/>
          <w:szCs w:val="28"/>
        </w:rPr>
        <w:t>1.5环境影响报告书的主要结论</w:t>
      </w:r>
      <w:bookmarkEnd w:id="42"/>
      <w:bookmarkEnd w:id="43"/>
      <w:bookmarkEnd w:id="44"/>
      <w:bookmarkEnd w:id="45"/>
    </w:p>
    <w:p>
      <w:pPr>
        <w:spacing w:line="360" w:lineRule="auto"/>
        <w:ind w:firstLine="484" w:firstLineChars="200"/>
        <w:rPr>
          <w:rFonts w:ascii="Times New Roman" w:eastAsia="宋体"/>
          <w:color w:val="auto"/>
          <w:kern w:val="2"/>
          <w:szCs w:val="24"/>
        </w:rPr>
      </w:pPr>
      <w:r>
        <w:rPr>
          <w:rFonts w:ascii="Times New Roman" w:eastAsia="宋体"/>
          <w:color w:val="auto"/>
          <w:kern w:val="2"/>
          <w:szCs w:val="24"/>
        </w:rPr>
        <w:t>本项目属于《产业结构调整指导目录（2019年本）》中“鼓励类”项目，符合国家产业政策。项目的实施符合国家和地方的相关规划要求，有利于当地产业结构调整和社会经济发展。项目采取相应的污染防治措施，污染物可达标排放且对环境影响较小，满足环境功能区划要求，环境风险可控，公众调查结果显示公众对本项目的建设无人持反对意见。因此，在认真落实工程设计和本报告书提出的各项污染防治措施，严格执行“三同时”制度，强化环境管理的前提下，从环境保护角度来看，该项目的建设是可行的。</w:t>
      </w:r>
    </w:p>
    <w:p>
      <w:pPr>
        <w:pStyle w:val="2"/>
        <w:numPr>
          <w:ilvl w:val="0"/>
          <w:numId w:val="0"/>
        </w:numPr>
        <w:tabs>
          <w:tab w:val="clear" w:pos="432"/>
        </w:tabs>
        <w:spacing w:before="0" w:after="0" w:line="360" w:lineRule="auto"/>
        <w:rPr>
          <w:rFonts w:hint="eastAsia" w:ascii="Times New Roman" w:eastAsia="宋体"/>
          <w:color w:val="auto"/>
          <w:sz w:val="36"/>
          <w:szCs w:val="36"/>
        </w:rPr>
        <w:sectPr>
          <w:pgSz w:w="11906" w:h="16838"/>
          <w:pgMar w:top="1440" w:right="1803" w:bottom="1440" w:left="1803" w:header="850" w:footer="992" w:gutter="0"/>
          <w:pgNumType w:fmt="decimal"/>
          <w:cols w:space="720" w:num="1"/>
          <w:docGrid w:type="linesAndChars" w:linePitch="319" w:charSpace="577"/>
        </w:sectPr>
      </w:pPr>
    </w:p>
    <w:p>
      <w:pPr>
        <w:pStyle w:val="2"/>
        <w:numPr>
          <w:ilvl w:val="0"/>
          <w:numId w:val="0"/>
        </w:numPr>
        <w:tabs>
          <w:tab w:val="clear" w:pos="432"/>
        </w:tabs>
        <w:spacing w:before="0" w:after="0" w:line="360" w:lineRule="auto"/>
        <w:rPr>
          <w:rFonts w:ascii="Times New Roman" w:eastAsia="宋体"/>
          <w:color w:val="auto"/>
          <w:sz w:val="36"/>
          <w:szCs w:val="36"/>
        </w:rPr>
      </w:pPr>
      <w:bookmarkStart w:id="46" w:name="_Toc33"/>
      <w:r>
        <w:rPr>
          <w:rFonts w:hint="eastAsia" w:ascii="Times New Roman" w:eastAsia="宋体"/>
          <w:color w:val="auto"/>
          <w:sz w:val="36"/>
          <w:szCs w:val="36"/>
        </w:rPr>
        <w:t>2</w:t>
      </w:r>
      <w:r>
        <w:rPr>
          <w:rFonts w:ascii="Times New Roman" w:eastAsia="宋体"/>
          <w:color w:val="auto"/>
          <w:sz w:val="36"/>
          <w:szCs w:val="36"/>
        </w:rPr>
        <w:t>总则</w:t>
      </w:r>
      <w:bookmarkEnd w:id="22"/>
      <w:bookmarkEnd w:id="23"/>
      <w:bookmarkEnd w:id="46"/>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47" w:name="_Toc30339"/>
      <w:bookmarkStart w:id="48" w:name="_Toc31914"/>
      <w:bookmarkStart w:id="49" w:name="_Toc397698010"/>
      <w:bookmarkStart w:id="50" w:name="_Toc1795"/>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.1评价目的及原则</w:t>
      </w:r>
      <w:bookmarkEnd w:id="47"/>
      <w:bookmarkEnd w:id="48"/>
      <w:bookmarkEnd w:id="49"/>
      <w:bookmarkEnd w:id="50"/>
    </w:p>
    <w:p>
      <w:pPr>
        <w:pStyle w:val="4"/>
        <w:spacing w:before="0" w:after="0" w:line="360" w:lineRule="auto"/>
        <w:rPr>
          <w:rFonts w:ascii="Times New Roman" w:eastAsia="宋体"/>
          <w:b/>
          <w:bCs/>
          <w:color w:val="auto"/>
          <w:kern w:val="2"/>
          <w:sz w:val="24"/>
        </w:rPr>
      </w:pPr>
      <w:bookmarkStart w:id="51" w:name="_Toc397698011"/>
      <w:r>
        <w:rPr>
          <w:rFonts w:hint="eastAsia" w:ascii="Times New Roman" w:eastAsia="宋体"/>
          <w:b/>
          <w:bCs/>
          <w:color w:val="auto"/>
          <w:kern w:val="2"/>
          <w:sz w:val="24"/>
        </w:rPr>
        <w:t>2</w:t>
      </w:r>
      <w:r>
        <w:rPr>
          <w:rFonts w:ascii="Times New Roman" w:eastAsia="宋体"/>
          <w:b/>
          <w:bCs/>
          <w:color w:val="auto"/>
          <w:kern w:val="2"/>
          <w:sz w:val="24"/>
        </w:rPr>
        <w:t>.1.1评价目的</w:t>
      </w:r>
      <w:bookmarkEnd w:id="51"/>
    </w:p>
    <w:p>
      <w:pPr>
        <w:autoSpaceDE w:val="0"/>
        <w:autoSpaceDN w:val="0"/>
        <w:adjustRightInd w:val="0"/>
        <w:snapToGrid w:val="0"/>
        <w:spacing w:line="360" w:lineRule="auto"/>
        <w:ind w:firstLine="484" w:firstLineChars="200"/>
        <w:rPr>
          <w:rFonts w:ascii="Times New Roman"/>
          <w:color w:val="auto"/>
          <w:lang w:val="zh-CN"/>
        </w:rPr>
      </w:pPr>
      <w:r>
        <w:rPr>
          <w:rFonts w:ascii="Times New Roman" w:eastAsia="宋体"/>
          <w:color w:val="auto"/>
          <w:lang w:val="zh-CN"/>
        </w:rPr>
        <w:t>通过对项目生产工艺、污染因素及治理措施的分析，确定本项目主要污染物的产生环节、产生量及工程应采取的污染防治措施；在环境现状监测的基础上，分析本项目对环境的影响范围和程度，论证项目建设与国家产业政策的符合性及厂址选择的环境可行性，提出污染物总量控制措施及减轻或防治污染的建议，为决策部门提供管理与决策的科学依据。</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.1.2评价原则</w:t>
      </w:r>
      <w:bookmarkEnd w:id="24"/>
    </w:p>
    <w:p>
      <w:pPr>
        <w:spacing w:line="360" w:lineRule="auto"/>
        <w:ind w:firstLine="484" w:firstLineChars="200"/>
        <w:rPr>
          <w:rFonts w:ascii="Times New Roman" w:eastAsia="宋体"/>
          <w:color w:val="auto"/>
        </w:rPr>
      </w:pPr>
      <w:r>
        <w:rPr>
          <w:rFonts w:hint="eastAsia" w:ascii="Times New Roman" w:eastAsia="宋体"/>
          <w:color w:val="auto"/>
        </w:rPr>
        <w:t>突出环境影响评价的源头预防作用，坚持保护和改善环境质量</w:t>
      </w:r>
    </w:p>
    <w:p>
      <w:pPr>
        <w:spacing w:line="360" w:lineRule="auto"/>
        <w:ind w:firstLine="484" w:firstLineChars="200"/>
        <w:rPr>
          <w:rFonts w:ascii="Times New Roman" w:eastAsia="宋体"/>
          <w:color w:val="auto"/>
        </w:rPr>
      </w:pPr>
      <w:r>
        <w:rPr>
          <w:rFonts w:hint="eastAsia" w:ascii="Times New Roman" w:eastAsia="宋体"/>
          <w:color w:val="auto"/>
        </w:rPr>
        <w:t>（1）依法评价：贯彻执行我国环境保护相关法律法规、标准、政策和规划等，优化项目建设，服务环境管理。</w:t>
      </w:r>
    </w:p>
    <w:p>
      <w:pPr>
        <w:spacing w:line="360" w:lineRule="auto"/>
        <w:ind w:firstLine="484" w:firstLineChars="200"/>
        <w:rPr>
          <w:rFonts w:ascii="Times New Roman" w:eastAsia="宋体"/>
          <w:color w:val="auto"/>
        </w:rPr>
      </w:pPr>
      <w:r>
        <w:rPr>
          <w:rFonts w:hint="eastAsia" w:ascii="Times New Roman" w:eastAsia="宋体"/>
          <w:color w:val="auto"/>
        </w:rPr>
        <w:t>（2）科学评价：规范环境影响评价方法，科学分析项目建设对环境质量的影响。</w:t>
      </w:r>
    </w:p>
    <w:p>
      <w:pPr>
        <w:spacing w:line="360" w:lineRule="auto"/>
        <w:ind w:firstLine="484" w:firstLineChars="200"/>
        <w:rPr>
          <w:rFonts w:ascii="Times New Roman" w:eastAsia="宋体"/>
          <w:color w:val="auto"/>
        </w:rPr>
      </w:pPr>
      <w:r>
        <w:rPr>
          <w:rFonts w:hint="eastAsia" w:ascii="Times New Roman" w:eastAsia="宋体"/>
          <w:color w:val="auto"/>
        </w:rPr>
        <w:t>（3）根据建设项目的工程内容及其特点，明确与环境要素间的作用效应关系，根据规划环境影响评价结论和审查意见，充分利用符合时效的数据资料及成果，对建设项目主要环境影响予以重点分析和评价。</w:t>
      </w:r>
    </w:p>
    <w:p>
      <w:pPr>
        <w:spacing w:line="360" w:lineRule="auto"/>
        <w:ind w:firstLine="484" w:firstLineChars="200"/>
        <w:rPr>
          <w:rFonts w:ascii="Times New Roman" w:eastAsia="宋体"/>
          <w:color w:val="auto"/>
        </w:rPr>
      </w:pPr>
      <w:r>
        <w:rPr>
          <w:rFonts w:hint="eastAsia" w:ascii="Times New Roman" w:eastAsia="宋体"/>
          <w:color w:val="auto"/>
        </w:rPr>
        <w:t>（4）在确保环评报告质量的前提下，充分利用现有资料。尽量缩短评价周期，满足工程进度的要求。</w:t>
      </w:r>
    </w:p>
    <w:p>
      <w:pPr>
        <w:spacing w:line="360" w:lineRule="auto"/>
        <w:ind w:firstLine="482"/>
        <w:rPr>
          <w:rFonts w:ascii="Times New Roman" w:eastAsia="宋体"/>
          <w:color w:val="auto"/>
        </w:rPr>
      </w:pPr>
      <w:r>
        <w:rPr>
          <w:rFonts w:hint="eastAsia" w:ascii="Times New Roman" w:eastAsia="宋体"/>
          <w:color w:val="auto"/>
        </w:rPr>
        <w:t>（5）评价内容主次分明，重点突出，数据可靠，结论明确</w:t>
      </w:r>
      <w:r>
        <w:rPr>
          <w:rFonts w:ascii="Times New Roman" w:eastAsia="宋体"/>
          <w:color w:val="auto"/>
        </w:rPr>
        <w:t>；</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2" w:name="_Toc20951"/>
      <w:bookmarkStart w:id="53" w:name="_Toc397698013"/>
      <w:bookmarkStart w:id="54" w:name="_Toc16546"/>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.2编制依据</w:t>
      </w:r>
      <w:bookmarkEnd w:id="52"/>
      <w:bookmarkEnd w:id="53"/>
      <w:bookmarkEnd w:id="54"/>
    </w:p>
    <w:p>
      <w:pPr>
        <w:pStyle w:val="4"/>
        <w:spacing w:before="0" w:after="0" w:line="360" w:lineRule="auto"/>
        <w:rPr>
          <w:rFonts w:ascii="Times New Roman" w:eastAsia="宋体"/>
          <w:b/>
          <w:bCs/>
          <w:color w:val="auto"/>
          <w:kern w:val="2"/>
          <w:sz w:val="24"/>
        </w:rPr>
      </w:pPr>
      <w:bookmarkStart w:id="55" w:name="_Toc397698020"/>
      <w:r>
        <w:rPr>
          <w:rFonts w:hint="eastAsia" w:ascii="Times New Roman" w:eastAsia="宋体"/>
          <w:b/>
          <w:bCs/>
          <w:color w:val="auto"/>
          <w:kern w:val="2"/>
          <w:sz w:val="24"/>
        </w:rPr>
        <w:t>2.2</w:t>
      </w:r>
      <w:r>
        <w:rPr>
          <w:rFonts w:ascii="Times New Roman" w:eastAsia="宋体"/>
          <w:b/>
          <w:bCs/>
          <w:color w:val="auto"/>
          <w:kern w:val="2"/>
          <w:sz w:val="24"/>
        </w:rPr>
        <w:t>.1</w:t>
      </w:r>
      <w:r>
        <w:rPr>
          <w:rFonts w:hint="eastAsia" w:ascii="Times New Roman" w:eastAsia="宋体"/>
          <w:b/>
          <w:bCs/>
          <w:color w:val="auto"/>
          <w:kern w:val="2"/>
          <w:sz w:val="24"/>
        </w:rPr>
        <w:t>国家法律、法规</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1</w:t>
      </w:r>
      <w:r>
        <w:rPr>
          <w:rFonts w:hint="eastAsia" w:ascii="Times New Roman" w:eastAsia="宋体"/>
          <w:color w:val="auto"/>
        </w:rPr>
        <w:t>）《中华人民共和国环境保护法》中华人民共和国主席令第九号（</w:t>
      </w:r>
      <w:r>
        <w:rPr>
          <w:rFonts w:ascii="Times New Roman" w:eastAsia="宋体"/>
          <w:color w:val="auto"/>
        </w:rPr>
        <w:t>2015</w:t>
      </w:r>
      <w:r>
        <w:rPr>
          <w:rFonts w:hint="eastAsia" w:ascii="Times New Roman" w:eastAsia="宋体"/>
          <w:color w:val="auto"/>
        </w:rPr>
        <w:t>年</w:t>
      </w:r>
      <w:r>
        <w:rPr>
          <w:rFonts w:ascii="Times New Roman" w:eastAsia="宋体"/>
          <w:color w:val="auto"/>
        </w:rPr>
        <w:t>1</w:t>
      </w:r>
      <w:r>
        <w:rPr>
          <w:rFonts w:hint="eastAsia" w:ascii="Times New Roman" w:eastAsia="宋体"/>
          <w:color w:val="auto"/>
        </w:rPr>
        <w:t>月</w:t>
      </w:r>
      <w:r>
        <w:rPr>
          <w:rFonts w:ascii="Times New Roman" w:eastAsia="宋体"/>
          <w:color w:val="auto"/>
        </w:rPr>
        <w:t>1</w:t>
      </w:r>
      <w:r>
        <w:rPr>
          <w:rFonts w:hint="eastAsia" w:ascii="Times New Roman" w:eastAsia="宋体"/>
          <w:color w:val="auto"/>
        </w:rPr>
        <w:t>日起施行）；</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2</w:t>
      </w:r>
      <w:r>
        <w:rPr>
          <w:rFonts w:hint="eastAsia" w:ascii="Times New Roman" w:eastAsia="宋体"/>
          <w:color w:val="auto"/>
        </w:rPr>
        <w:t>）《中华人民共和国环境影响评价法》，中华人民共和国主席令第四十八号（2018年修订，</w:t>
      </w:r>
      <w:r>
        <w:rPr>
          <w:rFonts w:ascii="Times New Roman" w:eastAsia="宋体"/>
          <w:color w:val="auto"/>
        </w:rPr>
        <w:t>2018</w:t>
      </w:r>
      <w:r>
        <w:rPr>
          <w:rFonts w:hint="eastAsia" w:ascii="Times New Roman" w:eastAsia="宋体"/>
          <w:color w:val="auto"/>
        </w:rPr>
        <w:t>年</w:t>
      </w:r>
      <w:r>
        <w:rPr>
          <w:rFonts w:ascii="Times New Roman" w:eastAsia="宋体"/>
          <w:color w:val="auto"/>
        </w:rPr>
        <w:t>12</w:t>
      </w:r>
      <w:r>
        <w:rPr>
          <w:rFonts w:hint="eastAsia" w:ascii="Times New Roman" w:eastAsia="宋体"/>
          <w:color w:val="auto"/>
        </w:rPr>
        <w:t>月</w:t>
      </w:r>
      <w:r>
        <w:rPr>
          <w:rFonts w:ascii="Times New Roman" w:eastAsia="宋体"/>
          <w:color w:val="auto"/>
        </w:rPr>
        <w:t>29</w:t>
      </w:r>
      <w:r>
        <w:rPr>
          <w:rFonts w:hint="eastAsia" w:ascii="Times New Roman" w:eastAsia="宋体"/>
          <w:color w:val="auto"/>
        </w:rPr>
        <w:t>日实施）；</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3</w:t>
      </w:r>
      <w:r>
        <w:rPr>
          <w:rFonts w:hint="eastAsia" w:ascii="Times New Roman" w:eastAsia="宋体"/>
          <w:color w:val="auto"/>
        </w:rPr>
        <w:t>）《中华人民共和国大气污染防治法》，中华人民共和国主席令第三十一号（</w:t>
      </w:r>
      <w:r>
        <w:rPr>
          <w:rFonts w:ascii="Times New Roman" w:eastAsia="宋体"/>
          <w:color w:val="auto"/>
        </w:rPr>
        <w:t>2016</w:t>
      </w:r>
      <w:r>
        <w:rPr>
          <w:rFonts w:hint="eastAsia" w:ascii="Times New Roman" w:eastAsia="宋体"/>
          <w:color w:val="auto"/>
        </w:rPr>
        <w:t>年</w:t>
      </w:r>
      <w:r>
        <w:rPr>
          <w:rFonts w:ascii="Times New Roman" w:eastAsia="宋体"/>
          <w:color w:val="auto"/>
        </w:rPr>
        <w:t>1</w:t>
      </w:r>
      <w:r>
        <w:rPr>
          <w:rFonts w:hint="eastAsia" w:ascii="Times New Roman" w:eastAsia="宋体"/>
          <w:color w:val="auto"/>
        </w:rPr>
        <w:t>月</w:t>
      </w:r>
      <w:r>
        <w:rPr>
          <w:rFonts w:ascii="Times New Roman" w:eastAsia="宋体"/>
          <w:color w:val="auto"/>
        </w:rPr>
        <w:t>1</w:t>
      </w:r>
      <w:r>
        <w:rPr>
          <w:rFonts w:hint="eastAsia" w:ascii="Times New Roman" w:eastAsia="宋体"/>
          <w:color w:val="auto"/>
        </w:rPr>
        <w:t>日起施行，</w:t>
      </w:r>
      <w:r>
        <w:rPr>
          <w:rFonts w:ascii="Times New Roman" w:eastAsia="宋体"/>
          <w:color w:val="auto"/>
        </w:rPr>
        <w:t>2018</w:t>
      </w:r>
      <w:r>
        <w:rPr>
          <w:rFonts w:hint="eastAsia" w:ascii="Times New Roman" w:eastAsia="宋体"/>
          <w:color w:val="auto"/>
        </w:rPr>
        <w:t>年</w:t>
      </w:r>
      <w:r>
        <w:rPr>
          <w:rFonts w:ascii="Times New Roman" w:eastAsia="宋体"/>
          <w:color w:val="auto"/>
        </w:rPr>
        <w:t>10</w:t>
      </w:r>
      <w:r>
        <w:rPr>
          <w:rFonts w:hint="eastAsia" w:ascii="Times New Roman" w:eastAsia="宋体"/>
          <w:color w:val="auto"/>
        </w:rPr>
        <w:t>月</w:t>
      </w:r>
      <w:r>
        <w:rPr>
          <w:rFonts w:ascii="Times New Roman" w:eastAsia="宋体"/>
          <w:color w:val="auto"/>
        </w:rPr>
        <w:t>26</w:t>
      </w:r>
      <w:r>
        <w:rPr>
          <w:rFonts w:hint="eastAsia" w:ascii="Times New Roman" w:eastAsia="宋体"/>
          <w:color w:val="auto"/>
        </w:rPr>
        <w:t>日修正）；</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4</w:t>
      </w:r>
      <w:r>
        <w:rPr>
          <w:rFonts w:hint="eastAsia" w:ascii="Times New Roman" w:eastAsia="宋体"/>
          <w:color w:val="auto"/>
        </w:rPr>
        <w:t>）《中华人民共和国水污染防治法》，中华人民共和国主席令第八十七号（</w:t>
      </w:r>
      <w:r>
        <w:rPr>
          <w:rFonts w:ascii="Times New Roman" w:eastAsia="宋体"/>
          <w:color w:val="auto"/>
        </w:rPr>
        <w:t>2017.06.27</w:t>
      </w:r>
      <w:r>
        <w:rPr>
          <w:rFonts w:hint="eastAsia" w:ascii="Times New Roman" w:eastAsia="宋体"/>
          <w:color w:val="auto"/>
        </w:rPr>
        <w:t>修订，2018年1月1日起施行）；</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5</w:t>
      </w:r>
      <w:r>
        <w:rPr>
          <w:rFonts w:hint="eastAsia" w:ascii="Times New Roman" w:eastAsia="宋体"/>
          <w:color w:val="auto"/>
        </w:rPr>
        <w:t>）《中华人民共和国固体废物污染环境防治法》，中华人民共和国家主席令第四十三号，2020年9月1日；</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6</w:t>
      </w:r>
      <w:r>
        <w:rPr>
          <w:rFonts w:hint="eastAsia" w:ascii="Times New Roman" w:eastAsia="宋体"/>
          <w:color w:val="auto"/>
        </w:rPr>
        <w:t>）《中华人民共和国噪声污染防治法》，中华人民共和国主席令第一0四号，2022年6月5日；</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7</w:t>
      </w:r>
      <w:r>
        <w:rPr>
          <w:rFonts w:hint="eastAsia" w:ascii="Times New Roman" w:eastAsia="宋体"/>
          <w:color w:val="auto"/>
        </w:rPr>
        <w:t>）《中华人民共和国清洁生产促进法（</w:t>
      </w:r>
      <w:r>
        <w:rPr>
          <w:rFonts w:ascii="Times New Roman" w:eastAsia="宋体"/>
          <w:color w:val="auto"/>
        </w:rPr>
        <w:t>2012</w:t>
      </w:r>
      <w:r>
        <w:rPr>
          <w:rFonts w:hint="eastAsia" w:ascii="Times New Roman" w:eastAsia="宋体"/>
          <w:color w:val="auto"/>
        </w:rPr>
        <w:t>年修订）》，中华人民共和国主席令第</w:t>
      </w:r>
      <w:r>
        <w:rPr>
          <w:rFonts w:ascii="Times New Roman" w:eastAsia="宋体"/>
          <w:color w:val="auto"/>
        </w:rPr>
        <w:t>72</w:t>
      </w:r>
      <w:r>
        <w:rPr>
          <w:rFonts w:hint="eastAsia" w:ascii="Times New Roman" w:eastAsia="宋体"/>
          <w:color w:val="auto"/>
        </w:rPr>
        <w:t>号（</w:t>
      </w:r>
      <w:r>
        <w:rPr>
          <w:rFonts w:ascii="Times New Roman" w:eastAsia="宋体"/>
          <w:color w:val="auto"/>
        </w:rPr>
        <w:t>2012</w:t>
      </w:r>
      <w:r>
        <w:rPr>
          <w:rFonts w:hint="eastAsia" w:ascii="Times New Roman" w:eastAsia="宋体"/>
          <w:color w:val="auto"/>
        </w:rPr>
        <w:t>年</w:t>
      </w:r>
      <w:r>
        <w:rPr>
          <w:rFonts w:ascii="Times New Roman" w:eastAsia="宋体"/>
          <w:color w:val="auto"/>
        </w:rPr>
        <w:t>7</w:t>
      </w:r>
      <w:r>
        <w:rPr>
          <w:rFonts w:hint="eastAsia" w:ascii="Times New Roman" w:eastAsia="宋体"/>
          <w:color w:val="auto"/>
        </w:rPr>
        <w:t>月</w:t>
      </w:r>
      <w:r>
        <w:rPr>
          <w:rFonts w:ascii="Times New Roman" w:eastAsia="宋体"/>
          <w:color w:val="auto"/>
        </w:rPr>
        <w:t>1</w:t>
      </w:r>
      <w:r>
        <w:rPr>
          <w:rFonts w:hint="eastAsia" w:ascii="Times New Roman" w:eastAsia="宋体"/>
          <w:color w:val="auto"/>
        </w:rPr>
        <w:t>日起施行）；</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8</w:t>
      </w:r>
      <w:r>
        <w:rPr>
          <w:rFonts w:hint="eastAsia" w:ascii="Times New Roman" w:eastAsia="宋体"/>
          <w:color w:val="auto"/>
        </w:rPr>
        <w:t>）《中华人民共和国循环经济促进法》，2018年10月26日施行；</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9</w:t>
      </w:r>
      <w:r>
        <w:rPr>
          <w:rFonts w:hint="eastAsia" w:ascii="Times New Roman" w:eastAsia="宋体"/>
          <w:color w:val="auto"/>
        </w:rPr>
        <w:t>）《中华人民共和国城乡规划法》，中华人民共和国主席令第二十三号</w:t>
      </w:r>
    </w:p>
    <w:p>
      <w:pPr>
        <w:spacing w:line="360" w:lineRule="auto"/>
        <w:ind w:left="0" w:leftChars="0" w:firstLine="0" w:firstLineChars="0"/>
        <w:rPr>
          <w:rFonts w:ascii="Times New Roman" w:eastAsia="宋体"/>
          <w:color w:val="auto"/>
          <w:lang w:val="zh-CN"/>
        </w:rPr>
      </w:pPr>
      <w:r>
        <w:rPr>
          <w:rFonts w:hint="eastAsia" w:ascii="Times New Roman" w:eastAsia="宋体"/>
          <w:color w:val="auto"/>
        </w:rPr>
        <w:t>（</w:t>
      </w:r>
      <w:r>
        <w:rPr>
          <w:rFonts w:ascii="Times New Roman" w:eastAsia="宋体"/>
          <w:color w:val="auto"/>
        </w:rPr>
        <w:t>2015</w:t>
      </w:r>
      <w:r>
        <w:rPr>
          <w:rFonts w:hint="eastAsia" w:ascii="Times New Roman" w:eastAsia="宋体"/>
          <w:color w:val="auto"/>
        </w:rPr>
        <w:t>年修订，</w:t>
      </w:r>
      <w:r>
        <w:rPr>
          <w:rFonts w:ascii="Times New Roman" w:eastAsia="宋体"/>
          <w:color w:val="auto"/>
        </w:rPr>
        <w:t>2015</w:t>
      </w:r>
      <w:r>
        <w:rPr>
          <w:rFonts w:hint="eastAsia" w:ascii="Times New Roman" w:eastAsia="宋体"/>
          <w:color w:val="auto"/>
        </w:rPr>
        <w:t>年</w:t>
      </w:r>
      <w:r>
        <w:rPr>
          <w:rFonts w:ascii="Times New Roman" w:eastAsia="宋体"/>
          <w:color w:val="auto"/>
        </w:rPr>
        <w:t>4</w:t>
      </w:r>
      <w:r>
        <w:rPr>
          <w:rFonts w:hint="eastAsia" w:ascii="Times New Roman" w:eastAsia="宋体"/>
          <w:color w:val="auto"/>
        </w:rPr>
        <w:t>月</w:t>
      </w:r>
      <w:r>
        <w:rPr>
          <w:rFonts w:ascii="Times New Roman" w:eastAsia="宋体"/>
          <w:color w:val="auto"/>
        </w:rPr>
        <w:t>24</w:t>
      </w:r>
      <w:r>
        <w:rPr>
          <w:rFonts w:hint="eastAsia" w:ascii="Times New Roman" w:eastAsia="宋体"/>
          <w:color w:val="auto"/>
        </w:rPr>
        <w:t>日起施行）；</w:t>
      </w:r>
    </w:p>
    <w:p>
      <w:pPr>
        <w:spacing w:line="360" w:lineRule="auto"/>
        <w:ind w:firstLine="482"/>
        <w:rPr>
          <w:rFonts w:ascii="Times New Roman" w:eastAsia="宋体"/>
          <w:color w:val="auto"/>
          <w:lang w:val="zh-CN"/>
        </w:rPr>
      </w:pPr>
      <w:r>
        <w:rPr>
          <w:rFonts w:hint="eastAsia" w:ascii="Times New Roman" w:eastAsia="宋体"/>
          <w:color w:val="auto"/>
        </w:rPr>
        <w:t>（</w:t>
      </w:r>
      <w:r>
        <w:rPr>
          <w:rFonts w:ascii="Times New Roman" w:eastAsia="宋体"/>
          <w:color w:val="auto"/>
        </w:rPr>
        <w:t>10</w:t>
      </w:r>
      <w:r>
        <w:rPr>
          <w:rFonts w:hint="eastAsia" w:ascii="Times New Roman" w:eastAsia="宋体"/>
          <w:color w:val="auto"/>
        </w:rPr>
        <w:t>）《中华人民共和国畜牧法》，第十三届全国人民代表大会常务委员会第三十七次会议（2022年10月30日发布，</w:t>
      </w:r>
      <w:r>
        <w:rPr>
          <w:rFonts w:ascii="Times New Roman" w:eastAsia="宋体"/>
          <w:color w:val="auto"/>
        </w:rPr>
        <w:t>20</w:t>
      </w:r>
      <w:r>
        <w:rPr>
          <w:rFonts w:hint="eastAsia" w:ascii="Times New Roman" w:eastAsia="宋体"/>
          <w:color w:val="auto"/>
        </w:rPr>
        <w:t>23年3月1日起施行）；</w:t>
      </w:r>
    </w:p>
    <w:p>
      <w:pPr>
        <w:spacing w:line="360" w:lineRule="auto"/>
        <w:ind w:firstLine="482"/>
        <w:rPr>
          <w:rFonts w:ascii="Times New Roman" w:eastAsia="宋体"/>
          <w:color w:val="auto"/>
        </w:rPr>
      </w:pPr>
      <w:r>
        <w:rPr>
          <w:rFonts w:hint="eastAsia" w:ascii="Times New Roman" w:eastAsia="宋体"/>
          <w:color w:val="auto"/>
        </w:rPr>
        <w:t>（</w:t>
      </w:r>
      <w:r>
        <w:rPr>
          <w:rFonts w:ascii="Times New Roman" w:eastAsia="宋体"/>
          <w:color w:val="auto"/>
        </w:rPr>
        <w:t>11</w:t>
      </w:r>
      <w:r>
        <w:rPr>
          <w:rFonts w:hint="eastAsia" w:ascii="Times New Roman" w:eastAsia="宋体"/>
          <w:color w:val="auto"/>
        </w:rPr>
        <w:t>）《中华人民共和国动物防疫法》，中华人民共和国主席令第二十四号（</w:t>
      </w:r>
      <w:r>
        <w:rPr>
          <w:rFonts w:ascii="Times New Roman" w:eastAsia="宋体"/>
          <w:color w:val="auto"/>
        </w:rPr>
        <w:t>2015</w:t>
      </w:r>
      <w:r>
        <w:rPr>
          <w:rFonts w:hint="eastAsia" w:ascii="Times New Roman" w:eastAsia="宋体"/>
          <w:color w:val="auto"/>
        </w:rPr>
        <w:t>年修订，</w:t>
      </w:r>
      <w:r>
        <w:rPr>
          <w:rFonts w:ascii="Times New Roman" w:eastAsia="宋体"/>
          <w:color w:val="auto"/>
        </w:rPr>
        <w:t>2015</w:t>
      </w:r>
      <w:r>
        <w:rPr>
          <w:rFonts w:hint="eastAsia" w:ascii="Times New Roman" w:eastAsia="宋体"/>
          <w:color w:val="auto"/>
        </w:rPr>
        <w:t>年</w:t>
      </w:r>
      <w:r>
        <w:rPr>
          <w:rFonts w:ascii="Times New Roman" w:eastAsia="宋体"/>
          <w:color w:val="auto"/>
        </w:rPr>
        <w:t>4</w:t>
      </w:r>
      <w:r>
        <w:rPr>
          <w:rFonts w:hint="eastAsia" w:ascii="Times New Roman" w:eastAsia="宋体"/>
          <w:color w:val="auto"/>
        </w:rPr>
        <w:t>月</w:t>
      </w:r>
      <w:r>
        <w:rPr>
          <w:rFonts w:ascii="Times New Roman" w:eastAsia="宋体"/>
          <w:color w:val="auto"/>
        </w:rPr>
        <w:t>24</w:t>
      </w:r>
      <w:r>
        <w:rPr>
          <w:rFonts w:hint="eastAsia" w:ascii="Times New Roman" w:eastAsia="宋体"/>
          <w:color w:val="auto"/>
        </w:rPr>
        <w:t>日起施行）；</w:t>
      </w:r>
    </w:p>
    <w:p>
      <w:pPr>
        <w:spacing w:line="360" w:lineRule="auto"/>
        <w:ind w:firstLine="482"/>
        <w:rPr>
          <w:rFonts w:ascii="Times New Roman" w:eastAsia="宋体"/>
          <w:color w:val="auto"/>
          <w:lang w:val="zh-CN"/>
        </w:rPr>
      </w:pPr>
      <w:r>
        <w:rPr>
          <w:rFonts w:hint="eastAsia" w:ascii="Times New Roman" w:eastAsia="宋体"/>
          <w:color w:val="auto"/>
        </w:rPr>
        <w:t>（12）《中华人民共和国自然保护区条例》（2017年修订）。</w:t>
      </w:r>
    </w:p>
    <w:p>
      <w:pPr>
        <w:pStyle w:val="4"/>
        <w:spacing w:before="0" w:after="0" w:line="360" w:lineRule="auto"/>
        <w:rPr>
          <w:rFonts w:ascii="Times New Roman" w:eastAsia="宋体"/>
          <w:b/>
          <w:bCs/>
          <w:color w:val="auto"/>
          <w:kern w:val="2"/>
          <w:sz w:val="24"/>
          <w:lang w:val="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2</w:t>
      </w:r>
      <w:r>
        <w:rPr>
          <w:rFonts w:ascii="Times New Roman" w:eastAsia="宋体"/>
          <w:b/>
          <w:bCs/>
          <w:color w:val="auto"/>
          <w:kern w:val="2"/>
          <w:sz w:val="24"/>
        </w:rPr>
        <w:t xml:space="preserve">.2 </w:t>
      </w:r>
      <w:r>
        <w:rPr>
          <w:rFonts w:hint="eastAsia" w:ascii="Times New Roman" w:eastAsia="宋体"/>
          <w:b/>
          <w:bCs/>
          <w:color w:val="auto"/>
          <w:kern w:val="2"/>
          <w:sz w:val="24"/>
        </w:rPr>
        <w:t>部门规章、规范性文件</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（1）《建设项目环境影响评价分类管理名录》（2021 年版）（生态环境部令第16 号），2021年1月1日施行；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（2）《环境影响评价公众参与办法》（生态环境部令第 4 号），2019 年1月</w:t>
      </w:r>
      <w:r>
        <w:rPr>
          <w:rFonts w:ascii="Times New Roman"/>
          <w:color w:val="auto"/>
          <w:kern w:val="2"/>
          <w:szCs w:val="24"/>
        </w:rPr>
        <w:t>1</w:t>
      </w:r>
      <w:r>
        <w:rPr>
          <w:rFonts w:ascii="Times New Roman" w:eastAsia="宋体"/>
          <w:color w:val="auto"/>
          <w:kern w:val="2"/>
          <w:szCs w:val="24"/>
        </w:rPr>
        <w:t>日施行；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（3）《产业结构调整指导目录（2019 年本）》，中华人民共和国国家发展和改革委员会令第29号；</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（4）《建设项目环境保护管理条例》，（国务院令第 682 号）（2017年10月1日施行）；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（5）《畜禽规模养殖污染防治条例》，中华人民共和国国务院令第643号（2014年1月1日起施行）；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（6）《国家危险废物名录（2021年版）》（生态环境部令第15号），2021年1月1日起施行；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7</w:t>
      </w:r>
      <w:r>
        <w:rPr>
          <w:rFonts w:ascii="Times New Roman" w:eastAsia="宋体"/>
          <w:color w:val="auto"/>
          <w:kern w:val="2"/>
          <w:szCs w:val="24"/>
        </w:rPr>
        <w:t>）《水污染防治行动计划》，国发[2015]17 号（2015年4月2日起施行）；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8</w:t>
      </w:r>
      <w:r>
        <w:rPr>
          <w:rFonts w:ascii="Times New Roman" w:eastAsia="宋体"/>
          <w:color w:val="auto"/>
          <w:kern w:val="2"/>
          <w:szCs w:val="24"/>
        </w:rPr>
        <w:t>）《土壤污染防治行动计划》，国发[2016]31 号（2016年5月28日起施行）；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9</w:t>
      </w:r>
      <w:r>
        <w:rPr>
          <w:rFonts w:ascii="Times New Roman" w:eastAsia="宋体"/>
          <w:color w:val="auto"/>
          <w:kern w:val="2"/>
          <w:szCs w:val="24"/>
        </w:rPr>
        <w:t>）《关于加强固定污染源氮磷污染防治的通知》生态环境部（环水体[2018]16号）；</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（1</w:t>
      </w:r>
      <w:r>
        <w:rPr>
          <w:rFonts w:hint="eastAsia" w:ascii="Times New Roman" w:eastAsia="宋体"/>
          <w:color w:val="auto"/>
          <w:kern w:val="2"/>
          <w:szCs w:val="24"/>
          <w:lang w:val="en-US" w:eastAsia="zh-CN"/>
        </w:rPr>
        <w:t>0</w:t>
      </w:r>
      <w:r>
        <w:rPr>
          <w:rFonts w:ascii="Times New Roman" w:eastAsia="宋体"/>
          <w:color w:val="auto"/>
          <w:kern w:val="2"/>
          <w:szCs w:val="24"/>
        </w:rPr>
        <w:t>）《畜禽养殖业污染防治技术规范》（HJ/T81-2001）；</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（1</w:t>
      </w:r>
      <w:r>
        <w:rPr>
          <w:rFonts w:hint="eastAsia" w:ascii="Times New Roman" w:eastAsia="宋体"/>
          <w:color w:val="auto"/>
          <w:kern w:val="2"/>
          <w:szCs w:val="24"/>
          <w:lang w:val="en-US" w:eastAsia="zh-CN"/>
        </w:rPr>
        <w:t>1</w:t>
      </w:r>
      <w:r>
        <w:rPr>
          <w:rFonts w:ascii="Times New Roman" w:eastAsia="宋体"/>
          <w:color w:val="auto"/>
          <w:kern w:val="2"/>
          <w:szCs w:val="24"/>
        </w:rPr>
        <w:t>）《畜禽养殖业污染治理工程技术规范》（HJ497-2009）；</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（1</w:t>
      </w:r>
      <w:r>
        <w:rPr>
          <w:rFonts w:hint="eastAsia" w:ascii="Times New Roman" w:eastAsia="宋体"/>
          <w:color w:val="auto"/>
          <w:kern w:val="2"/>
          <w:szCs w:val="24"/>
          <w:lang w:val="en-US" w:eastAsia="zh-CN"/>
        </w:rPr>
        <w:t>2</w:t>
      </w:r>
      <w:r>
        <w:rPr>
          <w:rFonts w:ascii="Times New Roman" w:eastAsia="宋体"/>
          <w:color w:val="auto"/>
          <w:kern w:val="2"/>
          <w:szCs w:val="24"/>
        </w:rPr>
        <w:t>）《畜禽粪便无害化处理技术规范》（NY/T1168-2006）；</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（1</w:t>
      </w:r>
      <w:r>
        <w:rPr>
          <w:rFonts w:hint="eastAsia" w:ascii="Times New Roman" w:eastAsia="宋体"/>
          <w:color w:val="auto"/>
          <w:kern w:val="2"/>
          <w:szCs w:val="24"/>
          <w:lang w:val="en-US" w:eastAsia="zh-CN"/>
        </w:rPr>
        <w:t>3</w:t>
      </w:r>
      <w:r>
        <w:rPr>
          <w:rFonts w:ascii="Times New Roman" w:eastAsia="宋体"/>
          <w:color w:val="auto"/>
          <w:kern w:val="2"/>
          <w:szCs w:val="24"/>
        </w:rPr>
        <w:t>）《畜禽粪便还田技术规范》（GB/T25246-2010）；</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（1</w:t>
      </w:r>
      <w:r>
        <w:rPr>
          <w:rFonts w:hint="eastAsia" w:ascii="Times New Roman" w:eastAsia="宋体"/>
          <w:color w:val="auto"/>
          <w:kern w:val="2"/>
          <w:szCs w:val="24"/>
          <w:lang w:val="en-US" w:eastAsia="zh-CN"/>
        </w:rPr>
        <w:t>4</w:t>
      </w:r>
      <w:r>
        <w:rPr>
          <w:rFonts w:ascii="Times New Roman" w:eastAsia="宋体"/>
          <w:color w:val="auto"/>
          <w:kern w:val="2"/>
          <w:szCs w:val="24"/>
        </w:rPr>
        <w:t>）《粪便无害化卫生要求》（GB7959-2012）；</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15</w:t>
      </w:r>
      <w:r>
        <w:rPr>
          <w:rFonts w:ascii="Times New Roman" w:eastAsia="宋体"/>
          <w:color w:val="auto"/>
          <w:kern w:val="2"/>
          <w:szCs w:val="24"/>
        </w:rPr>
        <w:t>）《畜禽场环境质量标准》（NY/T388-1999）；</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16</w:t>
      </w:r>
      <w:r>
        <w:rPr>
          <w:rFonts w:ascii="Times New Roman" w:eastAsia="宋体"/>
          <w:color w:val="auto"/>
          <w:kern w:val="2"/>
          <w:szCs w:val="24"/>
        </w:rPr>
        <w:t>）《病死及病害动物无害化处理技术规范》（农医发〔2017〕25号）；</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17</w:t>
      </w:r>
      <w:r>
        <w:rPr>
          <w:rFonts w:ascii="Times New Roman" w:eastAsia="宋体"/>
          <w:color w:val="auto"/>
          <w:kern w:val="2"/>
          <w:szCs w:val="24"/>
        </w:rPr>
        <w:t>）《排污单位环境管理台账及排污许可证执行报告技术规范总则（试行）》（HJ944-2018）；</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18</w:t>
      </w:r>
      <w:r>
        <w:rPr>
          <w:rFonts w:ascii="Times New Roman" w:eastAsia="宋体"/>
          <w:color w:val="auto"/>
          <w:kern w:val="2"/>
          <w:szCs w:val="24"/>
        </w:rPr>
        <w:t>）《排污许可证申请与核发技术规范畜禽养殖行业》（HJ1029-2019）；</w:t>
      </w:r>
    </w:p>
    <w:p>
      <w:pPr>
        <w:spacing w:line="360" w:lineRule="auto"/>
        <w:ind w:firstLine="482"/>
        <w:rPr>
          <w:rFonts w:ascii="Times New Roman" w:eastAsia="宋体"/>
          <w:color w:val="auto"/>
        </w:rPr>
      </w:pPr>
      <w:r>
        <w:rPr>
          <w:rFonts w:ascii="Times New Roman" w:eastAsia="宋体"/>
          <w:color w:val="auto"/>
          <w:kern w:val="2"/>
          <w:szCs w:val="24"/>
        </w:rPr>
        <w:t>（</w:t>
      </w:r>
      <w:r>
        <w:rPr>
          <w:rFonts w:hint="eastAsia" w:ascii="Times New Roman" w:eastAsia="宋体"/>
          <w:color w:val="auto"/>
          <w:kern w:val="2"/>
          <w:szCs w:val="24"/>
          <w:lang w:val="en-US" w:eastAsia="zh-CN"/>
        </w:rPr>
        <w:t>19</w:t>
      </w:r>
      <w:r>
        <w:rPr>
          <w:rFonts w:ascii="Times New Roman" w:eastAsia="宋体"/>
          <w:color w:val="auto"/>
          <w:kern w:val="2"/>
          <w:szCs w:val="24"/>
        </w:rPr>
        <w:t>）</w:t>
      </w:r>
      <w:r>
        <w:rPr>
          <w:rFonts w:ascii="Times New Roman" w:eastAsia="宋体"/>
          <w:color w:val="auto"/>
        </w:rPr>
        <w:t>《畜禽养殖污染防治最佳可行技术指南(试行)》；</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rPr>
        <w:t>（2</w:t>
      </w:r>
      <w:r>
        <w:rPr>
          <w:rFonts w:hint="eastAsia" w:ascii="Times New Roman" w:eastAsia="宋体"/>
          <w:color w:val="auto"/>
          <w:lang w:val="en-US" w:eastAsia="zh-CN"/>
        </w:rPr>
        <w:t>0</w:t>
      </w:r>
      <w:r>
        <w:rPr>
          <w:rFonts w:ascii="Times New Roman" w:eastAsia="宋体"/>
          <w:color w:val="auto"/>
        </w:rPr>
        <w:t>）</w:t>
      </w:r>
      <w:r>
        <w:rPr>
          <w:rFonts w:ascii="Times New Roman" w:eastAsia="宋体"/>
          <w:color w:val="auto"/>
          <w:kern w:val="2"/>
          <w:szCs w:val="24"/>
        </w:rPr>
        <w:t>《畜禽养殖业标准场排放标准》（GB18596-2001）；</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（2</w:t>
      </w:r>
      <w:r>
        <w:rPr>
          <w:rFonts w:hint="eastAsia" w:ascii="Times New Roman" w:eastAsia="宋体"/>
          <w:color w:val="auto"/>
          <w:kern w:val="2"/>
          <w:szCs w:val="24"/>
          <w:lang w:val="en-US" w:eastAsia="zh-CN"/>
        </w:rPr>
        <w:t>1</w:t>
      </w:r>
      <w:r>
        <w:rPr>
          <w:rFonts w:ascii="Times New Roman" w:eastAsia="宋体"/>
          <w:color w:val="auto"/>
          <w:kern w:val="2"/>
          <w:szCs w:val="24"/>
        </w:rPr>
        <w:t>）《畜禽养殖业污水贮存设施设计要求》（GB/T26624-2011）；</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（2</w:t>
      </w:r>
      <w:r>
        <w:rPr>
          <w:rFonts w:hint="eastAsia" w:ascii="Times New Roman" w:eastAsia="宋体"/>
          <w:color w:val="auto"/>
          <w:kern w:val="2"/>
          <w:szCs w:val="24"/>
          <w:lang w:val="en-US" w:eastAsia="zh-CN"/>
        </w:rPr>
        <w:t>2</w:t>
      </w:r>
      <w:r>
        <w:rPr>
          <w:rFonts w:ascii="Times New Roman" w:eastAsia="宋体"/>
          <w:color w:val="auto"/>
          <w:kern w:val="2"/>
          <w:szCs w:val="24"/>
        </w:rPr>
        <w:t>）《畜禽粪便贮存设施设计要求》（GB/T27622-2011）；</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（2</w:t>
      </w:r>
      <w:r>
        <w:rPr>
          <w:rFonts w:hint="eastAsia" w:ascii="Times New Roman" w:eastAsia="宋体"/>
          <w:color w:val="auto"/>
          <w:kern w:val="2"/>
          <w:szCs w:val="24"/>
          <w:lang w:val="en-US" w:eastAsia="zh-CN"/>
        </w:rPr>
        <w:t>3</w:t>
      </w:r>
      <w:r>
        <w:rPr>
          <w:rFonts w:ascii="Times New Roman" w:eastAsia="宋体"/>
          <w:color w:val="auto"/>
          <w:kern w:val="2"/>
          <w:szCs w:val="24"/>
        </w:rPr>
        <w:t>）《畜禽粪便无害化处理技术规范》（GB/T36195-2018）；</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24</w:t>
      </w:r>
      <w:r>
        <w:rPr>
          <w:rFonts w:ascii="Times New Roman" w:eastAsia="宋体"/>
          <w:color w:val="auto"/>
          <w:kern w:val="2"/>
          <w:szCs w:val="24"/>
        </w:rPr>
        <w:t>）《关于畜禽养殖业选址问题的回复》生态环境部部长信箱（2018.2.6）；</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25</w:t>
      </w:r>
      <w:r>
        <w:rPr>
          <w:rFonts w:ascii="Times New Roman" w:eastAsia="宋体"/>
          <w:color w:val="auto"/>
          <w:kern w:val="2"/>
          <w:szCs w:val="24"/>
        </w:rPr>
        <w:t>）《畜禽养殖产地环境评价规范》（HJ568-2010）；</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26</w:t>
      </w:r>
      <w:r>
        <w:rPr>
          <w:rFonts w:ascii="Times New Roman" w:eastAsia="宋体"/>
          <w:color w:val="auto"/>
          <w:kern w:val="2"/>
          <w:szCs w:val="24"/>
        </w:rPr>
        <w:t>）《关于做好畜禽规模养殖项目环境影响评价管理工作的通知》（环办环评〔2018〕31号）；</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27</w:t>
      </w:r>
      <w:r>
        <w:rPr>
          <w:rFonts w:ascii="Times New Roman" w:eastAsia="宋体"/>
          <w:color w:val="auto"/>
          <w:kern w:val="2"/>
          <w:szCs w:val="24"/>
        </w:rPr>
        <w:t>）《关于进一步明确畜禽粪污还田利用要求强化养殖污染监管的通知》（农办牧〔2020〕23号）；</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28</w:t>
      </w:r>
      <w:r>
        <w:rPr>
          <w:rFonts w:ascii="Times New Roman" w:eastAsia="宋体"/>
          <w:color w:val="auto"/>
          <w:kern w:val="2"/>
          <w:szCs w:val="24"/>
        </w:rPr>
        <w:t>）《关于在畜禽养殖废弃物资源化利用过程中加强环境监管的通知》（环水体 [2017]120号）；</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29</w:t>
      </w:r>
      <w:r>
        <w:rPr>
          <w:rFonts w:ascii="Times New Roman" w:eastAsia="宋体"/>
          <w:color w:val="auto"/>
          <w:kern w:val="2"/>
          <w:szCs w:val="24"/>
        </w:rPr>
        <w:t>）《关于进一步加强畜禽养殖污染防治工作的通知》（环水体[2016]144号）；</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w:t>
      </w:r>
      <w:r>
        <w:rPr>
          <w:rFonts w:hint="eastAsia" w:ascii="Times New Roman" w:eastAsia="宋体"/>
          <w:color w:val="auto"/>
          <w:kern w:val="2"/>
          <w:szCs w:val="24"/>
          <w:lang w:val="en-US" w:eastAsia="zh-CN"/>
        </w:rPr>
        <w:t>30</w:t>
      </w:r>
      <w:r>
        <w:rPr>
          <w:rFonts w:ascii="Times New Roman" w:eastAsia="宋体"/>
          <w:color w:val="auto"/>
          <w:kern w:val="2"/>
          <w:szCs w:val="24"/>
        </w:rPr>
        <w:t>）《规模畜禽养殖场污染防治最佳可行技术指南（试行）》（HJ-BAT-10）；</w:t>
      </w:r>
    </w:p>
    <w:p>
      <w:pPr>
        <w:pStyle w:val="31"/>
        <w:spacing w:after="0" w:line="360" w:lineRule="auto"/>
        <w:ind w:left="0" w:leftChars="0" w:firstLine="484" w:firstLineChars="200"/>
        <w:rPr>
          <w:rFonts w:ascii="Times New Roman" w:eastAsia="宋体"/>
          <w:color w:val="auto"/>
          <w:kern w:val="2"/>
          <w:szCs w:val="24"/>
        </w:rPr>
      </w:pPr>
      <w:r>
        <w:rPr>
          <w:rFonts w:ascii="Times New Roman" w:eastAsia="宋体"/>
          <w:color w:val="auto"/>
          <w:kern w:val="2"/>
          <w:szCs w:val="24"/>
        </w:rPr>
        <w:t>（3</w:t>
      </w:r>
      <w:r>
        <w:rPr>
          <w:rFonts w:hint="eastAsia" w:ascii="Times New Roman" w:eastAsia="宋体"/>
          <w:color w:val="auto"/>
          <w:kern w:val="2"/>
          <w:szCs w:val="24"/>
          <w:lang w:val="en-US" w:eastAsia="zh-CN"/>
        </w:rPr>
        <w:t>1</w:t>
      </w:r>
      <w:r>
        <w:rPr>
          <w:rFonts w:ascii="Times New Roman" w:eastAsia="宋体"/>
          <w:color w:val="auto"/>
          <w:kern w:val="2"/>
          <w:szCs w:val="24"/>
        </w:rPr>
        <w:t>）《农业部办公厅关于印发&lt;畜禽粪污土地承载力测算技术指南&gt;的通知》（农业部办公厅，2018年1月15日）。</w:t>
      </w:r>
    </w:p>
    <w:p>
      <w:pPr>
        <w:pStyle w:val="4"/>
        <w:spacing w:before="0" w:after="0" w:line="360" w:lineRule="auto"/>
        <w:rPr>
          <w:rFonts w:ascii="Times New Roman" w:eastAsia="宋体"/>
          <w:b/>
          <w:bCs/>
          <w:color w:val="auto"/>
          <w:kern w:val="2"/>
          <w:sz w:val="24"/>
          <w:lang w:val="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2</w:t>
      </w:r>
      <w:r>
        <w:rPr>
          <w:rFonts w:ascii="Times New Roman" w:eastAsia="宋体"/>
          <w:b/>
          <w:bCs/>
          <w:color w:val="auto"/>
          <w:kern w:val="2"/>
          <w:sz w:val="24"/>
        </w:rPr>
        <w:t xml:space="preserve">.3 </w:t>
      </w:r>
      <w:r>
        <w:rPr>
          <w:rFonts w:hint="eastAsia" w:ascii="Times New Roman" w:eastAsia="宋体"/>
          <w:b/>
          <w:bCs/>
          <w:color w:val="auto"/>
          <w:kern w:val="2"/>
          <w:sz w:val="24"/>
        </w:rPr>
        <w:t>地方环保法规、规划和文件</w:t>
      </w:r>
    </w:p>
    <w:p>
      <w:pPr>
        <w:spacing w:line="360" w:lineRule="auto"/>
        <w:ind w:firstLine="482"/>
        <w:rPr>
          <w:rFonts w:ascii="Times New Roman" w:eastAsia="宋体"/>
          <w:color w:val="auto"/>
        </w:rPr>
      </w:pPr>
      <w:r>
        <w:rPr>
          <w:rFonts w:ascii="Times New Roman" w:eastAsia="宋体"/>
          <w:color w:val="auto"/>
        </w:rPr>
        <w:t>（1）《湖南省“十四五”规划纲要》（2021-2025）；</w:t>
      </w:r>
    </w:p>
    <w:p>
      <w:pPr>
        <w:spacing w:line="360" w:lineRule="auto"/>
        <w:ind w:firstLine="482"/>
        <w:rPr>
          <w:rFonts w:ascii="Times New Roman" w:eastAsia="宋体"/>
          <w:color w:val="auto"/>
        </w:rPr>
      </w:pPr>
      <w:r>
        <w:rPr>
          <w:rFonts w:ascii="Times New Roman" w:eastAsia="宋体"/>
          <w:color w:val="auto"/>
        </w:rPr>
        <w:t>（2）《湖南省“十四五”生态环境保护规划》（湘政办发〔2021〕61号）；</w:t>
      </w:r>
    </w:p>
    <w:p>
      <w:pPr>
        <w:spacing w:line="360" w:lineRule="auto"/>
        <w:ind w:firstLine="482"/>
        <w:rPr>
          <w:rFonts w:ascii="Times New Roman" w:eastAsia="宋体"/>
          <w:color w:val="auto"/>
        </w:rPr>
      </w:pPr>
      <w:r>
        <w:rPr>
          <w:rFonts w:ascii="Times New Roman" w:eastAsia="宋体"/>
          <w:color w:val="auto"/>
        </w:rPr>
        <w:t>（3）《湖南省“十四五”农业农村现代化规划》（湘政办发〔2021〕64号）；</w:t>
      </w:r>
    </w:p>
    <w:p>
      <w:pPr>
        <w:spacing w:line="360" w:lineRule="auto"/>
        <w:ind w:firstLine="482"/>
        <w:rPr>
          <w:rFonts w:ascii="Times New Roman" w:eastAsia="宋体"/>
          <w:color w:val="auto"/>
        </w:rPr>
      </w:pPr>
      <w:r>
        <w:rPr>
          <w:rFonts w:ascii="Times New Roman" w:eastAsia="宋体"/>
          <w:color w:val="auto"/>
        </w:rPr>
        <w:t>（4）《</w:t>
      </w:r>
      <w:r>
        <w:rPr>
          <w:rFonts w:hint="eastAsia" w:ascii="Times New Roman" w:eastAsia="宋体"/>
          <w:color w:val="auto"/>
        </w:rPr>
        <w:t>湖南省</w:t>
      </w:r>
      <w:r>
        <w:rPr>
          <w:rFonts w:ascii="Times New Roman" w:eastAsia="宋体"/>
          <w:color w:val="auto"/>
        </w:rPr>
        <w:t>环境保护条例》（2020修正），2020年1月1日施行；</w:t>
      </w:r>
    </w:p>
    <w:p>
      <w:pPr>
        <w:spacing w:line="360" w:lineRule="auto"/>
        <w:ind w:firstLine="482"/>
        <w:rPr>
          <w:rFonts w:ascii="Times New Roman" w:eastAsia="宋体"/>
          <w:color w:val="auto"/>
        </w:rPr>
      </w:pPr>
      <w:r>
        <w:rPr>
          <w:rFonts w:hint="eastAsia" w:ascii="Times New Roman" w:eastAsia="宋体"/>
          <w:color w:val="auto"/>
        </w:rPr>
        <w:t>（5）</w:t>
      </w:r>
      <w:r>
        <w:rPr>
          <w:rFonts w:ascii="Times New Roman" w:eastAsia="宋体"/>
          <w:color w:val="auto"/>
        </w:rPr>
        <w:t>《</w:t>
      </w:r>
      <w:r>
        <w:rPr>
          <w:rFonts w:hint="eastAsia" w:ascii="Times New Roman" w:eastAsia="宋体"/>
          <w:color w:val="auto"/>
        </w:rPr>
        <w:t>湖南</w:t>
      </w:r>
      <w:r>
        <w:rPr>
          <w:rFonts w:ascii="Times New Roman" w:eastAsia="宋体"/>
          <w:color w:val="auto"/>
        </w:rPr>
        <w:t>省大气污染防治条例》，2017年6月1日起施行；</w:t>
      </w:r>
    </w:p>
    <w:p>
      <w:pPr>
        <w:spacing w:line="360" w:lineRule="auto"/>
        <w:ind w:firstLine="482"/>
        <w:rPr>
          <w:rFonts w:ascii="Times New Roman" w:eastAsia="宋体"/>
          <w:color w:val="auto"/>
        </w:rPr>
      </w:pPr>
      <w:r>
        <w:rPr>
          <w:rFonts w:ascii="Times New Roman" w:eastAsia="宋体"/>
          <w:color w:val="auto"/>
        </w:rPr>
        <w:t>（</w:t>
      </w:r>
      <w:r>
        <w:rPr>
          <w:rFonts w:hint="eastAsia" w:ascii="Times New Roman" w:eastAsia="宋体"/>
          <w:color w:val="auto"/>
          <w:lang w:val="en-US" w:eastAsia="zh-CN"/>
        </w:rPr>
        <w:t>6</w:t>
      </w:r>
      <w:r>
        <w:rPr>
          <w:rFonts w:ascii="Times New Roman" w:eastAsia="宋体"/>
          <w:color w:val="auto"/>
        </w:rPr>
        <w:t>）《湖南省人民政府关于实施“三线一单”生态环境分区管控的意见》（湘政发〔2020〕12号）；</w:t>
      </w:r>
    </w:p>
    <w:p>
      <w:pPr>
        <w:spacing w:line="360" w:lineRule="auto"/>
        <w:ind w:firstLine="482"/>
        <w:rPr>
          <w:rFonts w:ascii="Times New Roman" w:eastAsia="宋体"/>
          <w:color w:val="auto"/>
        </w:rPr>
      </w:pPr>
      <w:r>
        <w:rPr>
          <w:rFonts w:ascii="Times New Roman" w:eastAsia="宋体"/>
          <w:color w:val="auto"/>
        </w:rPr>
        <w:t>（</w:t>
      </w:r>
      <w:r>
        <w:rPr>
          <w:rFonts w:hint="eastAsia" w:ascii="Times New Roman" w:eastAsia="宋体"/>
          <w:color w:val="auto"/>
          <w:lang w:val="en-US" w:eastAsia="zh-CN"/>
        </w:rPr>
        <w:t>7</w:t>
      </w:r>
      <w:r>
        <w:rPr>
          <w:rFonts w:ascii="Times New Roman" w:eastAsia="宋体"/>
          <w:color w:val="auto"/>
        </w:rPr>
        <w:t>）《岳阳市人民政府关于实施岳阳市“三线一单”生态环境分区管控的意见》</w:t>
      </w:r>
      <w:r>
        <w:rPr>
          <w:rFonts w:hint="eastAsia" w:ascii="Times New Roman" w:eastAsia="宋体"/>
          <w:color w:val="auto"/>
          <w:lang w:eastAsia="zh-CN"/>
        </w:rPr>
        <w:t>；</w:t>
      </w:r>
      <w:r>
        <w:rPr>
          <w:rFonts w:hint="eastAsia" w:ascii="Times New Roman" w:eastAsia="宋体"/>
          <w:color w:val="auto"/>
        </w:rPr>
        <w:t xml:space="preserve"> </w:t>
      </w:r>
    </w:p>
    <w:p>
      <w:pPr>
        <w:spacing w:line="360" w:lineRule="auto"/>
        <w:ind w:firstLine="482"/>
        <w:rPr>
          <w:rFonts w:ascii="Times New Roman" w:eastAsia="宋体"/>
          <w:color w:val="auto"/>
        </w:rPr>
      </w:pPr>
      <w:r>
        <w:rPr>
          <w:rFonts w:ascii="Times New Roman" w:eastAsia="宋体"/>
          <w:color w:val="auto"/>
        </w:rPr>
        <w:t>（</w:t>
      </w:r>
      <w:r>
        <w:rPr>
          <w:rFonts w:hint="eastAsia" w:ascii="Times New Roman" w:eastAsia="宋体"/>
          <w:color w:val="auto"/>
          <w:lang w:val="en-US" w:eastAsia="zh-CN"/>
        </w:rPr>
        <w:t>8</w:t>
      </w:r>
      <w:r>
        <w:rPr>
          <w:rFonts w:ascii="Times New Roman" w:eastAsia="宋体"/>
          <w:color w:val="auto"/>
        </w:rPr>
        <w:t>）《湖南省土壤污染防治工作方案》（湘政发[2017]4 号）2017.1.23；</w:t>
      </w:r>
    </w:p>
    <w:p>
      <w:pPr>
        <w:spacing w:line="360" w:lineRule="auto"/>
        <w:ind w:firstLine="482"/>
        <w:rPr>
          <w:rFonts w:hint="eastAsia" w:ascii="Times New Roman" w:eastAsia="宋体"/>
          <w:color w:val="auto"/>
          <w:lang w:eastAsia="zh-CN"/>
        </w:rPr>
      </w:pPr>
      <w:r>
        <w:rPr>
          <w:rFonts w:ascii="Times New Roman" w:eastAsia="宋体"/>
          <w:color w:val="auto"/>
        </w:rPr>
        <w:t>（</w:t>
      </w:r>
      <w:r>
        <w:rPr>
          <w:rFonts w:hint="eastAsia" w:ascii="Times New Roman" w:eastAsia="宋体"/>
          <w:color w:val="auto"/>
          <w:lang w:val="en-US" w:eastAsia="zh-CN"/>
        </w:rPr>
        <w:t>9</w:t>
      </w:r>
      <w:r>
        <w:rPr>
          <w:rFonts w:ascii="Times New Roman" w:eastAsia="宋体"/>
          <w:color w:val="auto"/>
        </w:rPr>
        <w:t>）《湖南省畜禽规模养殖污染防治规定》（2017 年 5 月 25 日）</w:t>
      </w:r>
      <w:r>
        <w:rPr>
          <w:rFonts w:hint="eastAsia" w:ascii="Times New Roman" w:eastAsia="宋体"/>
          <w:color w:val="auto"/>
          <w:lang w:eastAsia="zh-CN"/>
        </w:rPr>
        <w:t>。</w:t>
      </w:r>
    </w:p>
    <w:p>
      <w:pPr>
        <w:pStyle w:val="4"/>
        <w:spacing w:before="0" w:after="0" w:line="360" w:lineRule="auto"/>
        <w:rPr>
          <w:rFonts w:ascii="Times New Roman" w:eastAsia="宋体"/>
          <w:b/>
          <w:bCs/>
          <w:color w:val="auto"/>
          <w:kern w:val="2"/>
          <w:sz w:val="24"/>
          <w:lang w:val="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2</w:t>
      </w:r>
      <w:r>
        <w:rPr>
          <w:rFonts w:ascii="Times New Roman" w:eastAsia="宋体"/>
          <w:b/>
          <w:bCs/>
          <w:color w:val="auto"/>
          <w:kern w:val="2"/>
          <w:sz w:val="24"/>
        </w:rPr>
        <w:t xml:space="preserve">.4 </w:t>
      </w:r>
      <w:r>
        <w:rPr>
          <w:rFonts w:hint="eastAsia" w:ascii="Times New Roman" w:eastAsia="宋体"/>
          <w:b/>
          <w:bCs/>
          <w:color w:val="auto"/>
          <w:kern w:val="2"/>
          <w:sz w:val="24"/>
        </w:rPr>
        <w:t>环评技术导则及技术规范</w:t>
      </w:r>
    </w:p>
    <w:p>
      <w:pPr>
        <w:spacing w:line="360" w:lineRule="auto"/>
        <w:ind w:firstLine="482"/>
        <w:rPr>
          <w:rFonts w:ascii="Times New Roman" w:eastAsia="宋体"/>
          <w:color w:val="auto"/>
        </w:rPr>
      </w:pPr>
      <w:r>
        <w:rPr>
          <w:rFonts w:ascii="Times New Roman" w:eastAsia="宋体"/>
          <w:color w:val="auto"/>
        </w:rPr>
        <w:t>（1）《建设项目环境影响评价技术导则总纲》（HJ2.1-2016）；</w:t>
      </w:r>
    </w:p>
    <w:p>
      <w:pPr>
        <w:spacing w:line="360" w:lineRule="auto"/>
        <w:ind w:firstLine="482"/>
        <w:rPr>
          <w:rFonts w:ascii="Times New Roman" w:eastAsia="宋体"/>
          <w:color w:val="auto"/>
        </w:rPr>
      </w:pPr>
      <w:r>
        <w:rPr>
          <w:rFonts w:ascii="Times New Roman" w:eastAsia="宋体"/>
          <w:color w:val="auto"/>
        </w:rPr>
        <w:t>（2）《环境影响评价技术导则大气环境》（HJ2.2-2018）；</w:t>
      </w:r>
    </w:p>
    <w:p>
      <w:pPr>
        <w:spacing w:line="360" w:lineRule="auto"/>
        <w:ind w:firstLine="482"/>
        <w:rPr>
          <w:rFonts w:ascii="Times New Roman" w:eastAsia="宋体"/>
          <w:color w:val="auto"/>
        </w:rPr>
      </w:pPr>
      <w:r>
        <w:rPr>
          <w:rFonts w:ascii="Times New Roman" w:eastAsia="宋体"/>
          <w:color w:val="auto"/>
        </w:rPr>
        <w:t>（3）《环境影响评价技术导则声环境》（HJ</w:t>
      </w:r>
      <w:r>
        <w:rPr>
          <w:rFonts w:hint="eastAsia" w:ascii="Times New Roman" w:eastAsia="宋体"/>
          <w:color w:val="auto"/>
        </w:rPr>
        <w:t>2.7-</w:t>
      </w:r>
      <w:r>
        <w:rPr>
          <w:rFonts w:ascii="Times New Roman" w:eastAsia="宋体"/>
          <w:color w:val="auto"/>
        </w:rPr>
        <w:t>20</w:t>
      </w:r>
      <w:r>
        <w:rPr>
          <w:rFonts w:hint="eastAsia" w:ascii="Times New Roman" w:eastAsia="宋体"/>
          <w:color w:val="auto"/>
        </w:rPr>
        <w:t>21</w:t>
      </w:r>
      <w:r>
        <w:rPr>
          <w:rFonts w:ascii="Times New Roman" w:eastAsia="宋体"/>
          <w:color w:val="auto"/>
        </w:rPr>
        <w:t>）；</w:t>
      </w:r>
    </w:p>
    <w:p>
      <w:pPr>
        <w:spacing w:line="360" w:lineRule="auto"/>
        <w:ind w:firstLine="482"/>
        <w:rPr>
          <w:rFonts w:ascii="Times New Roman" w:eastAsia="宋体"/>
          <w:color w:val="auto"/>
        </w:rPr>
      </w:pPr>
      <w:r>
        <w:rPr>
          <w:rFonts w:ascii="Times New Roman" w:eastAsia="宋体"/>
          <w:color w:val="auto"/>
        </w:rPr>
        <w:t>（4）《环境影响评价技术导则地下水环境》（HJ610-2016）；</w:t>
      </w:r>
    </w:p>
    <w:p>
      <w:pPr>
        <w:spacing w:line="360" w:lineRule="auto"/>
        <w:ind w:firstLine="482"/>
        <w:rPr>
          <w:rFonts w:ascii="Times New Roman" w:eastAsia="宋体"/>
          <w:color w:val="auto"/>
        </w:rPr>
      </w:pPr>
      <w:r>
        <w:rPr>
          <w:rFonts w:ascii="Times New Roman" w:eastAsia="宋体"/>
          <w:color w:val="auto"/>
        </w:rPr>
        <w:t>（5）《环境影响评价技术导则地表水环境》（HJ2.3-2018）；</w:t>
      </w:r>
    </w:p>
    <w:p>
      <w:pPr>
        <w:spacing w:line="360" w:lineRule="auto"/>
        <w:ind w:firstLine="482"/>
        <w:rPr>
          <w:rFonts w:ascii="Times New Roman" w:eastAsia="宋体"/>
          <w:color w:val="auto"/>
        </w:rPr>
      </w:pPr>
      <w:r>
        <w:rPr>
          <w:rFonts w:ascii="Times New Roman" w:eastAsia="宋体"/>
          <w:color w:val="auto"/>
        </w:rPr>
        <w:t>（6）《环境影响评价技术导则土壤环境（试行）》（HJ964-2018）；</w:t>
      </w:r>
    </w:p>
    <w:p>
      <w:pPr>
        <w:spacing w:line="360" w:lineRule="auto"/>
        <w:ind w:firstLine="482"/>
        <w:rPr>
          <w:rFonts w:ascii="Times New Roman" w:eastAsia="宋体"/>
          <w:color w:val="auto"/>
        </w:rPr>
      </w:pPr>
      <w:r>
        <w:rPr>
          <w:rFonts w:ascii="Times New Roman" w:eastAsia="宋体"/>
          <w:color w:val="auto"/>
        </w:rPr>
        <w:t>（7）《环境影响评价技术导则生态影响》（HJ19-20</w:t>
      </w:r>
      <w:r>
        <w:rPr>
          <w:rFonts w:hint="eastAsia" w:ascii="Times New Roman" w:eastAsia="宋体"/>
          <w:color w:val="auto"/>
        </w:rPr>
        <w:t>22</w:t>
      </w:r>
      <w:r>
        <w:rPr>
          <w:rFonts w:ascii="Times New Roman" w:eastAsia="宋体"/>
          <w:color w:val="auto"/>
        </w:rPr>
        <w:t>）；</w:t>
      </w:r>
    </w:p>
    <w:p>
      <w:pPr>
        <w:spacing w:line="360" w:lineRule="auto"/>
        <w:ind w:firstLine="482"/>
        <w:rPr>
          <w:rFonts w:ascii="Times New Roman" w:eastAsia="宋体"/>
          <w:color w:val="auto"/>
        </w:rPr>
      </w:pPr>
      <w:r>
        <w:rPr>
          <w:rFonts w:ascii="Times New Roman" w:eastAsia="宋体"/>
          <w:color w:val="auto"/>
        </w:rPr>
        <w:t>（8）《建设项目环境风险评价技术导则》（</w:t>
      </w:r>
      <w:r>
        <w:rPr>
          <w:rFonts w:hint="eastAsia" w:ascii="Times New Roman" w:eastAsia="宋体"/>
          <w:color w:val="auto"/>
        </w:rPr>
        <w:t>HJ169-2018</w:t>
      </w:r>
      <w:r>
        <w:rPr>
          <w:rFonts w:ascii="Times New Roman" w:eastAsia="宋体"/>
          <w:color w:val="auto"/>
        </w:rPr>
        <w:t>）；</w:t>
      </w:r>
    </w:p>
    <w:p>
      <w:pPr>
        <w:spacing w:line="360" w:lineRule="auto"/>
        <w:ind w:firstLine="482"/>
        <w:rPr>
          <w:rFonts w:ascii="Times New Roman" w:eastAsia="宋体"/>
          <w:color w:val="auto"/>
        </w:rPr>
      </w:pPr>
      <w:r>
        <w:rPr>
          <w:rFonts w:hint="eastAsia" w:ascii="Times New Roman" w:eastAsia="宋体"/>
          <w:color w:val="auto"/>
        </w:rPr>
        <w:t>（9）</w:t>
      </w:r>
      <w:r>
        <w:rPr>
          <w:rFonts w:ascii="Times New Roman" w:eastAsia="宋体"/>
          <w:color w:val="auto"/>
        </w:rPr>
        <w:t>《建设项目危险废物环境影响评价指南》</w:t>
      </w:r>
      <w:r>
        <w:rPr>
          <w:rFonts w:hint="eastAsia" w:ascii="Times New Roman" w:eastAsia="宋体"/>
          <w:color w:val="auto"/>
        </w:rPr>
        <w:t>，2017年10月1日</w:t>
      </w:r>
      <w:r>
        <w:rPr>
          <w:rFonts w:ascii="Times New Roman" w:eastAsia="宋体"/>
          <w:color w:val="auto"/>
        </w:rPr>
        <w:t>；</w:t>
      </w:r>
    </w:p>
    <w:p>
      <w:pPr>
        <w:spacing w:line="360" w:lineRule="auto"/>
        <w:ind w:firstLine="482"/>
        <w:rPr>
          <w:rFonts w:ascii="Times New Roman" w:eastAsia="宋体"/>
          <w:color w:val="auto"/>
        </w:rPr>
      </w:pPr>
      <w:r>
        <w:rPr>
          <w:rFonts w:ascii="Times New Roman" w:eastAsia="宋体"/>
          <w:color w:val="auto"/>
        </w:rPr>
        <w:t>（1</w:t>
      </w:r>
      <w:r>
        <w:rPr>
          <w:rFonts w:hint="eastAsia" w:ascii="Times New Roman" w:eastAsia="宋体"/>
          <w:color w:val="auto"/>
        </w:rPr>
        <w:t>0</w:t>
      </w:r>
      <w:r>
        <w:rPr>
          <w:rFonts w:ascii="Times New Roman" w:eastAsia="宋体"/>
          <w:color w:val="auto"/>
        </w:rPr>
        <w:t>）《畜禽养殖业污染治理工程技术规范》（HJ497-2009）；</w:t>
      </w:r>
    </w:p>
    <w:p>
      <w:pPr>
        <w:spacing w:line="360" w:lineRule="auto"/>
        <w:ind w:firstLine="482"/>
        <w:rPr>
          <w:rFonts w:ascii="Times New Roman" w:eastAsia="宋体"/>
          <w:color w:val="auto"/>
        </w:rPr>
      </w:pPr>
      <w:r>
        <w:rPr>
          <w:rFonts w:ascii="Times New Roman" w:eastAsia="宋体"/>
          <w:color w:val="auto"/>
        </w:rPr>
        <w:t>（1</w:t>
      </w:r>
      <w:r>
        <w:rPr>
          <w:rFonts w:hint="eastAsia" w:ascii="Times New Roman" w:eastAsia="宋体"/>
          <w:color w:val="auto"/>
        </w:rPr>
        <w:t>1</w:t>
      </w:r>
      <w:r>
        <w:rPr>
          <w:rFonts w:ascii="Times New Roman" w:eastAsia="宋体"/>
          <w:color w:val="auto"/>
        </w:rPr>
        <w:t>）《畜禽养殖产地环境评价规范》（HJ568-2010）；</w:t>
      </w:r>
    </w:p>
    <w:p>
      <w:pPr>
        <w:spacing w:line="360" w:lineRule="auto"/>
        <w:ind w:firstLine="482"/>
        <w:rPr>
          <w:rFonts w:ascii="Times New Roman" w:eastAsia="宋体"/>
          <w:color w:val="auto"/>
        </w:rPr>
      </w:pPr>
      <w:r>
        <w:rPr>
          <w:rFonts w:ascii="Times New Roman" w:eastAsia="宋体"/>
          <w:color w:val="auto"/>
        </w:rPr>
        <w:t>（1</w:t>
      </w:r>
      <w:r>
        <w:rPr>
          <w:rFonts w:hint="eastAsia" w:ascii="Times New Roman" w:eastAsia="宋体"/>
          <w:color w:val="auto"/>
        </w:rPr>
        <w:t>2</w:t>
      </w:r>
      <w:r>
        <w:rPr>
          <w:rFonts w:ascii="Times New Roman" w:eastAsia="宋体"/>
          <w:color w:val="auto"/>
        </w:rPr>
        <w:t>）《畜禽粪便还田技术规范》（GB/T25246-2010）；</w:t>
      </w:r>
    </w:p>
    <w:p>
      <w:pPr>
        <w:spacing w:line="360" w:lineRule="auto"/>
        <w:ind w:firstLine="482"/>
        <w:rPr>
          <w:rFonts w:ascii="Times New Roman" w:eastAsia="宋体"/>
          <w:color w:val="auto"/>
        </w:rPr>
      </w:pPr>
      <w:r>
        <w:rPr>
          <w:rFonts w:ascii="Times New Roman" w:eastAsia="宋体"/>
          <w:color w:val="auto"/>
        </w:rPr>
        <w:t>（1</w:t>
      </w:r>
      <w:r>
        <w:rPr>
          <w:rFonts w:hint="eastAsia" w:ascii="Times New Roman" w:eastAsia="宋体"/>
          <w:color w:val="auto"/>
        </w:rPr>
        <w:t>3</w:t>
      </w:r>
      <w:r>
        <w:rPr>
          <w:rFonts w:ascii="Times New Roman" w:eastAsia="宋体"/>
          <w:color w:val="auto"/>
        </w:rPr>
        <w:t>）《畜禽养殖业污染防治技术规范》（HJ/T81-2001）；</w:t>
      </w:r>
    </w:p>
    <w:p>
      <w:pPr>
        <w:spacing w:line="360" w:lineRule="auto"/>
        <w:ind w:firstLine="482"/>
        <w:rPr>
          <w:rFonts w:ascii="Times New Roman" w:eastAsia="宋体"/>
          <w:color w:val="auto"/>
        </w:rPr>
      </w:pPr>
      <w:r>
        <w:rPr>
          <w:rFonts w:ascii="Times New Roman" w:eastAsia="宋体"/>
          <w:color w:val="auto"/>
        </w:rPr>
        <w:t>（1</w:t>
      </w:r>
      <w:r>
        <w:rPr>
          <w:rFonts w:hint="eastAsia" w:ascii="Times New Roman" w:eastAsia="宋体"/>
          <w:color w:val="auto"/>
        </w:rPr>
        <w:t>4</w:t>
      </w:r>
      <w:r>
        <w:rPr>
          <w:rFonts w:ascii="Times New Roman" w:eastAsia="宋体"/>
          <w:color w:val="auto"/>
        </w:rPr>
        <w:t>）《病死及病害动物无害化处理技术规范》（农医发</w:t>
      </w:r>
      <w:r>
        <w:rPr>
          <w:rFonts w:hint="eastAsia" w:ascii="Times New Roman" w:eastAsia="宋体"/>
          <w:color w:val="auto"/>
        </w:rPr>
        <w:t>[</w:t>
      </w:r>
      <w:r>
        <w:rPr>
          <w:rFonts w:ascii="Times New Roman" w:eastAsia="宋体"/>
          <w:color w:val="auto"/>
        </w:rPr>
        <w:t>2017</w:t>
      </w:r>
      <w:r>
        <w:rPr>
          <w:rFonts w:hint="eastAsia" w:ascii="Times New Roman" w:eastAsia="宋体"/>
          <w:color w:val="auto"/>
        </w:rPr>
        <w:t>]</w:t>
      </w:r>
      <w:r>
        <w:rPr>
          <w:rFonts w:ascii="Times New Roman" w:eastAsia="宋体"/>
          <w:color w:val="auto"/>
        </w:rPr>
        <w:t>25号）；</w:t>
      </w:r>
    </w:p>
    <w:p>
      <w:pPr>
        <w:spacing w:line="360" w:lineRule="auto"/>
        <w:ind w:firstLine="482"/>
        <w:rPr>
          <w:rFonts w:ascii="Times New Roman" w:eastAsia="宋体"/>
          <w:color w:val="auto"/>
        </w:rPr>
      </w:pPr>
      <w:r>
        <w:rPr>
          <w:rFonts w:ascii="Times New Roman" w:eastAsia="宋体"/>
          <w:color w:val="auto"/>
        </w:rPr>
        <w:t>（1</w:t>
      </w:r>
      <w:r>
        <w:rPr>
          <w:rFonts w:hint="eastAsia" w:ascii="Times New Roman" w:eastAsia="宋体"/>
          <w:color w:val="auto"/>
        </w:rPr>
        <w:t>5</w:t>
      </w:r>
      <w:r>
        <w:rPr>
          <w:rFonts w:ascii="Times New Roman" w:eastAsia="宋体"/>
          <w:color w:val="auto"/>
        </w:rPr>
        <w:t>）《畜禽粪便无害化处理技术规范》（GB/T 36195-2018）；</w:t>
      </w:r>
    </w:p>
    <w:p>
      <w:pPr>
        <w:spacing w:line="360" w:lineRule="auto"/>
        <w:ind w:firstLine="482"/>
        <w:rPr>
          <w:rFonts w:ascii="Times New Roman" w:eastAsia="宋体"/>
          <w:color w:val="auto"/>
        </w:rPr>
      </w:pPr>
      <w:r>
        <w:rPr>
          <w:rFonts w:ascii="Times New Roman" w:eastAsia="宋体"/>
          <w:color w:val="auto"/>
        </w:rPr>
        <w:t>（1</w:t>
      </w:r>
      <w:r>
        <w:rPr>
          <w:rFonts w:hint="eastAsia" w:ascii="Times New Roman" w:eastAsia="宋体"/>
          <w:color w:val="auto"/>
        </w:rPr>
        <w:t>6</w:t>
      </w:r>
      <w:r>
        <w:rPr>
          <w:rFonts w:ascii="Times New Roman" w:eastAsia="宋体"/>
          <w:color w:val="auto"/>
        </w:rPr>
        <w:t>）《畜禽规模养殖场粪污资源化利用设施建设规范（试行）》</w:t>
      </w:r>
      <w:r>
        <w:rPr>
          <w:rFonts w:hint="eastAsia" w:ascii="Times New Roman" w:eastAsia="宋体"/>
          <w:color w:val="auto"/>
        </w:rPr>
        <w:t>（农办牧[</w:t>
      </w:r>
      <w:r>
        <w:rPr>
          <w:rFonts w:ascii="Times New Roman" w:eastAsia="宋体"/>
          <w:color w:val="auto"/>
        </w:rPr>
        <w:t>201</w:t>
      </w:r>
      <w:r>
        <w:rPr>
          <w:rFonts w:hint="eastAsia" w:ascii="Times New Roman" w:eastAsia="宋体"/>
          <w:color w:val="auto"/>
        </w:rPr>
        <w:t>8]2号）；</w:t>
      </w:r>
    </w:p>
    <w:p>
      <w:pPr>
        <w:spacing w:line="360" w:lineRule="auto"/>
        <w:ind w:firstLine="482"/>
        <w:rPr>
          <w:rFonts w:ascii="Times New Roman" w:eastAsia="宋体"/>
          <w:color w:val="auto"/>
        </w:rPr>
      </w:pPr>
      <w:r>
        <w:rPr>
          <w:rFonts w:ascii="Times New Roman" w:eastAsia="宋体"/>
          <w:color w:val="auto"/>
        </w:rPr>
        <w:t>（</w:t>
      </w:r>
      <w:r>
        <w:rPr>
          <w:rFonts w:hint="eastAsia" w:ascii="Times New Roman" w:eastAsia="宋体"/>
          <w:color w:val="auto"/>
        </w:rPr>
        <w:t>17</w:t>
      </w:r>
      <w:r>
        <w:rPr>
          <w:rFonts w:ascii="Times New Roman" w:eastAsia="宋体"/>
          <w:color w:val="auto"/>
        </w:rPr>
        <w:t>）《排污许可证申请与核发技术规范锅炉》（HJ953-2018）；</w:t>
      </w:r>
    </w:p>
    <w:p>
      <w:pPr>
        <w:spacing w:line="360" w:lineRule="auto"/>
        <w:ind w:firstLine="482"/>
        <w:rPr>
          <w:rFonts w:ascii="Times New Roman" w:eastAsia="宋体"/>
          <w:color w:val="auto"/>
        </w:rPr>
      </w:pPr>
      <w:r>
        <w:rPr>
          <w:rFonts w:ascii="Times New Roman" w:eastAsia="宋体"/>
          <w:color w:val="auto"/>
        </w:rPr>
        <w:t>（</w:t>
      </w:r>
      <w:r>
        <w:rPr>
          <w:rFonts w:hint="eastAsia" w:ascii="Times New Roman" w:eastAsia="宋体"/>
          <w:color w:val="auto"/>
        </w:rPr>
        <w:t>18</w:t>
      </w:r>
      <w:r>
        <w:rPr>
          <w:rFonts w:ascii="Times New Roman" w:eastAsia="宋体"/>
          <w:color w:val="auto"/>
        </w:rPr>
        <w:t>）《排污许可证申请与核发技术规范畜禽养殖业》（HJ1029-2019）</w:t>
      </w:r>
    </w:p>
    <w:p>
      <w:pPr>
        <w:spacing w:line="360" w:lineRule="auto"/>
        <w:ind w:firstLine="482"/>
        <w:rPr>
          <w:rFonts w:ascii="Times New Roman" w:eastAsia="宋体"/>
          <w:color w:val="auto"/>
        </w:rPr>
      </w:pPr>
      <w:r>
        <w:rPr>
          <w:rFonts w:hint="eastAsia" w:ascii="Times New Roman" w:eastAsia="宋体"/>
          <w:color w:val="auto"/>
        </w:rPr>
        <w:t>（19）</w:t>
      </w:r>
      <w:r>
        <w:rPr>
          <w:rFonts w:ascii="Times New Roman" w:eastAsia="宋体"/>
          <w:color w:val="auto"/>
        </w:rPr>
        <w:t>《畜禽粪便农田利用环境影响评价准则》（GB/T26622-2011）；</w:t>
      </w:r>
    </w:p>
    <w:p>
      <w:pPr>
        <w:spacing w:line="360" w:lineRule="auto"/>
        <w:ind w:firstLine="482"/>
        <w:rPr>
          <w:rFonts w:ascii="Times New Roman" w:eastAsia="宋体"/>
          <w:color w:val="auto"/>
        </w:rPr>
      </w:pPr>
      <w:r>
        <w:rPr>
          <w:rFonts w:hint="eastAsia" w:ascii="Times New Roman" w:eastAsia="宋体"/>
          <w:color w:val="auto"/>
        </w:rPr>
        <w:t>（20）</w:t>
      </w:r>
      <w:r>
        <w:rPr>
          <w:rFonts w:hint="eastAsia" w:ascii="Times New Roman" w:eastAsia="宋体"/>
          <w:color w:val="auto"/>
          <w:lang w:val="en-US" w:eastAsia="zh-CN"/>
        </w:rPr>
        <w:t xml:space="preserve"> </w:t>
      </w:r>
      <w:r>
        <w:rPr>
          <w:rFonts w:ascii="Times New Roman" w:eastAsia="宋体"/>
          <w:color w:val="auto"/>
        </w:rPr>
        <w:t>《规模畜禽养殖场污染防治最佳可行技术指南（试行）》（HJ-BAT-10）</w:t>
      </w:r>
      <w:r>
        <w:rPr>
          <w:rFonts w:hint="eastAsia" w:ascii="Times New Roman" w:eastAsia="宋体"/>
          <w:color w:val="auto"/>
        </w:rPr>
        <w:t>；</w:t>
      </w:r>
    </w:p>
    <w:p>
      <w:pPr>
        <w:spacing w:line="360" w:lineRule="auto"/>
        <w:ind w:firstLine="482"/>
        <w:rPr>
          <w:rFonts w:ascii="Times New Roman" w:eastAsia="宋体"/>
          <w:color w:val="auto"/>
        </w:rPr>
      </w:pPr>
      <w:r>
        <w:rPr>
          <w:rFonts w:hint="eastAsia" w:ascii="Times New Roman" w:eastAsia="宋体"/>
          <w:color w:val="auto"/>
        </w:rPr>
        <w:t>（21）</w:t>
      </w:r>
      <w:r>
        <w:rPr>
          <w:rFonts w:ascii="Times New Roman" w:eastAsia="宋体"/>
          <w:color w:val="auto"/>
        </w:rPr>
        <w:t>《畜禽粪污土地承载力测算技术指南》（农办牧[2018]</w:t>
      </w:r>
      <w:r>
        <w:rPr>
          <w:rFonts w:hint="eastAsia" w:ascii="Times New Roman" w:eastAsia="宋体"/>
          <w:color w:val="auto"/>
        </w:rPr>
        <w:t>1</w:t>
      </w:r>
      <w:r>
        <w:rPr>
          <w:rFonts w:ascii="Times New Roman" w:eastAsia="宋体"/>
          <w:color w:val="auto"/>
        </w:rPr>
        <w:t>号）</w:t>
      </w:r>
      <w:r>
        <w:rPr>
          <w:rFonts w:hint="eastAsia" w:ascii="Times New Roman" w:eastAsia="宋体"/>
          <w:color w:val="auto"/>
        </w:rPr>
        <w:t>；</w:t>
      </w:r>
    </w:p>
    <w:p>
      <w:pPr>
        <w:spacing w:line="360" w:lineRule="auto"/>
        <w:ind w:firstLine="482"/>
        <w:rPr>
          <w:rFonts w:ascii="Times New Roman" w:eastAsia="宋体"/>
          <w:color w:val="auto"/>
        </w:rPr>
      </w:pPr>
      <w:r>
        <w:rPr>
          <w:rFonts w:hint="eastAsia" w:ascii="Times New Roman" w:eastAsia="宋体"/>
          <w:color w:val="auto"/>
        </w:rPr>
        <w:t>（22）《湖南省用水定额》（DB43/T388-2020）</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.2.</w:t>
      </w:r>
      <w:r>
        <w:rPr>
          <w:rFonts w:hint="eastAsia" w:ascii="Times New Roman" w:eastAsia="宋体"/>
          <w:b/>
          <w:bCs/>
          <w:color w:val="auto"/>
          <w:kern w:val="2"/>
          <w:sz w:val="24"/>
        </w:rPr>
        <w:t>5其他</w:t>
      </w:r>
      <w:r>
        <w:rPr>
          <w:rFonts w:ascii="Times New Roman" w:eastAsia="宋体"/>
          <w:b/>
          <w:bCs/>
          <w:color w:val="auto"/>
          <w:kern w:val="2"/>
          <w:sz w:val="24"/>
        </w:rPr>
        <w:t>相关资料</w:t>
      </w:r>
      <w:bookmarkEnd w:id="55"/>
    </w:p>
    <w:p>
      <w:pPr>
        <w:spacing w:line="360" w:lineRule="auto"/>
        <w:ind w:firstLine="482"/>
        <w:rPr>
          <w:rFonts w:ascii="Times New Roman" w:eastAsia="宋体"/>
          <w:color w:val="auto"/>
        </w:rPr>
      </w:pPr>
      <w:r>
        <w:rPr>
          <w:rFonts w:hint="eastAsia" w:ascii="Times New Roman" w:eastAsia="宋体"/>
          <w:color w:val="auto"/>
        </w:rPr>
        <w:t>（1）本项目环评委托书；</w:t>
      </w:r>
    </w:p>
    <w:p>
      <w:pPr>
        <w:spacing w:line="360" w:lineRule="auto"/>
        <w:ind w:firstLine="484" w:firstLineChars="200"/>
        <w:rPr>
          <w:rFonts w:ascii="Times New Roman" w:eastAsia="宋体"/>
          <w:color w:val="auto"/>
        </w:rPr>
      </w:pPr>
      <w:r>
        <w:rPr>
          <w:rFonts w:hint="eastAsia" w:ascii="Times New Roman" w:eastAsia="宋体"/>
          <w:color w:val="auto"/>
        </w:rPr>
        <w:t>（2）企业营业执照、土地置换协议、岳阳县新墙镇人民政府、岳阳市生态环境局岳阳县分局、岳阳县自然资源局、岳阳县林业局、岳阳县水利局、岳阳县畜牧水产发展服务中心对养殖场选址联合审批意见、发改备案证明等；</w:t>
      </w:r>
    </w:p>
    <w:p>
      <w:pPr>
        <w:spacing w:line="360" w:lineRule="auto"/>
        <w:ind w:firstLine="484" w:firstLineChars="200"/>
        <w:rPr>
          <w:rFonts w:ascii="Times New Roman" w:eastAsia="宋体"/>
          <w:color w:val="auto"/>
        </w:rPr>
      </w:pPr>
      <w:r>
        <w:rPr>
          <w:rFonts w:hint="eastAsia" w:ascii="Times New Roman" w:eastAsia="宋体"/>
          <w:color w:val="auto"/>
        </w:rPr>
        <w:t>（3）建设单位提供的相关资料、技术文件等；</w:t>
      </w:r>
    </w:p>
    <w:p>
      <w:pPr>
        <w:spacing w:line="360" w:lineRule="auto"/>
        <w:ind w:firstLine="484" w:firstLineChars="200"/>
        <w:rPr>
          <w:rFonts w:ascii="Times New Roman" w:eastAsia="宋体"/>
          <w:color w:val="auto"/>
        </w:rPr>
      </w:pPr>
      <w:r>
        <w:rPr>
          <w:rFonts w:hint="eastAsia" w:ascii="Times New Roman" w:eastAsia="宋体"/>
          <w:color w:val="auto"/>
        </w:rPr>
        <w:t>（4）环境质量现状监测报告及质量保证单。</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6" w:name="_Toc21236"/>
      <w:bookmarkStart w:id="57" w:name="_Toc26385"/>
      <w:bookmarkStart w:id="58" w:name="_Toc7272"/>
      <w:bookmarkStart w:id="59" w:name="_Toc28522"/>
      <w:bookmarkStart w:id="60" w:name="_Toc397698021"/>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.3环境影响</w:t>
      </w:r>
      <w:r>
        <w:rPr>
          <w:rFonts w:hint="eastAsia" w:ascii="Times New Roman" w:hAnsi="Times New Roman" w:eastAsia="宋体"/>
          <w:color w:val="auto"/>
          <w:kern w:val="2"/>
          <w:sz w:val="28"/>
          <w:szCs w:val="28"/>
        </w:rPr>
        <w:t>要素</w:t>
      </w:r>
      <w:r>
        <w:rPr>
          <w:rFonts w:ascii="Times New Roman" w:hAnsi="Times New Roman" w:eastAsia="宋体"/>
          <w:color w:val="auto"/>
          <w:kern w:val="2"/>
          <w:sz w:val="28"/>
          <w:szCs w:val="28"/>
        </w:rPr>
        <w:t>识别与评价因子筛选</w:t>
      </w:r>
      <w:bookmarkEnd w:id="56"/>
      <w:bookmarkEnd w:id="57"/>
      <w:bookmarkEnd w:id="58"/>
      <w:bookmarkEnd w:id="59"/>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.3.1环境影响因素识别</w:t>
      </w:r>
    </w:p>
    <w:p>
      <w:pPr>
        <w:spacing w:line="360" w:lineRule="auto"/>
        <w:ind w:firstLine="484" w:firstLineChars="200"/>
        <w:rPr>
          <w:rFonts w:ascii="Times New Roman" w:eastAsia="宋体"/>
          <w:color w:val="auto"/>
        </w:rPr>
      </w:pPr>
      <w:r>
        <w:rPr>
          <w:rFonts w:hint="eastAsia" w:ascii="Times New Roman" w:eastAsia="宋体"/>
          <w:color w:val="auto"/>
        </w:rPr>
        <w:t>根据项目性质、工程特点、实施阶段，结合项目建设区域的自然和社会环境特征，识别出本项目可能对各环境要素产生的影响，以确定环境影响因素和评价因子，见表</w:t>
      </w:r>
      <w:bookmarkStart w:id="61" w:name="_Ref485734931"/>
      <w:r>
        <w:rPr>
          <w:rFonts w:hint="eastAsia" w:ascii="Times New Roman" w:eastAsia="宋体"/>
          <w:color w:val="auto"/>
        </w:rPr>
        <w:t>2</w:t>
      </w:r>
      <w:r>
        <w:rPr>
          <w:rFonts w:ascii="Times New Roman" w:eastAsia="宋体"/>
          <w:color w:val="auto"/>
        </w:rPr>
        <w:t>.3-</w:t>
      </w:r>
      <w:r>
        <w:rPr>
          <w:rFonts w:ascii="Times New Roman" w:eastAsia="宋体"/>
          <w:color w:val="auto"/>
        </w:rPr>
        <w:fldChar w:fldCharType="begin"/>
      </w:r>
      <w:r>
        <w:rPr>
          <w:rFonts w:ascii="Times New Roman" w:eastAsia="宋体"/>
          <w:color w:val="auto"/>
        </w:rPr>
        <w:instrText xml:space="preserve"> SEQ 表 \* ARABIC \s 1 </w:instrText>
      </w:r>
      <w:r>
        <w:rPr>
          <w:rFonts w:ascii="Times New Roman" w:eastAsia="宋体"/>
          <w:color w:val="auto"/>
        </w:rPr>
        <w:fldChar w:fldCharType="separate"/>
      </w:r>
      <w:r>
        <w:rPr>
          <w:rFonts w:ascii="Times New Roman" w:eastAsia="宋体"/>
          <w:color w:val="auto"/>
        </w:rPr>
        <w:t>1</w:t>
      </w:r>
      <w:r>
        <w:rPr>
          <w:rFonts w:ascii="Times New Roman" w:eastAsia="宋体"/>
          <w:color w:val="auto"/>
        </w:rPr>
        <w:fldChar w:fldCharType="end"/>
      </w:r>
    </w:p>
    <w:p>
      <w:pPr>
        <w:spacing w:line="360" w:lineRule="auto"/>
        <w:ind w:firstLine="424" w:firstLineChars="200"/>
        <w:jc w:val="center"/>
        <w:rPr>
          <w:rFonts w:ascii="Times New Roman" w:eastAsia="宋体"/>
          <w:b/>
          <w:bCs/>
          <w:snapToGrid w:val="0"/>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2</w:t>
      </w:r>
      <w:r>
        <w:rPr>
          <w:rFonts w:ascii="Times New Roman" w:eastAsia="宋体"/>
          <w:b/>
          <w:bCs/>
          <w:color w:val="auto"/>
          <w:sz w:val="21"/>
          <w:szCs w:val="21"/>
        </w:rPr>
        <w:t>.3-</w:t>
      </w:r>
      <w:r>
        <w:rPr>
          <w:rFonts w:ascii="Times New Roman" w:eastAsia="宋体"/>
          <w:b/>
          <w:bCs/>
          <w:color w:val="auto"/>
          <w:sz w:val="21"/>
          <w:szCs w:val="21"/>
        </w:rPr>
        <w:fldChar w:fldCharType="begin"/>
      </w:r>
      <w:r>
        <w:rPr>
          <w:rFonts w:ascii="Times New Roman" w:eastAsia="宋体"/>
          <w:b/>
          <w:bCs/>
          <w:color w:val="auto"/>
          <w:sz w:val="21"/>
          <w:szCs w:val="21"/>
        </w:rPr>
        <w:instrText xml:space="preserve"> SEQ 表 \* ARABIC \s 1 </w:instrText>
      </w:r>
      <w:r>
        <w:rPr>
          <w:rFonts w:ascii="Times New Roman" w:eastAsia="宋体"/>
          <w:b/>
          <w:bCs/>
          <w:color w:val="auto"/>
          <w:sz w:val="21"/>
          <w:szCs w:val="21"/>
        </w:rPr>
        <w:fldChar w:fldCharType="separate"/>
      </w:r>
      <w:r>
        <w:rPr>
          <w:rFonts w:ascii="Times New Roman" w:eastAsia="宋体"/>
          <w:b/>
          <w:bCs/>
          <w:color w:val="auto"/>
          <w:sz w:val="21"/>
          <w:szCs w:val="21"/>
        </w:rPr>
        <w:t>1</w:t>
      </w:r>
      <w:r>
        <w:rPr>
          <w:rFonts w:ascii="Times New Roman" w:eastAsia="宋体"/>
          <w:b/>
          <w:bCs/>
          <w:color w:val="auto"/>
          <w:sz w:val="21"/>
          <w:szCs w:val="21"/>
        </w:rPr>
        <w:fldChar w:fldCharType="end"/>
      </w:r>
      <w:bookmarkEnd w:id="61"/>
      <w:r>
        <w:rPr>
          <w:rFonts w:ascii="Times New Roman" w:eastAsia="宋体"/>
          <w:b/>
          <w:bCs/>
          <w:snapToGrid w:val="0"/>
          <w:color w:val="auto"/>
          <w:sz w:val="21"/>
          <w:szCs w:val="21"/>
        </w:rPr>
        <w:t>环境影响评价因子筛选矩阵</w:t>
      </w:r>
      <w:r>
        <w:rPr>
          <w:rFonts w:hint="eastAsia" w:ascii="Times New Roman" w:eastAsia="宋体"/>
          <w:b/>
          <w:bCs/>
          <w:snapToGrid w:val="0"/>
          <w:color w:val="auto"/>
          <w:sz w:val="21"/>
          <w:szCs w:val="21"/>
        </w:rPr>
        <w:t>表</w:t>
      </w:r>
    </w:p>
    <w:tbl>
      <w:tblPr>
        <w:tblStyle w:val="47"/>
        <w:tblW w:w="518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78"/>
        <w:gridCol w:w="1180"/>
        <w:gridCol w:w="652"/>
        <w:gridCol w:w="668"/>
        <w:gridCol w:w="804"/>
        <w:gridCol w:w="701"/>
        <w:gridCol w:w="701"/>
        <w:gridCol w:w="701"/>
        <w:gridCol w:w="701"/>
        <w:gridCol w:w="705"/>
        <w:gridCol w:w="706"/>
        <w:gridCol w:w="8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91" w:type="pct"/>
            <w:gridSpan w:val="2"/>
            <w:tcBorders>
              <w:tl2br w:val="nil"/>
              <w:tr2bl w:val="nil"/>
            </w:tcBorders>
            <w:tcMar>
              <w:left w:w="28" w:type="dxa"/>
              <w:right w:w="28" w:type="dxa"/>
            </w:tcMar>
            <w:vAlign w:val="center"/>
          </w:tcPr>
          <w:p>
            <w:pPr>
              <w:pStyle w:val="373"/>
              <w:rPr>
                <w:b/>
                <w:snapToGrid w:val="0"/>
                <w:color w:val="auto"/>
              </w:rPr>
            </w:pPr>
            <w:r>
              <w:rPr>
                <w:b/>
                <w:snapToGrid w:val="0"/>
                <w:color w:val="auto"/>
              </w:rPr>
              <w:t>工程活动</w:t>
            </w:r>
          </w:p>
        </w:tc>
        <w:tc>
          <w:tcPr>
            <w:tcW w:w="1215" w:type="pct"/>
            <w:gridSpan w:val="3"/>
            <w:tcBorders>
              <w:tl2br w:val="nil"/>
              <w:tr2bl w:val="nil"/>
            </w:tcBorders>
            <w:tcMar>
              <w:left w:w="28" w:type="dxa"/>
              <w:right w:w="28" w:type="dxa"/>
            </w:tcMar>
            <w:vAlign w:val="center"/>
          </w:tcPr>
          <w:p>
            <w:pPr>
              <w:pStyle w:val="373"/>
              <w:rPr>
                <w:b/>
                <w:snapToGrid w:val="0"/>
                <w:color w:val="auto"/>
              </w:rPr>
            </w:pPr>
            <w:r>
              <w:rPr>
                <w:b/>
                <w:snapToGrid w:val="0"/>
                <w:color w:val="auto"/>
              </w:rPr>
              <w:t>施工期</w:t>
            </w:r>
          </w:p>
        </w:tc>
        <w:tc>
          <w:tcPr>
            <w:tcW w:w="2892" w:type="pct"/>
            <w:gridSpan w:val="7"/>
            <w:tcBorders>
              <w:tl2br w:val="nil"/>
              <w:tr2bl w:val="nil"/>
            </w:tcBorders>
            <w:vAlign w:val="center"/>
          </w:tcPr>
          <w:p>
            <w:pPr>
              <w:pStyle w:val="373"/>
              <w:rPr>
                <w:b/>
                <w:snapToGrid w:val="0"/>
                <w:color w:val="auto"/>
              </w:rPr>
            </w:pPr>
            <w:r>
              <w:rPr>
                <w:b/>
                <w:snapToGrid w:val="0"/>
                <w:color w:val="auto"/>
              </w:rPr>
              <w:t>运营期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891" w:type="pct"/>
            <w:gridSpan w:val="2"/>
            <w:tcBorders>
              <w:tl2br w:val="nil"/>
              <w:tr2bl w:val="nil"/>
            </w:tcBorders>
            <w:tcMar>
              <w:left w:w="28" w:type="dxa"/>
              <w:right w:w="28" w:type="dxa"/>
            </w:tcMar>
            <w:vAlign w:val="center"/>
          </w:tcPr>
          <w:p>
            <w:pPr>
              <w:pStyle w:val="373"/>
              <w:rPr>
                <w:snapToGrid w:val="0"/>
                <w:color w:val="auto"/>
              </w:rPr>
            </w:pPr>
            <w:r>
              <w:rPr>
                <w:snapToGrid w:val="0"/>
                <w:color w:val="auto"/>
              </w:rPr>
              <w:t>环境要素</w:t>
            </w:r>
          </w:p>
        </w:tc>
        <w:tc>
          <w:tcPr>
            <w:tcW w:w="373" w:type="pct"/>
            <w:tcBorders>
              <w:tl2br w:val="nil"/>
              <w:tr2bl w:val="nil"/>
            </w:tcBorders>
            <w:tcMar>
              <w:left w:w="28" w:type="dxa"/>
              <w:right w:w="28" w:type="dxa"/>
            </w:tcMar>
            <w:vAlign w:val="center"/>
          </w:tcPr>
          <w:p>
            <w:pPr>
              <w:pStyle w:val="373"/>
              <w:rPr>
                <w:snapToGrid w:val="0"/>
                <w:color w:val="auto"/>
              </w:rPr>
            </w:pPr>
            <w:r>
              <w:rPr>
                <w:snapToGrid w:val="0"/>
                <w:color w:val="auto"/>
              </w:rPr>
              <w:t>土建</w:t>
            </w:r>
          </w:p>
          <w:p>
            <w:pPr>
              <w:pStyle w:val="373"/>
              <w:rPr>
                <w:snapToGrid w:val="0"/>
                <w:color w:val="auto"/>
              </w:rPr>
            </w:pPr>
            <w:r>
              <w:rPr>
                <w:snapToGrid w:val="0"/>
                <w:color w:val="auto"/>
              </w:rPr>
              <w:t>工程</w:t>
            </w:r>
          </w:p>
        </w:tc>
        <w:tc>
          <w:tcPr>
            <w:tcW w:w="382" w:type="pct"/>
            <w:tcBorders>
              <w:tl2br w:val="nil"/>
              <w:tr2bl w:val="nil"/>
            </w:tcBorders>
            <w:vAlign w:val="center"/>
          </w:tcPr>
          <w:p>
            <w:pPr>
              <w:pStyle w:val="373"/>
              <w:rPr>
                <w:snapToGrid w:val="0"/>
                <w:color w:val="auto"/>
              </w:rPr>
            </w:pPr>
            <w:r>
              <w:rPr>
                <w:snapToGrid w:val="0"/>
                <w:color w:val="auto"/>
              </w:rPr>
              <w:t>原料</w:t>
            </w:r>
          </w:p>
          <w:p>
            <w:pPr>
              <w:pStyle w:val="373"/>
              <w:rPr>
                <w:snapToGrid w:val="0"/>
                <w:color w:val="auto"/>
              </w:rPr>
            </w:pPr>
            <w:r>
              <w:rPr>
                <w:snapToGrid w:val="0"/>
                <w:color w:val="auto"/>
              </w:rPr>
              <w:t>运输</w:t>
            </w:r>
          </w:p>
        </w:tc>
        <w:tc>
          <w:tcPr>
            <w:tcW w:w="460" w:type="pct"/>
            <w:tcBorders>
              <w:tl2br w:val="nil"/>
              <w:tr2bl w:val="nil"/>
            </w:tcBorders>
            <w:vAlign w:val="center"/>
          </w:tcPr>
          <w:p>
            <w:pPr>
              <w:pStyle w:val="373"/>
              <w:rPr>
                <w:snapToGrid w:val="0"/>
                <w:color w:val="auto"/>
              </w:rPr>
            </w:pPr>
            <w:r>
              <w:rPr>
                <w:snapToGrid w:val="0"/>
                <w:color w:val="auto"/>
              </w:rPr>
              <w:t>设备</w:t>
            </w:r>
          </w:p>
          <w:p>
            <w:pPr>
              <w:pStyle w:val="373"/>
              <w:rPr>
                <w:snapToGrid w:val="0"/>
                <w:color w:val="auto"/>
              </w:rPr>
            </w:pPr>
            <w:r>
              <w:rPr>
                <w:snapToGrid w:val="0"/>
                <w:color w:val="auto"/>
              </w:rPr>
              <w:t>安装</w:t>
            </w:r>
          </w:p>
        </w:tc>
        <w:tc>
          <w:tcPr>
            <w:tcW w:w="401" w:type="pct"/>
            <w:tcBorders>
              <w:tl2br w:val="nil"/>
              <w:tr2bl w:val="nil"/>
            </w:tcBorders>
            <w:vAlign w:val="center"/>
          </w:tcPr>
          <w:p>
            <w:pPr>
              <w:pStyle w:val="373"/>
              <w:rPr>
                <w:snapToGrid w:val="0"/>
                <w:color w:val="auto"/>
              </w:rPr>
            </w:pPr>
            <w:r>
              <w:rPr>
                <w:snapToGrid w:val="0"/>
                <w:color w:val="auto"/>
              </w:rPr>
              <w:t>废水</w:t>
            </w:r>
          </w:p>
          <w:p>
            <w:pPr>
              <w:pStyle w:val="373"/>
              <w:rPr>
                <w:snapToGrid w:val="0"/>
                <w:color w:val="auto"/>
              </w:rPr>
            </w:pPr>
            <w:r>
              <w:rPr>
                <w:snapToGrid w:val="0"/>
                <w:color w:val="auto"/>
              </w:rPr>
              <w:t>排放</w:t>
            </w:r>
          </w:p>
        </w:tc>
        <w:tc>
          <w:tcPr>
            <w:tcW w:w="401" w:type="pct"/>
            <w:tcBorders>
              <w:tl2br w:val="nil"/>
              <w:tr2bl w:val="nil"/>
            </w:tcBorders>
            <w:vAlign w:val="center"/>
          </w:tcPr>
          <w:p>
            <w:pPr>
              <w:pStyle w:val="373"/>
              <w:rPr>
                <w:snapToGrid w:val="0"/>
                <w:color w:val="auto"/>
              </w:rPr>
            </w:pPr>
            <w:r>
              <w:rPr>
                <w:snapToGrid w:val="0"/>
                <w:color w:val="auto"/>
              </w:rPr>
              <w:t>废气</w:t>
            </w:r>
          </w:p>
          <w:p>
            <w:pPr>
              <w:pStyle w:val="373"/>
              <w:rPr>
                <w:snapToGrid w:val="0"/>
                <w:color w:val="auto"/>
              </w:rPr>
            </w:pPr>
            <w:r>
              <w:rPr>
                <w:snapToGrid w:val="0"/>
                <w:color w:val="auto"/>
              </w:rPr>
              <w:t>排放</w:t>
            </w:r>
          </w:p>
        </w:tc>
        <w:tc>
          <w:tcPr>
            <w:tcW w:w="401" w:type="pct"/>
            <w:tcBorders>
              <w:tl2br w:val="nil"/>
              <w:tr2bl w:val="nil"/>
            </w:tcBorders>
            <w:vAlign w:val="center"/>
          </w:tcPr>
          <w:p>
            <w:pPr>
              <w:pStyle w:val="373"/>
              <w:rPr>
                <w:snapToGrid w:val="0"/>
                <w:color w:val="auto"/>
              </w:rPr>
            </w:pPr>
            <w:r>
              <w:rPr>
                <w:snapToGrid w:val="0"/>
                <w:color w:val="auto"/>
              </w:rPr>
              <w:t>工程</w:t>
            </w:r>
          </w:p>
          <w:p>
            <w:pPr>
              <w:pStyle w:val="373"/>
              <w:rPr>
                <w:snapToGrid w:val="0"/>
                <w:color w:val="auto"/>
              </w:rPr>
            </w:pPr>
            <w:r>
              <w:rPr>
                <w:snapToGrid w:val="0"/>
                <w:color w:val="auto"/>
              </w:rPr>
              <w:t>噪声</w:t>
            </w:r>
          </w:p>
        </w:tc>
        <w:tc>
          <w:tcPr>
            <w:tcW w:w="401" w:type="pct"/>
            <w:tcBorders>
              <w:tl2br w:val="nil"/>
              <w:tr2bl w:val="nil"/>
            </w:tcBorders>
            <w:vAlign w:val="center"/>
          </w:tcPr>
          <w:p>
            <w:pPr>
              <w:pStyle w:val="373"/>
              <w:rPr>
                <w:snapToGrid w:val="0"/>
                <w:color w:val="auto"/>
              </w:rPr>
            </w:pPr>
            <w:r>
              <w:rPr>
                <w:snapToGrid w:val="0"/>
                <w:color w:val="auto"/>
              </w:rPr>
              <w:t>固废</w:t>
            </w:r>
          </w:p>
          <w:p>
            <w:pPr>
              <w:pStyle w:val="373"/>
              <w:rPr>
                <w:snapToGrid w:val="0"/>
                <w:color w:val="auto"/>
              </w:rPr>
            </w:pPr>
            <w:r>
              <w:rPr>
                <w:snapToGrid w:val="0"/>
                <w:color w:val="auto"/>
              </w:rPr>
              <w:t>堆存</w:t>
            </w:r>
          </w:p>
        </w:tc>
        <w:tc>
          <w:tcPr>
            <w:tcW w:w="403" w:type="pct"/>
            <w:tcBorders>
              <w:tl2br w:val="nil"/>
              <w:tr2bl w:val="nil"/>
            </w:tcBorders>
            <w:vAlign w:val="center"/>
          </w:tcPr>
          <w:p>
            <w:pPr>
              <w:pStyle w:val="373"/>
              <w:rPr>
                <w:snapToGrid w:val="0"/>
                <w:color w:val="auto"/>
              </w:rPr>
            </w:pPr>
            <w:r>
              <w:rPr>
                <w:snapToGrid w:val="0"/>
                <w:color w:val="auto"/>
              </w:rPr>
              <w:t>事故</w:t>
            </w:r>
          </w:p>
          <w:p>
            <w:pPr>
              <w:pStyle w:val="373"/>
              <w:rPr>
                <w:snapToGrid w:val="0"/>
                <w:color w:val="auto"/>
              </w:rPr>
            </w:pPr>
            <w:r>
              <w:rPr>
                <w:snapToGrid w:val="0"/>
                <w:color w:val="auto"/>
              </w:rPr>
              <w:t>风险</w:t>
            </w:r>
          </w:p>
        </w:tc>
        <w:tc>
          <w:tcPr>
            <w:tcW w:w="404" w:type="pct"/>
            <w:tcBorders>
              <w:tl2br w:val="nil"/>
              <w:tr2bl w:val="nil"/>
            </w:tcBorders>
            <w:vAlign w:val="center"/>
          </w:tcPr>
          <w:p>
            <w:pPr>
              <w:pStyle w:val="373"/>
              <w:rPr>
                <w:snapToGrid w:val="0"/>
                <w:color w:val="auto"/>
              </w:rPr>
            </w:pPr>
            <w:r>
              <w:rPr>
                <w:snapToGrid w:val="0"/>
                <w:color w:val="auto"/>
              </w:rPr>
              <w:t>产品</w:t>
            </w:r>
          </w:p>
          <w:p>
            <w:pPr>
              <w:pStyle w:val="373"/>
              <w:rPr>
                <w:snapToGrid w:val="0"/>
                <w:color w:val="auto"/>
              </w:rPr>
            </w:pPr>
            <w:r>
              <w:rPr>
                <w:snapToGrid w:val="0"/>
                <w:color w:val="auto"/>
              </w:rPr>
              <w:t>运输</w:t>
            </w:r>
          </w:p>
        </w:tc>
        <w:tc>
          <w:tcPr>
            <w:tcW w:w="478" w:type="pct"/>
            <w:tcBorders>
              <w:tl2br w:val="nil"/>
              <w:tr2bl w:val="nil"/>
            </w:tcBorders>
            <w:vAlign w:val="center"/>
          </w:tcPr>
          <w:p>
            <w:pPr>
              <w:pStyle w:val="373"/>
              <w:rPr>
                <w:snapToGrid w:val="0"/>
                <w:color w:val="auto"/>
              </w:rPr>
            </w:pPr>
            <w:r>
              <w:rPr>
                <w:snapToGrid w:val="0"/>
                <w:color w:val="auto"/>
              </w:rPr>
              <w:t>产品</w:t>
            </w:r>
          </w:p>
          <w:p>
            <w:pPr>
              <w:pStyle w:val="373"/>
              <w:rPr>
                <w:snapToGrid w:val="0"/>
                <w:color w:val="auto"/>
              </w:rPr>
            </w:pPr>
            <w:r>
              <w:rPr>
                <w:snapToGrid w:val="0"/>
                <w:color w:val="auto"/>
              </w:rPr>
              <w:t>生产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16" w:type="pct"/>
            <w:vMerge w:val="restart"/>
            <w:tcBorders>
              <w:tl2br w:val="nil"/>
              <w:tr2bl w:val="nil"/>
            </w:tcBorders>
            <w:tcMar>
              <w:left w:w="28" w:type="dxa"/>
              <w:right w:w="28" w:type="dxa"/>
            </w:tcMar>
            <w:vAlign w:val="center"/>
          </w:tcPr>
          <w:p>
            <w:pPr>
              <w:widowControl/>
              <w:overflowPunct w:val="0"/>
              <w:autoSpaceDE w:val="0"/>
              <w:autoSpaceDN w:val="0"/>
              <w:adjustRightInd w:val="0"/>
              <w:snapToGrid w:val="0"/>
              <w:spacing w:beforeLines="10" w:afterLines="10"/>
              <w:jc w:val="center"/>
              <w:textAlignment w:val="baseline"/>
              <w:rPr>
                <w:rFonts w:ascii="Times New Roman" w:eastAsia="宋体"/>
                <w:color w:val="auto"/>
                <w:w w:val="105"/>
                <w:szCs w:val="21"/>
              </w:rPr>
            </w:pPr>
            <w:r>
              <w:rPr>
                <w:rFonts w:ascii="Times New Roman" w:eastAsia="宋体"/>
                <w:color w:val="auto"/>
                <w:w w:val="105"/>
                <w:szCs w:val="21"/>
              </w:rPr>
              <w:t>自然</w:t>
            </w:r>
          </w:p>
          <w:p>
            <w:pPr>
              <w:widowControl/>
              <w:overflowPunct w:val="0"/>
              <w:autoSpaceDE w:val="0"/>
              <w:autoSpaceDN w:val="0"/>
              <w:adjustRightInd w:val="0"/>
              <w:snapToGrid w:val="0"/>
              <w:spacing w:beforeLines="10" w:afterLines="10"/>
              <w:jc w:val="center"/>
              <w:textAlignment w:val="baseline"/>
              <w:rPr>
                <w:rFonts w:ascii="Times New Roman" w:eastAsia="宋体"/>
                <w:snapToGrid w:val="0"/>
                <w:color w:val="auto"/>
              </w:rPr>
            </w:pPr>
            <w:r>
              <w:rPr>
                <w:rFonts w:ascii="Times New Roman" w:eastAsia="宋体"/>
                <w:color w:val="auto"/>
                <w:w w:val="105"/>
                <w:szCs w:val="21"/>
              </w:rPr>
              <w:t>资源</w:t>
            </w: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地表水体</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tcMar>
              <w:left w:w="28" w:type="dxa"/>
              <w:right w:w="28" w:type="dxa"/>
            </w:tcMar>
            <w:vAlign w:val="center"/>
          </w:tcPr>
          <w:p>
            <w:pPr>
              <w:pStyle w:val="373"/>
              <w:rPr>
                <w:snapToGrid w:val="0"/>
                <w:color w:val="auto"/>
              </w:rPr>
            </w:pP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植被生态</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 w:type="pct"/>
            <w:vMerge w:val="continue"/>
            <w:tcBorders>
              <w:tl2br w:val="nil"/>
              <w:tr2bl w:val="nil"/>
            </w:tcBorders>
            <w:tcMar>
              <w:left w:w="28" w:type="dxa"/>
              <w:right w:w="28" w:type="dxa"/>
            </w:tcMar>
            <w:vAlign w:val="center"/>
          </w:tcPr>
          <w:p>
            <w:pPr>
              <w:pStyle w:val="373"/>
              <w:rPr>
                <w:snapToGrid w:val="0"/>
                <w:color w:val="auto"/>
              </w:rPr>
            </w:pP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自然景观</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16" w:type="pct"/>
            <w:vMerge w:val="restart"/>
            <w:tcBorders>
              <w:tl2br w:val="nil"/>
              <w:tr2bl w:val="nil"/>
            </w:tcBorders>
            <w:tcMar>
              <w:left w:w="28" w:type="dxa"/>
              <w:right w:w="28" w:type="dxa"/>
            </w:tcMar>
            <w:vAlign w:val="center"/>
          </w:tcPr>
          <w:p>
            <w:pPr>
              <w:widowControl/>
              <w:overflowPunct w:val="0"/>
              <w:autoSpaceDE w:val="0"/>
              <w:autoSpaceDN w:val="0"/>
              <w:adjustRightInd w:val="0"/>
              <w:snapToGrid w:val="0"/>
              <w:spacing w:beforeLines="10" w:afterLines="10"/>
              <w:jc w:val="center"/>
              <w:textAlignment w:val="baseline"/>
              <w:rPr>
                <w:rFonts w:ascii="Times New Roman" w:eastAsia="宋体"/>
                <w:color w:val="auto"/>
                <w:w w:val="105"/>
                <w:szCs w:val="21"/>
              </w:rPr>
            </w:pPr>
            <w:r>
              <w:rPr>
                <w:rFonts w:ascii="Times New Roman" w:eastAsia="宋体"/>
                <w:color w:val="auto"/>
                <w:w w:val="105"/>
                <w:szCs w:val="21"/>
              </w:rPr>
              <w:t>居民</w:t>
            </w:r>
          </w:p>
          <w:p>
            <w:pPr>
              <w:widowControl/>
              <w:overflowPunct w:val="0"/>
              <w:autoSpaceDE w:val="0"/>
              <w:autoSpaceDN w:val="0"/>
              <w:adjustRightInd w:val="0"/>
              <w:snapToGrid w:val="0"/>
              <w:spacing w:beforeLines="10" w:afterLines="10"/>
              <w:jc w:val="center"/>
              <w:textAlignment w:val="baseline"/>
              <w:rPr>
                <w:rFonts w:ascii="Times New Roman" w:eastAsia="宋体"/>
                <w:color w:val="auto"/>
                <w:w w:val="105"/>
                <w:szCs w:val="21"/>
              </w:rPr>
            </w:pPr>
            <w:r>
              <w:rPr>
                <w:rFonts w:ascii="Times New Roman" w:eastAsia="宋体"/>
                <w:color w:val="auto"/>
                <w:w w:val="105"/>
                <w:szCs w:val="21"/>
              </w:rPr>
              <w:t>生活</w:t>
            </w:r>
          </w:p>
          <w:p>
            <w:pPr>
              <w:widowControl/>
              <w:overflowPunct w:val="0"/>
              <w:autoSpaceDE w:val="0"/>
              <w:autoSpaceDN w:val="0"/>
              <w:adjustRightInd w:val="0"/>
              <w:snapToGrid w:val="0"/>
              <w:spacing w:beforeLines="10" w:afterLines="10"/>
              <w:jc w:val="center"/>
              <w:textAlignment w:val="baseline"/>
              <w:rPr>
                <w:rFonts w:ascii="Times New Roman" w:eastAsia="宋体"/>
                <w:snapToGrid w:val="0"/>
                <w:color w:val="auto"/>
              </w:rPr>
            </w:pPr>
            <w:r>
              <w:rPr>
                <w:rFonts w:ascii="Times New Roman" w:eastAsia="宋体"/>
                <w:color w:val="auto"/>
                <w:w w:val="105"/>
                <w:szCs w:val="21"/>
              </w:rPr>
              <w:t>质量</w:t>
            </w: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空气质量</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16" w:type="pct"/>
            <w:vMerge w:val="continue"/>
            <w:tcBorders>
              <w:tl2br w:val="nil"/>
              <w:tr2bl w:val="nil"/>
            </w:tcBorders>
            <w:tcMar>
              <w:left w:w="28" w:type="dxa"/>
              <w:right w:w="28" w:type="dxa"/>
            </w:tcMar>
            <w:vAlign w:val="center"/>
          </w:tcPr>
          <w:p>
            <w:pPr>
              <w:pStyle w:val="373"/>
              <w:rPr>
                <w:snapToGrid w:val="0"/>
                <w:color w:val="auto"/>
              </w:rPr>
            </w:pP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地表水质</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16" w:type="pct"/>
            <w:vMerge w:val="continue"/>
            <w:tcBorders>
              <w:tl2br w:val="nil"/>
              <w:tr2bl w:val="nil"/>
            </w:tcBorders>
            <w:tcMar>
              <w:left w:w="28" w:type="dxa"/>
              <w:right w:w="28" w:type="dxa"/>
            </w:tcMar>
            <w:vAlign w:val="center"/>
          </w:tcPr>
          <w:p>
            <w:pPr>
              <w:pStyle w:val="373"/>
              <w:rPr>
                <w:snapToGrid w:val="0"/>
                <w:color w:val="auto"/>
              </w:rPr>
            </w:pP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声学环境</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r>
              <w:rPr>
                <w:rFonts w:ascii="Times New Roman" w:hAnsi="Times New Roman"/>
                <w:color w:val="auto"/>
                <w:sz w:val="21"/>
                <w:szCs w:val="16"/>
              </w:rPr>
              <w:t>★</w:t>
            </w: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r>
              <w:rPr>
                <w:rFonts w:ascii="Times New Roman" w:hAnsi="Times New Roman"/>
                <w:color w:val="auto"/>
                <w:sz w:val="21"/>
                <w:szCs w:val="16"/>
              </w:rPr>
              <w:t>▲</w:t>
            </w: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r>
              <w:rPr>
                <w:rFonts w:ascii="Times New Roman" w:hAnsi="Times New Roman"/>
                <w:color w:val="auto"/>
                <w:sz w:val="21"/>
                <w:szCs w:val="16"/>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16" w:type="pct"/>
            <w:vMerge w:val="continue"/>
            <w:tcBorders>
              <w:tl2br w:val="nil"/>
              <w:tr2bl w:val="nil"/>
            </w:tcBorders>
            <w:tcMar>
              <w:left w:w="28" w:type="dxa"/>
              <w:right w:w="28" w:type="dxa"/>
            </w:tcMar>
            <w:vAlign w:val="center"/>
          </w:tcPr>
          <w:p>
            <w:pPr>
              <w:pStyle w:val="373"/>
              <w:rPr>
                <w:snapToGrid w:val="0"/>
                <w:color w:val="auto"/>
              </w:rPr>
            </w:pP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居住条件</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sz w:val="21"/>
                <w:szCs w:val="16"/>
              </w:rPr>
            </w:pPr>
            <w:r>
              <w:rPr>
                <w:rFonts w:ascii="Times New Roman" w:hAnsi="Times New Roman"/>
                <w:color w:val="auto"/>
                <w:sz w:val="21"/>
                <w:szCs w:val="16"/>
              </w:rPr>
              <w:t>★</w:t>
            </w: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r>
              <w:rPr>
                <w:rFonts w:ascii="Times New Roman" w:hAnsi="Times New Roman"/>
                <w:color w:val="auto"/>
                <w:sz w:val="21"/>
                <w:szCs w:val="16"/>
              </w:rPr>
              <w:t>★</w:t>
            </w: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r>
              <w:rPr>
                <w:rFonts w:ascii="Times New Roman" w:hAnsi="Times New Roman"/>
                <w:color w:val="auto"/>
                <w:sz w:val="21"/>
                <w:szCs w:val="16"/>
              </w:rPr>
              <w:t>▲</w:t>
            </w: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16" w:type="pct"/>
            <w:vMerge w:val="continue"/>
            <w:tcBorders>
              <w:tl2br w:val="nil"/>
              <w:tr2bl w:val="nil"/>
            </w:tcBorders>
            <w:tcMar>
              <w:left w:w="28" w:type="dxa"/>
              <w:right w:w="28" w:type="dxa"/>
            </w:tcMar>
            <w:vAlign w:val="center"/>
          </w:tcPr>
          <w:p>
            <w:pPr>
              <w:pStyle w:val="373"/>
              <w:rPr>
                <w:snapToGrid w:val="0"/>
                <w:color w:val="auto"/>
              </w:rPr>
            </w:pPr>
          </w:p>
        </w:tc>
        <w:tc>
          <w:tcPr>
            <w:tcW w:w="675" w:type="pct"/>
            <w:tcBorders>
              <w:tl2br w:val="nil"/>
              <w:tr2bl w:val="nil"/>
            </w:tcBorders>
            <w:vAlign w:val="center"/>
          </w:tcPr>
          <w:p>
            <w:pPr>
              <w:pStyle w:val="387"/>
              <w:spacing w:after="0" w:line="240" w:lineRule="auto"/>
              <w:ind w:firstLine="0"/>
              <w:jc w:val="center"/>
              <w:rPr>
                <w:rFonts w:ascii="Times New Roman" w:hAnsi="Times New Roman" w:eastAsia="宋体"/>
                <w:snapToGrid w:val="0"/>
                <w:color w:val="auto"/>
                <w:kern w:val="2"/>
                <w:sz w:val="21"/>
                <w:szCs w:val="21"/>
              </w:rPr>
            </w:pPr>
            <w:r>
              <w:rPr>
                <w:rFonts w:ascii="Times New Roman" w:hAnsi="Times New Roman" w:eastAsia="宋体"/>
                <w:snapToGrid w:val="0"/>
                <w:color w:val="auto"/>
                <w:kern w:val="2"/>
                <w:sz w:val="21"/>
                <w:szCs w:val="21"/>
              </w:rPr>
              <w:t>经济收入</w:t>
            </w:r>
          </w:p>
        </w:tc>
        <w:tc>
          <w:tcPr>
            <w:tcW w:w="373" w:type="pct"/>
            <w:tcBorders>
              <w:tl2br w:val="nil"/>
              <w:tr2bl w:val="nil"/>
            </w:tcBorders>
            <w:tcMar>
              <w:left w:w="28" w:type="dxa"/>
              <w:right w:w="28" w:type="dxa"/>
            </w:tcMar>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382"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r>
              <w:rPr>
                <w:rFonts w:ascii="Times New Roman" w:hAnsi="Times New Roman"/>
                <w:color w:val="auto"/>
                <w:sz w:val="21"/>
                <w:szCs w:val="16"/>
              </w:rPr>
              <w:t>△</w:t>
            </w:r>
          </w:p>
        </w:tc>
        <w:tc>
          <w:tcPr>
            <w:tcW w:w="460"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snapToGrid w:val="0"/>
                <w:color w:val="auto"/>
                <w:sz w:val="21"/>
                <w:szCs w:val="16"/>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1"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3"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p>
        </w:tc>
        <w:tc>
          <w:tcPr>
            <w:tcW w:w="404"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r>
              <w:rPr>
                <w:rFonts w:ascii="Times New Roman" w:hAnsi="Times New Roman"/>
                <w:color w:val="auto"/>
                <w:sz w:val="21"/>
                <w:szCs w:val="16"/>
              </w:rPr>
              <w:t>☆</w:t>
            </w:r>
          </w:p>
        </w:tc>
        <w:tc>
          <w:tcPr>
            <w:tcW w:w="478" w:type="pct"/>
            <w:tcBorders>
              <w:tl2br w:val="nil"/>
              <w:tr2bl w:val="nil"/>
            </w:tcBorders>
            <w:vAlign w:val="center"/>
          </w:tcPr>
          <w:p>
            <w:pPr>
              <w:pStyle w:val="387"/>
              <w:tabs>
                <w:tab w:val="left" w:pos="630"/>
              </w:tabs>
              <w:spacing w:after="0" w:line="240" w:lineRule="auto"/>
              <w:ind w:firstLine="0"/>
              <w:jc w:val="center"/>
              <w:rPr>
                <w:rFonts w:ascii="Times New Roman" w:hAnsi="Times New Roman" w:eastAsia="宋体"/>
                <w:color w:val="auto"/>
                <w:position w:val="-4"/>
                <w:sz w:val="21"/>
              </w:rPr>
            </w:pPr>
            <w:r>
              <w:rPr>
                <w:rFonts w:ascii="Times New Roman" w:hAnsi="Times New Roman"/>
                <w:color w:val="auto"/>
                <w:sz w:val="21"/>
                <w:szCs w:val="16"/>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16" w:type="pct"/>
            <w:tcBorders>
              <w:tl2br w:val="nil"/>
              <w:tr2bl w:val="nil"/>
            </w:tcBorders>
            <w:tcMar>
              <w:left w:w="28" w:type="dxa"/>
              <w:right w:w="28" w:type="dxa"/>
            </w:tcMar>
            <w:vAlign w:val="center"/>
          </w:tcPr>
          <w:p>
            <w:pPr>
              <w:pStyle w:val="373"/>
              <w:jc w:val="both"/>
              <w:rPr>
                <w:snapToGrid w:val="0"/>
                <w:color w:val="auto"/>
              </w:rPr>
            </w:pPr>
            <w:r>
              <w:rPr>
                <w:rFonts w:hint="eastAsia"/>
                <w:snapToGrid w:val="0"/>
                <w:color w:val="auto"/>
              </w:rPr>
              <w:t>备注</w:t>
            </w:r>
          </w:p>
        </w:tc>
        <w:tc>
          <w:tcPr>
            <w:tcW w:w="4783" w:type="pct"/>
            <w:gridSpan w:val="11"/>
            <w:tcBorders>
              <w:tl2br w:val="nil"/>
              <w:tr2bl w:val="nil"/>
            </w:tcBorders>
            <w:vAlign w:val="center"/>
          </w:tcPr>
          <w:p>
            <w:pPr>
              <w:widowControl/>
              <w:snapToGrid w:val="0"/>
              <w:rPr>
                <w:rFonts w:ascii="Times New Roman" w:eastAsia="宋体"/>
                <w:color w:val="auto"/>
                <w:sz w:val="21"/>
                <w:szCs w:val="16"/>
              </w:rPr>
            </w:pPr>
            <w:r>
              <w:rPr>
                <w:rFonts w:hint="eastAsia" w:ascii="Times New Roman" w:eastAsia="宋体" w:cs="宋体"/>
                <w:color w:val="auto"/>
                <w:szCs w:val="21"/>
              </w:rPr>
              <w:t>★</w:t>
            </w:r>
            <w:r>
              <w:rPr>
                <w:rFonts w:ascii="Times New Roman" w:eastAsia="宋体"/>
                <w:color w:val="auto"/>
                <w:szCs w:val="21"/>
              </w:rPr>
              <w:t>/</w:t>
            </w:r>
            <w:r>
              <w:rPr>
                <w:rFonts w:hint="eastAsia" w:ascii="Times New Roman" w:eastAsia="宋体" w:cs="宋体"/>
                <w:color w:val="auto"/>
                <w:szCs w:val="21"/>
              </w:rPr>
              <w:t>☆</w:t>
            </w:r>
            <w:r>
              <w:rPr>
                <w:rFonts w:ascii="Times New Roman" w:eastAsia="宋体"/>
                <w:color w:val="auto"/>
                <w:szCs w:val="21"/>
              </w:rPr>
              <w:t>表示长期不利影响/有利影响；▲/</w:t>
            </w:r>
            <w:r>
              <w:rPr>
                <w:rFonts w:ascii="Times New Roman" w:eastAsia="宋体" w:cs="Cambria Math"/>
                <w:color w:val="auto"/>
                <w:szCs w:val="21"/>
              </w:rPr>
              <w:t>△</w:t>
            </w:r>
            <w:r>
              <w:rPr>
                <w:rFonts w:ascii="Times New Roman" w:eastAsia="宋体"/>
                <w:color w:val="auto"/>
                <w:szCs w:val="21"/>
              </w:rPr>
              <w:t>表示短期不利影响/有利影响，空格表示影响不明显或没有影响</w:t>
            </w:r>
            <w:r>
              <w:rPr>
                <w:rFonts w:hint="eastAsia" w:ascii="Times New Roman" w:eastAsia="宋体"/>
                <w:color w:val="auto"/>
                <w:szCs w:val="21"/>
              </w:rPr>
              <w:t>。</w:t>
            </w:r>
          </w:p>
        </w:tc>
      </w:tr>
    </w:tbl>
    <w:p>
      <w:pPr>
        <w:spacing w:line="360" w:lineRule="auto"/>
        <w:ind w:firstLine="482"/>
        <w:rPr>
          <w:rFonts w:ascii="Times New Roman" w:eastAsia="宋体"/>
          <w:color w:val="auto"/>
          <w:szCs w:val="22"/>
        </w:rPr>
      </w:pPr>
      <w:r>
        <w:rPr>
          <w:rFonts w:hint="eastAsia" w:ascii="Times New Roman" w:eastAsia="宋体"/>
          <w:color w:val="auto"/>
          <w:szCs w:val="22"/>
        </w:rPr>
        <w:t>由表2.3-1可见，（1）施工期对建设地生态环境、空气环境和声环境质量产生短期的影响。（2）营运期对环境的影响主要为：废气排放对环境空气质量以及居民居住条件的影响、废水排放对地表水环境的影响、工程噪声对声环境以及居住条件的影响、固废堆存对地表水环境产生的影响、产品运输对沿途空气质量和声环境的影响。</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.3.2评价因子筛选</w:t>
      </w:r>
    </w:p>
    <w:p>
      <w:pPr>
        <w:spacing w:line="360" w:lineRule="auto"/>
        <w:outlineLvl w:val="3"/>
        <w:rPr>
          <w:rFonts w:ascii="Times New Roman" w:eastAsia="宋体"/>
          <w:color w:val="auto"/>
        </w:rPr>
      </w:pPr>
      <w:r>
        <w:rPr>
          <w:rFonts w:hint="eastAsia" w:ascii="Times New Roman" w:eastAsia="宋体"/>
          <w:color w:val="auto"/>
        </w:rPr>
        <w:t xml:space="preserve">2.3.2.1 </w:t>
      </w:r>
      <w:r>
        <w:rPr>
          <w:rFonts w:ascii="Times New Roman" w:eastAsia="宋体"/>
          <w:color w:val="auto"/>
        </w:rPr>
        <w:t>施工期评价因子</w:t>
      </w:r>
    </w:p>
    <w:p>
      <w:pPr>
        <w:spacing w:line="360" w:lineRule="auto"/>
        <w:ind w:firstLine="484" w:firstLineChars="200"/>
        <w:rPr>
          <w:rFonts w:ascii="Times New Roman" w:eastAsia="宋体"/>
          <w:color w:val="auto"/>
        </w:rPr>
      </w:pPr>
      <w:r>
        <w:rPr>
          <w:rFonts w:ascii="Times New Roman" w:eastAsia="宋体"/>
          <w:color w:val="auto"/>
        </w:rPr>
        <w:t>经过现场调查了解到，本项目尚未开工建设。施工期主要对施工扬尘、废水、施工噪声以及施工产生的固体废物进行影响分析评价。</w:t>
      </w:r>
    </w:p>
    <w:p>
      <w:pPr>
        <w:spacing w:line="360" w:lineRule="auto"/>
        <w:outlineLvl w:val="3"/>
        <w:rPr>
          <w:rFonts w:ascii="Times New Roman" w:eastAsia="宋体"/>
          <w:color w:val="auto"/>
        </w:rPr>
      </w:pPr>
      <w:r>
        <w:rPr>
          <w:rFonts w:hint="eastAsia" w:ascii="Times New Roman" w:eastAsia="宋体"/>
          <w:color w:val="auto"/>
        </w:rPr>
        <w:t>2.3.2.2 营运期</w:t>
      </w:r>
      <w:r>
        <w:rPr>
          <w:rFonts w:ascii="Times New Roman" w:eastAsia="宋体"/>
          <w:color w:val="auto"/>
        </w:rPr>
        <w:t>期评价因子</w:t>
      </w:r>
    </w:p>
    <w:p>
      <w:pPr>
        <w:spacing w:line="360" w:lineRule="auto"/>
        <w:ind w:firstLine="484" w:firstLineChars="200"/>
        <w:rPr>
          <w:rFonts w:ascii="Times New Roman" w:eastAsia="宋体"/>
          <w:color w:val="auto"/>
        </w:rPr>
      </w:pPr>
      <w:r>
        <w:rPr>
          <w:rFonts w:ascii="Times New Roman" w:eastAsia="宋体"/>
          <w:color w:val="auto"/>
        </w:rPr>
        <w:t>项目在营运过程中产生的污染物主要为废气、废水、噪声、固体废物。</w:t>
      </w:r>
    </w:p>
    <w:p>
      <w:pPr>
        <w:spacing w:line="360" w:lineRule="auto"/>
        <w:ind w:firstLine="484" w:firstLineChars="200"/>
        <w:rPr>
          <w:rFonts w:ascii="Times New Roman" w:eastAsia="宋体"/>
          <w:color w:val="auto"/>
        </w:rPr>
      </w:pPr>
      <w:r>
        <w:rPr>
          <w:rFonts w:ascii="Times New Roman" w:eastAsia="宋体"/>
          <w:color w:val="auto"/>
        </w:rPr>
        <w:t>（1）废气：鸡舍、</w:t>
      </w:r>
      <w:r>
        <w:rPr>
          <w:rFonts w:hint="eastAsia" w:ascii="Times New Roman" w:eastAsia="宋体"/>
          <w:color w:val="auto"/>
        </w:rPr>
        <w:t>污水沉淀池</w:t>
      </w:r>
      <w:r>
        <w:rPr>
          <w:rFonts w:ascii="Times New Roman" w:eastAsia="宋体"/>
          <w:color w:val="auto"/>
        </w:rPr>
        <w:t>等挥发的氨、硫化氢、臭气浓度；</w:t>
      </w:r>
      <w:r>
        <w:rPr>
          <w:rFonts w:hint="eastAsia" w:ascii="Times New Roman" w:eastAsia="宋体"/>
          <w:color w:val="auto"/>
        </w:rPr>
        <w:t>生物质成型燃料锅炉</w:t>
      </w:r>
      <w:r>
        <w:rPr>
          <w:rFonts w:ascii="Times New Roman" w:eastAsia="宋体"/>
          <w:color w:val="auto"/>
        </w:rPr>
        <w:t>燃烧产生的颗粒物、SO</w:t>
      </w:r>
      <w:r>
        <w:rPr>
          <w:rFonts w:ascii="Times New Roman" w:eastAsia="宋体"/>
          <w:color w:val="auto"/>
          <w:vertAlign w:val="subscript"/>
        </w:rPr>
        <w:t>2</w:t>
      </w:r>
      <w:r>
        <w:rPr>
          <w:rFonts w:ascii="Times New Roman" w:eastAsia="宋体"/>
          <w:color w:val="auto"/>
        </w:rPr>
        <w:t>、NOx；</w:t>
      </w:r>
    </w:p>
    <w:p>
      <w:pPr>
        <w:spacing w:line="360" w:lineRule="auto"/>
        <w:ind w:firstLine="484" w:firstLineChars="200"/>
        <w:rPr>
          <w:rFonts w:ascii="Times New Roman" w:eastAsia="宋体"/>
          <w:color w:val="auto"/>
        </w:rPr>
      </w:pPr>
      <w:r>
        <w:rPr>
          <w:rFonts w:ascii="Times New Roman" w:eastAsia="宋体"/>
          <w:color w:val="auto"/>
        </w:rPr>
        <w:t>（2）废水：项目废水包括</w:t>
      </w:r>
      <w:r>
        <w:rPr>
          <w:rFonts w:hint="eastAsia" w:ascii="Times New Roman" w:eastAsia="宋体"/>
          <w:color w:val="auto"/>
        </w:rPr>
        <w:t>鸡舍冲洗</w:t>
      </w:r>
      <w:r>
        <w:rPr>
          <w:rFonts w:ascii="Times New Roman" w:eastAsia="宋体"/>
          <w:color w:val="auto"/>
        </w:rPr>
        <w:t>废水</w:t>
      </w:r>
      <w:r>
        <w:rPr>
          <w:rFonts w:hint="eastAsia" w:ascii="Times New Roman" w:eastAsia="宋体"/>
          <w:color w:val="auto"/>
        </w:rPr>
        <w:t>、除臭废水</w:t>
      </w:r>
      <w:r>
        <w:rPr>
          <w:rFonts w:hint="eastAsia" w:ascii="Times New Roman" w:eastAsia="宋体"/>
          <w:color w:val="auto"/>
          <w:lang w:eastAsia="zh-CN"/>
        </w:rPr>
        <w:t>、</w:t>
      </w:r>
      <w:r>
        <w:rPr>
          <w:rFonts w:hint="eastAsia" w:ascii="Times New Roman" w:eastAsia="宋体"/>
          <w:color w:val="auto"/>
          <w:lang w:val="en-US" w:eastAsia="zh-CN"/>
        </w:rPr>
        <w:t>锅炉废水</w:t>
      </w:r>
      <w:r>
        <w:rPr>
          <w:rFonts w:hint="eastAsia" w:ascii="Times New Roman" w:eastAsia="宋体"/>
          <w:color w:val="auto"/>
        </w:rPr>
        <w:t>和</w:t>
      </w:r>
      <w:r>
        <w:rPr>
          <w:rFonts w:ascii="Times New Roman" w:eastAsia="宋体"/>
          <w:color w:val="auto"/>
        </w:rPr>
        <w:t>生活污水，废水中的主要污染物为：</w:t>
      </w:r>
      <w:r>
        <w:rPr>
          <w:rFonts w:hint="eastAsia" w:ascii="Times New Roman" w:eastAsia="宋体"/>
          <w:color w:val="auto"/>
        </w:rPr>
        <w:t>pH、</w:t>
      </w:r>
      <w:r>
        <w:rPr>
          <w:rFonts w:ascii="Times New Roman" w:eastAsia="宋体"/>
          <w:color w:val="auto"/>
        </w:rPr>
        <w:t>CODcr、BOD</w:t>
      </w:r>
      <w:r>
        <w:rPr>
          <w:rFonts w:ascii="Times New Roman" w:eastAsia="宋体"/>
          <w:color w:val="auto"/>
          <w:vertAlign w:val="subscript"/>
        </w:rPr>
        <w:t>5</w:t>
      </w:r>
      <w:r>
        <w:rPr>
          <w:rFonts w:ascii="Times New Roman" w:eastAsia="宋体"/>
          <w:color w:val="auto"/>
        </w:rPr>
        <w:t>、NH</w:t>
      </w:r>
      <w:r>
        <w:rPr>
          <w:rFonts w:ascii="Times New Roman" w:eastAsia="宋体"/>
          <w:color w:val="auto"/>
          <w:vertAlign w:val="subscript"/>
        </w:rPr>
        <w:t>3</w:t>
      </w:r>
      <w:r>
        <w:rPr>
          <w:rFonts w:ascii="Times New Roman" w:eastAsia="宋体"/>
          <w:color w:val="auto"/>
        </w:rPr>
        <w:t>-N、TP、TN、粪大肠菌群等；</w:t>
      </w:r>
    </w:p>
    <w:p>
      <w:pPr>
        <w:spacing w:line="360" w:lineRule="auto"/>
        <w:ind w:firstLine="482"/>
        <w:rPr>
          <w:rFonts w:ascii="Times New Roman" w:eastAsia="宋体"/>
          <w:color w:val="auto"/>
        </w:rPr>
      </w:pPr>
      <w:r>
        <w:rPr>
          <w:rFonts w:ascii="Times New Roman" w:eastAsia="宋体"/>
          <w:color w:val="auto"/>
        </w:rPr>
        <w:t>（3）噪声：</w:t>
      </w:r>
      <w:r>
        <w:rPr>
          <w:rFonts w:hint="eastAsia" w:ascii="Times New Roman" w:eastAsia="宋体"/>
          <w:color w:val="auto"/>
        </w:rPr>
        <w:t>鸡叫声、</w:t>
      </w:r>
      <w:r>
        <w:rPr>
          <w:rFonts w:ascii="Times New Roman" w:eastAsia="宋体"/>
          <w:color w:val="auto"/>
        </w:rPr>
        <w:t>引风机、泵类等设备噪声等；</w:t>
      </w:r>
    </w:p>
    <w:p>
      <w:pPr>
        <w:spacing w:line="360" w:lineRule="auto"/>
        <w:ind w:firstLine="484" w:firstLineChars="200"/>
        <w:rPr>
          <w:rFonts w:ascii="Times New Roman" w:eastAsia="宋体"/>
          <w:color w:val="auto"/>
        </w:rPr>
      </w:pPr>
      <w:r>
        <w:rPr>
          <w:rFonts w:ascii="Times New Roman" w:eastAsia="宋体"/>
          <w:color w:val="auto"/>
        </w:rPr>
        <w:t>（4）固体废物：主要为</w:t>
      </w:r>
      <w:r>
        <w:rPr>
          <w:rFonts w:hint="eastAsia" w:ascii="Times New Roman" w:eastAsia="宋体"/>
          <w:color w:val="auto"/>
        </w:rPr>
        <w:t>物料包装袋、</w:t>
      </w:r>
      <w:r>
        <w:rPr>
          <w:rFonts w:ascii="Times New Roman" w:eastAsia="宋体"/>
          <w:color w:val="auto"/>
        </w:rPr>
        <w:t>鸡粪、病死鸡、</w:t>
      </w:r>
      <w:r>
        <w:rPr>
          <w:rFonts w:hint="eastAsia" w:ascii="Times New Roman" w:eastAsia="宋体"/>
          <w:color w:val="auto"/>
        </w:rPr>
        <w:t>污泥、</w:t>
      </w:r>
      <w:r>
        <w:rPr>
          <w:rFonts w:ascii="Times New Roman" w:eastAsia="宋体"/>
          <w:color w:val="auto"/>
        </w:rPr>
        <w:t>员工生活垃圾</w:t>
      </w:r>
      <w:r>
        <w:rPr>
          <w:rFonts w:hint="eastAsia" w:ascii="Times New Roman" w:eastAsia="宋体"/>
          <w:color w:val="auto"/>
        </w:rPr>
        <w:t>、锅炉灰渣、除尘灰</w:t>
      </w:r>
      <w:r>
        <w:rPr>
          <w:rFonts w:hint="eastAsia" w:ascii="Times New Roman" w:eastAsia="宋体"/>
          <w:color w:val="auto"/>
          <w:lang w:eastAsia="zh-CN"/>
        </w:rPr>
        <w:t>、</w:t>
      </w:r>
      <w:r>
        <w:rPr>
          <w:rFonts w:hint="eastAsia" w:ascii="Times New Roman" w:eastAsia="宋体"/>
          <w:color w:val="auto"/>
        </w:rPr>
        <w:t>废布袋及医疗垃圾</w:t>
      </w:r>
      <w:r>
        <w:rPr>
          <w:rFonts w:ascii="Times New Roman" w:eastAsia="宋体"/>
          <w:color w:val="auto"/>
        </w:rPr>
        <w:t>等。</w:t>
      </w:r>
    </w:p>
    <w:p>
      <w:pPr>
        <w:spacing w:line="360" w:lineRule="auto"/>
        <w:ind w:firstLine="484" w:firstLineChars="200"/>
        <w:rPr>
          <w:rFonts w:ascii="Times New Roman" w:eastAsia="宋体"/>
          <w:color w:val="auto"/>
        </w:rPr>
      </w:pPr>
      <w:r>
        <w:rPr>
          <w:rFonts w:ascii="Times New Roman" w:eastAsia="宋体"/>
          <w:color w:val="auto"/>
        </w:rPr>
        <w:t>由上述可知，本项目的建设对区域内的大气环境、水环境、声环境等均会有一定程度的潜在影响。</w:t>
      </w:r>
    </w:p>
    <w:p>
      <w:pPr>
        <w:spacing w:line="360" w:lineRule="auto"/>
        <w:ind w:firstLine="484" w:firstLineChars="200"/>
        <w:rPr>
          <w:rFonts w:ascii="Times New Roman" w:eastAsia="宋体"/>
          <w:color w:val="auto"/>
          <w:sz w:val="21"/>
          <w:szCs w:val="21"/>
        </w:rPr>
      </w:pPr>
      <w:r>
        <w:rPr>
          <w:rFonts w:ascii="Times New Roman" w:eastAsia="宋体"/>
          <w:color w:val="auto"/>
        </w:rPr>
        <w:t>在项目工程概况和环境概况分析的基础上，通过对各环境要素影响的进一步分析，根据工程特征、污染物排放特征、污染物的毒性、污染物环境标准和评价标准，确定本工程的环境现状评价因子、环境影响预测因子和总量控制因子，详见</w:t>
      </w:r>
      <w:r>
        <w:rPr>
          <w:rFonts w:hint="eastAsia" w:ascii="Times New Roman" w:eastAsia="宋体"/>
          <w:color w:val="auto"/>
        </w:rPr>
        <w:t>2</w:t>
      </w:r>
      <w:r>
        <w:rPr>
          <w:rFonts w:ascii="Times New Roman" w:eastAsia="宋体"/>
          <w:color w:val="auto"/>
        </w:rPr>
        <w:t>.3-2。</w:t>
      </w:r>
    </w:p>
    <w:p>
      <w:pPr>
        <w:pStyle w:val="17"/>
        <w:spacing w:beforeLines="50" w:line="0" w:lineRule="atLeast"/>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rPr>
        <w:t>2</w:t>
      </w:r>
      <w:r>
        <w:rPr>
          <w:rFonts w:ascii="Times New Roman" w:hAnsi="Times New Roman" w:eastAsia="宋体" w:cs="Times New Roman"/>
          <w:b/>
          <w:bCs/>
          <w:color w:val="auto"/>
          <w:sz w:val="21"/>
          <w:szCs w:val="21"/>
        </w:rPr>
        <w:t>.3-2环境影响评价因子一览表</w:t>
      </w:r>
    </w:p>
    <w:tbl>
      <w:tblPr>
        <w:tblStyle w:val="47"/>
        <w:tblW w:w="524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3037"/>
        <w:gridCol w:w="1886"/>
        <w:gridCol w:w="1863"/>
        <w:gridCol w:w="8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55" w:type="pct"/>
            <w:tcBorders>
              <w:left w:val="single" w:color="auto" w:sz="12" w:space="0"/>
            </w:tcBorders>
            <w:tcMar>
              <w:left w:w="28" w:type="dxa"/>
              <w:right w:w="28" w:type="dxa"/>
            </w:tcMar>
            <w:vAlign w:val="center"/>
          </w:tcPr>
          <w:p>
            <w:pPr>
              <w:pStyle w:val="373"/>
              <w:rPr>
                <w:b/>
                <w:snapToGrid w:val="0"/>
                <w:color w:val="auto"/>
              </w:rPr>
            </w:pPr>
            <w:r>
              <w:rPr>
                <w:b/>
                <w:snapToGrid w:val="0"/>
                <w:color w:val="auto"/>
              </w:rPr>
              <w:t>环境因素</w:t>
            </w:r>
          </w:p>
        </w:tc>
        <w:tc>
          <w:tcPr>
            <w:tcW w:w="1716" w:type="pct"/>
            <w:tcMar>
              <w:left w:w="28" w:type="dxa"/>
              <w:right w:w="28" w:type="dxa"/>
            </w:tcMar>
            <w:vAlign w:val="center"/>
          </w:tcPr>
          <w:p>
            <w:pPr>
              <w:pStyle w:val="373"/>
              <w:rPr>
                <w:b/>
                <w:snapToGrid w:val="0"/>
                <w:color w:val="auto"/>
                <w:kern w:val="18"/>
              </w:rPr>
            </w:pPr>
            <w:r>
              <w:rPr>
                <w:rFonts w:hint="eastAsia"/>
                <w:b/>
                <w:snapToGrid w:val="0"/>
                <w:color w:val="auto"/>
                <w:kern w:val="18"/>
              </w:rPr>
              <w:t>环境质量现状</w:t>
            </w:r>
            <w:r>
              <w:rPr>
                <w:b/>
                <w:snapToGrid w:val="0"/>
                <w:color w:val="auto"/>
                <w:kern w:val="18"/>
              </w:rPr>
              <w:t>评价因子</w:t>
            </w:r>
          </w:p>
        </w:tc>
        <w:tc>
          <w:tcPr>
            <w:tcW w:w="1066" w:type="pct"/>
            <w:vAlign w:val="center"/>
          </w:tcPr>
          <w:p>
            <w:pPr>
              <w:pStyle w:val="373"/>
              <w:rPr>
                <w:b/>
                <w:snapToGrid w:val="0"/>
                <w:color w:val="auto"/>
                <w:kern w:val="18"/>
              </w:rPr>
            </w:pPr>
            <w:r>
              <w:rPr>
                <w:rFonts w:hint="eastAsia"/>
                <w:b/>
                <w:bCs/>
                <w:color w:val="auto"/>
              </w:rPr>
              <w:t>污染源</w:t>
            </w:r>
            <w:r>
              <w:rPr>
                <w:b/>
                <w:snapToGrid w:val="0"/>
                <w:color w:val="auto"/>
                <w:kern w:val="18"/>
              </w:rPr>
              <w:t>因子</w:t>
            </w:r>
          </w:p>
        </w:tc>
        <w:tc>
          <w:tcPr>
            <w:tcW w:w="1053" w:type="pct"/>
            <w:vAlign w:val="center"/>
          </w:tcPr>
          <w:p>
            <w:pPr>
              <w:pStyle w:val="373"/>
              <w:rPr>
                <w:b/>
                <w:snapToGrid w:val="0"/>
                <w:color w:val="auto"/>
                <w:kern w:val="18"/>
              </w:rPr>
            </w:pPr>
            <w:r>
              <w:rPr>
                <w:rFonts w:hint="eastAsia"/>
                <w:b/>
                <w:snapToGrid w:val="0"/>
                <w:color w:val="auto"/>
                <w:kern w:val="18"/>
                <w:lang w:val="en-US" w:eastAsia="zh-CN"/>
              </w:rPr>
              <w:t>预测</w:t>
            </w:r>
            <w:r>
              <w:rPr>
                <w:b/>
                <w:snapToGrid w:val="0"/>
                <w:color w:val="auto"/>
                <w:kern w:val="18"/>
              </w:rPr>
              <w:t>因子</w:t>
            </w:r>
          </w:p>
        </w:tc>
        <w:tc>
          <w:tcPr>
            <w:tcW w:w="507" w:type="pct"/>
            <w:tcBorders>
              <w:right w:val="single" w:color="auto" w:sz="12" w:space="0"/>
            </w:tcBorders>
            <w:vAlign w:val="center"/>
          </w:tcPr>
          <w:p>
            <w:pPr>
              <w:pStyle w:val="373"/>
              <w:rPr>
                <w:b/>
                <w:snapToGrid w:val="0"/>
                <w:color w:val="auto"/>
                <w:kern w:val="18"/>
              </w:rPr>
            </w:pPr>
            <w:r>
              <w:rPr>
                <w:b/>
                <w:snapToGrid w:val="0"/>
                <w:color w:val="auto"/>
                <w:kern w:val="18"/>
              </w:rPr>
              <w:t>总量控制因子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5" w:type="pct"/>
            <w:tcBorders>
              <w:left w:val="single" w:color="auto" w:sz="12" w:space="0"/>
            </w:tcBorders>
            <w:tcMar>
              <w:left w:w="28" w:type="dxa"/>
              <w:right w:w="28" w:type="dxa"/>
            </w:tcMar>
            <w:vAlign w:val="center"/>
          </w:tcPr>
          <w:p>
            <w:pPr>
              <w:pStyle w:val="373"/>
              <w:rPr>
                <w:snapToGrid w:val="0"/>
                <w:color w:val="auto"/>
                <w:kern w:val="18"/>
              </w:rPr>
            </w:pPr>
            <w:r>
              <w:rPr>
                <w:snapToGrid w:val="0"/>
                <w:color w:val="auto"/>
                <w:kern w:val="18"/>
              </w:rPr>
              <w:t>大气环境</w:t>
            </w:r>
          </w:p>
        </w:tc>
        <w:tc>
          <w:tcPr>
            <w:tcW w:w="1716" w:type="pct"/>
            <w:tcMar>
              <w:left w:w="28" w:type="dxa"/>
              <w:right w:w="28" w:type="dxa"/>
            </w:tcMar>
            <w:vAlign w:val="center"/>
          </w:tcPr>
          <w:p>
            <w:pPr>
              <w:pStyle w:val="373"/>
              <w:rPr>
                <w:snapToGrid w:val="0"/>
                <w:color w:val="auto"/>
                <w:kern w:val="18"/>
              </w:rPr>
            </w:pPr>
            <w:r>
              <w:rPr>
                <w:color w:val="auto"/>
              </w:rPr>
              <w:t>SO</w:t>
            </w:r>
            <w:r>
              <w:rPr>
                <w:color w:val="auto"/>
                <w:vertAlign w:val="subscript"/>
              </w:rPr>
              <w:t>2</w:t>
            </w:r>
            <w:r>
              <w:rPr>
                <w:color w:val="auto"/>
              </w:rPr>
              <w:t>、NO</w:t>
            </w:r>
            <w:r>
              <w:rPr>
                <w:color w:val="auto"/>
                <w:vertAlign w:val="subscript"/>
              </w:rPr>
              <w:t>2</w:t>
            </w:r>
            <w:r>
              <w:rPr>
                <w:color w:val="auto"/>
              </w:rPr>
              <w:t>、PM</w:t>
            </w:r>
            <w:r>
              <w:rPr>
                <w:color w:val="auto"/>
                <w:vertAlign w:val="subscript"/>
              </w:rPr>
              <w:t>10</w:t>
            </w:r>
            <w:r>
              <w:rPr>
                <w:color w:val="auto"/>
              </w:rPr>
              <w:t>、PM</w:t>
            </w:r>
            <w:r>
              <w:rPr>
                <w:color w:val="auto"/>
                <w:vertAlign w:val="subscript"/>
              </w:rPr>
              <w:t>2.5</w:t>
            </w:r>
            <w:r>
              <w:rPr>
                <w:color w:val="auto"/>
              </w:rPr>
              <w:t>、CO、O</w:t>
            </w:r>
            <w:r>
              <w:rPr>
                <w:color w:val="auto"/>
                <w:vertAlign w:val="subscript"/>
              </w:rPr>
              <w:t>3</w:t>
            </w:r>
            <w:r>
              <w:rPr>
                <w:color w:val="auto"/>
              </w:rPr>
              <w:t>、TSP、NH</w:t>
            </w:r>
            <w:r>
              <w:rPr>
                <w:color w:val="auto"/>
                <w:vertAlign w:val="subscript"/>
              </w:rPr>
              <w:t>3</w:t>
            </w:r>
            <w:r>
              <w:rPr>
                <w:color w:val="auto"/>
              </w:rPr>
              <w:t>、H</w:t>
            </w:r>
            <w:r>
              <w:rPr>
                <w:color w:val="auto"/>
                <w:vertAlign w:val="subscript"/>
              </w:rPr>
              <w:t>2</w:t>
            </w:r>
            <w:r>
              <w:rPr>
                <w:color w:val="auto"/>
              </w:rPr>
              <w:t>S、臭气浓度</w:t>
            </w:r>
          </w:p>
        </w:tc>
        <w:tc>
          <w:tcPr>
            <w:tcW w:w="1066" w:type="pct"/>
            <w:vAlign w:val="center"/>
          </w:tcPr>
          <w:p>
            <w:pPr>
              <w:pStyle w:val="373"/>
              <w:rPr>
                <w:color w:val="auto"/>
              </w:rPr>
            </w:pPr>
            <w:r>
              <w:rPr>
                <w:rFonts w:hint="eastAsia"/>
                <w:color w:val="auto"/>
                <w:lang w:val="en-US" w:eastAsia="zh-CN"/>
              </w:rPr>
              <w:t>颗粒物</w:t>
            </w:r>
            <w:r>
              <w:rPr>
                <w:color w:val="auto"/>
              </w:rPr>
              <w:t>、SO</w:t>
            </w:r>
            <w:r>
              <w:rPr>
                <w:color w:val="auto"/>
                <w:vertAlign w:val="subscript"/>
              </w:rPr>
              <w:t>2</w:t>
            </w:r>
            <w:r>
              <w:rPr>
                <w:color w:val="auto"/>
              </w:rPr>
              <w:t>、NO</w:t>
            </w:r>
            <w:r>
              <w:rPr>
                <w:color w:val="auto"/>
                <w:vertAlign w:val="subscript"/>
              </w:rPr>
              <w:t>x</w:t>
            </w:r>
            <w:r>
              <w:rPr>
                <w:color w:val="auto"/>
              </w:rPr>
              <w:t>、NH</w:t>
            </w:r>
            <w:r>
              <w:rPr>
                <w:color w:val="auto"/>
                <w:vertAlign w:val="subscript"/>
              </w:rPr>
              <w:t>3</w:t>
            </w:r>
            <w:r>
              <w:rPr>
                <w:color w:val="auto"/>
              </w:rPr>
              <w:t>、H</w:t>
            </w:r>
            <w:r>
              <w:rPr>
                <w:color w:val="auto"/>
                <w:vertAlign w:val="subscript"/>
              </w:rPr>
              <w:t>2</w:t>
            </w:r>
            <w:r>
              <w:rPr>
                <w:color w:val="auto"/>
              </w:rPr>
              <w:t>S</w:t>
            </w:r>
          </w:p>
        </w:tc>
        <w:tc>
          <w:tcPr>
            <w:tcW w:w="1053" w:type="pct"/>
            <w:vAlign w:val="center"/>
          </w:tcPr>
          <w:p>
            <w:pPr>
              <w:pStyle w:val="373"/>
              <w:rPr>
                <w:snapToGrid w:val="0"/>
                <w:color w:val="auto"/>
                <w:kern w:val="18"/>
              </w:rPr>
            </w:pPr>
            <w:r>
              <w:rPr>
                <w:color w:val="auto"/>
              </w:rPr>
              <w:t>颗粒物、NO</w:t>
            </w:r>
            <w:r>
              <w:rPr>
                <w:color w:val="auto"/>
                <w:vertAlign w:val="subscript"/>
              </w:rPr>
              <w:t>x</w:t>
            </w:r>
            <w:r>
              <w:rPr>
                <w:color w:val="auto"/>
              </w:rPr>
              <w:t>、SO</w:t>
            </w:r>
            <w:r>
              <w:rPr>
                <w:color w:val="auto"/>
                <w:vertAlign w:val="subscript"/>
              </w:rPr>
              <w:t>2</w:t>
            </w:r>
            <w:r>
              <w:rPr>
                <w:color w:val="auto"/>
              </w:rPr>
              <w:t>、NH</w:t>
            </w:r>
            <w:r>
              <w:rPr>
                <w:color w:val="auto"/>
                <w:vertAlign w:val="subscript"/>
              </w:rPr>
              <w:t>3</w:t>
            </w:r>
            <w:r>
              <w:rPr>
                <w:color w:val="auto"/>
              </w:rPr>
              <w:t>、H</w:t>
            </w:r>
            <w:r>
              <w:rPr>
                <w:color w:val="auto"/>
                <w:vertAlign w:val="subscript"/>
              </w:rPr>
              <w:t>2</w:t>
            </w:r>
            <w:r>
              <w:rPr>
                <w:color w:val="auto"/>
              </w:rPr>
              <w:t>S</w:t>
            </w:r>
          </w:p>
        </w:tc>
        <w:tc>
          <w:tcPr>
            <w:tcW w:w="507" w:type="pct"/>
            <w:tcBorders>
              <w:right w:val="single" w:color="auto" w:sz="12" w:space="0"/>
            </w:tcBorders>
            <w:vAlign w:val="center"/>
          </w:tcPr>
          <w:p>
            <w:pPr>
              <w:pStyle w:val="373"/>
              <w:rPr>
                <w:snapToGrid w:val="0"/>
                <w:color w:val="auto"/>
                <w:kern w:val="18"/>
              </w:rPr>
            </w:pPr>
            <w:r>
              <w:rPr>
                <w:color w:val="auto"/>
              </w:rPr>
              <w:t>SO</w:t>
            </w:r>
            <w:r>
              <w:rPr>
                <w:color w:val="auto"/>
                <w:vertAlign w:val="subscript"/>
              </w:rPr>
              <w:t>2</w:t>
            </w:r>
            <w:r>
              <w:rPr>
                <w:color w:val="auto"/>
              </w:rPr>
              <w:t>、NO</w:t>
            </w:r>
            <w:r>
              <w:rPr>
                <w:color w:val="auto"/>
                <w:vertAlign w:val="subscript"/>
              </w:rPr>
              <w:t>x</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5" w:type="pct"/>
            <w:tcBorders>
              <w:left w:val="single" w:color="auto" w:sz="12" w:space="0"/>
            </w:tcBorders>
            <w:tcMar>
              <w:left w:w="28" w:type="dxa"/>
              <w:right w:w="28" w:type="dxa"/>
            </w:tcMar>
            <w:vAlign w:val="center"/>
          </w:tcPr>
          <w:p>
            <w:pPr>
              <w:pStyle w:val="373"/>
              <w:rPr>
                <w:snapToGrid w:val="0"/>
                <w:color w:val="auto"/>
                <w:kern w:val="18"/>
              </w:rPr>
            </w:pPr>
            <w:r>
              <w:rPr>
                <w:snapToGrid w:val="0"/>
                <w:color w:val="auto"/>
                <w:kern w:val="18"/>
              </w:rPr>
              <w:t>地表水</w:t>
            </w:r>
            <w:r>
              <w:rPr>
                <w:rFonts w:hint="eastAsia"/>
                <w:snapToGrid w:val="0"/>
                <w:color w:val="auto"/>
                <w:kern w:val="18"/>
              </w:rPr>
              <w:t>环境</w:t>
            </w:r>
          </w:p>
        </w:tc>
        <w:tc>
          <w:tcPr>
            <w:tcW w:w="1716" w:type="pct"/>
            <w:tcMar>
              <w:left w:w="28" w:type="dxa"/>
              <w:right w:w="28" w:type="dxa"/>
            </w:tcMar>
            <w:vAlign w:val="center"/>
          </w:tcPr>
          <w:p>
            <w:pPr>
              <w:pStyle w:val="373"/>
              <w:rPr>
                <w:color w:val="auto"/>
              </w:rPr>
            </w:pPr>
            <w:r>
              <w:rPr>
                <w:color w:val="auto"/>
              </w:rPr>
              <w:t>pH、COD、BOD</w:t>
            </w:r>
            <w:r>
              <w:rPr>
                <w:color w:val="auto"/>
                <w:vertAlign w:val="subscript"/>
              </w:rPr>
              <w:t>5</w:t>
            </w:r>
            <w:r>
              <w:rPr>
                <w:color w:val="auto"/>
              </w:rPr>
              <w:t>、氨氮、</w:t>
            </w:r>
            <w:r>
              <w:rPr>
                <w:rFonts w:hint="eastAsia"/>
                <w:color w:val="auto"/>
              </w:rPr>
              <w:t>总磷、总氮、</w:t>
            </w:r>
            <w:r>
              <w:rPr>
                <w:color w:val="auto"/>
              </w:rPr>
              <w:t>粪大肠菌群</w:t>
            </w:r>
          </w:p>
        </w:tc>
        <w:tc>
          <w:tcPr>
            <w:tcW w:w="1066" w:type="pct"/>
            <w:vAlign w:val="center"/>
          </w:tcPr>
          <w:p>
            <w:pPr>
              <w:pStyle w:val="373"/>
              <w:rPr>
                <w:color w:val="auto"/>
                <w:u w:val="single"/>
              </w:rPr>
            </w:pPr>
            <w:r>
              <w:rPr>
                <w:rFonts w:hint="eastAsia"/>
                <w:color w:val="auto"/>
                <w:u w:val="single"/>
                <w:lang w:val="en-US" w:eastAsia="zh-CN"/>
              </w:rPr>
              <w:t>pH、</w:t>
            </w:r>
            <w:r>
              <w:rPr>
                <w:color w:val="auto"/>
                <w:u w:val="single"/>
              </w:rPr>
              <w:t>COD、BOD</w:t>
            </w:r>
            <w:r>
              <w:rPr>
                <w:color w:val="auto"/>
                <w:u w:val="single"/>
                <w:vertAlign w:val="subscript"/>
              </w:rPr>
              <w:t>5</w:t>
            </w:r>
            <w:r>
              <w:rPr>
                <w:color w:val="auto"/>
                <w:u w:val="single"/>
              </w:rPr>
              <w:t>、氨氮、</w:t>
            </w:r>
            <w:r>
              <w:rPr>
                <w:rFonts w:hint="eastAsia"/>
                <w:color w:val="auto"/>
                <w:u w:val="single"/>
              </w:rPr>
              <w:t>总磷、总氮、</w:t>
            </w:r>
            <w:r>
              <w:rPr>
                <w:color w:val="auto"/>
                <w:u w:val="single"/>
              </w:rPr>
              <w:t>粪大肠菌群</w:t>
            </w:r>
          </w:p>
        </w:tc>
        <w:tc>
          <w:tcPr>
            <w:tcW w:w="1053" w:type="pct"/>
            <w:vAlign w:val="center"/>
          </w:tcPr>
          <w:p>
            <w:pPr>
              <w:pStyle w:val="373"/>
              <w:rPr>
                <w:color w:val="auto"/>
                <w:u w:val="single"/>
              </w:rPr>
            </w:pPr>
            <w:r>
              <w:rPr>
                <w:color w:val="auto"/>
                <w:u w:val="single"/>
              </w:rPr>
              <w:t>/</w:t>
            </w:r>
          </w:p>
        </w:tc>
        <w:tc>
          <w:tcPr>
            <w:tcW w:w="507" w:type="pct"/>
            <w:tcBorders>
              <w:right w:val="single" w:color="auto" w:sz="12" w:space="0"/>
            </w:tcBorders>
            <w:vAlign w:val="center"/>
          </w:tcPr>
          <w:p>
            <w:pPr>
              <w:pStyle w:val="373"/>
              <w:rPr>
                <w:rFonts w:hint="default" w:eastAsia="宋体"/>
                <w:color w:val="auto"/>
                <w:u w:val="single"/>
                <w:lang w:val="en-US" w:eastAsia="zh-CN"/>
              </w:rPr>
            </w:pPr>
            <w:r>
              <w:rPr>
                <w:rFonts w:hint="eastAsia"/>
                <w:color w:val="auto"/>
                <w:u w:val="singl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5" w:type="pct"/>
            <w:tcBorders>
              <w:left w:val="single" w:color="auto" w:sz="12" w:space="0"/>
            </w:tcBorders>
            <w:tcMar>
              <w:left w:w="28" w:type="dxa"/>
              <w:right w:w="28" w:type="dxa"/>
            </w:tcMar>
            <w:vAlign w:val="center"/>
          </w:tcPr>
          <w:p>
            <w:pPr>
              <w:pStyle w:val="373"/>
              <w:rPr>
                <w:snapToGrid w:val="0"/>
                <w:color w:val="auto"/>
                <w:kern w:val="18"/>
              </w:rPr>
            </w:pPr>
            <w:r>
              <w:rPr>
                <w:snapToGrid w:val="0"/>
                <w:color w:val="auto"/>
                <w:kern w:val="18"/>
              </w:rPr>
              <w:t>地下水</w:t>
            </w:r>
            <w:r>
              <w:rPr>
                <w:rFonts w:hint="eastAsia"/>
                <w:snapToGrid w:val="0"/>
                <w:color w:val="auto"/>
                <w:kern w:val="18"/>
              </w:rPr>
              <w:t>环境</w:t>
            </w:r>
          </w:p>
        </w:tc>
        <w:tc>
          <w:tcPr>
            <w:tcW w:w="1716" w:type="pct"/>
            <w:tcMar>
              <w:left w:w="28" w:type="dxa"/>
              <w:right w:w="28" w:type="dxa"/>
            </w:tcMar>
            <w:vAlign w:val="center"/>
          </w:tcPr>
          <w:p>
            <w:pPr>
              <w:pStyle w:val="373"/>
              <w:rPr>
                <w:color w:val="auto"/>
              </w:rPr>
            </w:pPr>
            <w:r>
              <w:rPr>
                <w:rFonts w:hint="eastAsia"/>
                <w:color w:val="auto"/>
              </w:rPr>
              <w:t>K</w:t>
            </w:r>
            <w:r>
              <w:rPr>
                <w:rFonts w:hint="eastAsia"/>
                <w:color w:val="auto"/>
                <w:vertAlign w:val="superscript"/>
              </w:rPr>
              <w:t>+</w:t>
            </w:r>
            <w:r>
              <w:rPr>
                <w:rFonts w:hint="eastAsia"/>
                <w:color w:val="auto"/>
              </w:rPr>
              <w:t>、Na</w:t>
            </w:r>
            <w:r>
              <w:rPr>
                <w:rFonts w:hint="eastAsia"/>
                <w:color w:val="auto"/>
                <w:vertAlign w:val="superscript"/>
              </w:rPr>
              <w:t>+</w:t>
            </w:r>
            <w:r>
              <w:rPr>
                <w:rFonts w:hint="eastAsia"/>
                <w:color w:val="auto"/>
              </w:rPr>
              <w:t>、Ca</w:t>
            </w:r>
            <w:r>
              <w:rPr>
                <w:rFonts w:hint="eastAsia"/>
                <w:color w:val="auto"/>
                <w:vertAlign w:val="superscript"/>
              </w:rPr>
              <w:t>2+</w:t>
            </w:r>
            <w:r>
              <w:rPr>
                <w:rFonts w:hint="eastAsia"/>
                <w:color w:val="auto"/>
              </w:rPr>
              <w:t>、Mg</w:t>
            </w:r>
            <w:r>
              <w:rPr>
                <w:rFonts w:hint="eastAsia"/>
                <w:color w:val="auto"/>
                <w:vertAlign w:val="superscript"/>
              </w:rPr>
              <w:t>2+</w:t>
            </w:r>
            <w:r>
              <w:rPr>
                <w:rFonts w:hint="eastAsia"/>
                <w:color w:val="auto"/>
              </w:rPr>
              <w:t>、CO</w:t>
            </w:r>
            <w:r>
              <w:rPr>
                <w:rFonts w:hint="eastAsia"/>
                <w:color w:val="auto"/>
                <w:vertAlign w:val="subscript"/>
              </w:rPr>
              <w:t>3</w:t>
            </w:r>
            <w:r>
              <w:rPr>
                <w:rFonts w:hint="eastAsia"/>
                <w:color w:val="auto"/>
                <w:vertAlign w:val="superscript"/>
              </w:rPr>
              <w:t>2-</w:t>
            </w:r>
            <w:r>
              <w:rPr>
                <w:rFonts w:hint="eastAsia"/>
                <w:color w:val="auto"/>
              </w:rPr>
              <w:t>、HCO</w:t>
            </w:r>
            <w:r>
              <w:rPr>
                <w:rFonts w:hint="eastAsia"/>
                <w:color w:val="auto"/>
                <w:vertAlign w:val="subscript"/>
              </w:rPr>
              <w:t>3</w:t>
            </w:r>
            <w:r>
              <w:rPr>
                <w:rFonts w:hint="eastAsia"/>
                <w:color w:val="auto"/>
                <w:vertAlign w:val="superscript"/>
              </w:rPr>
              <w:t>2-</w:t>
            </w:r>
            <w:r>
              <w:rPr>
                <w:rFonts w:hint="eastAsia"/>
                <w:color w:val="auto"/>
              </w:rPr>
              <w:t>、Cl</w:t>
            </w:r>
            <w:r>
              <w:rPr>
                <w:rFonts w:hint="eastAsia"/>
                <w:color w:val="auto"/>
                <w:vertAlign w:val="superscript"/>
              </w:rPr>
              <w:t>-</w:t>
            </w:r>
            <w:r>
              <w:rPr>
                <w:rFonts w:hint="eastAsia"/>
                <w:color w:val="auto"/>
              </w:rPr>
              <w:t>、SO</w:t>
            </w:r>
            <w:r>
              <w:rPr>
                <w:rFonts w:hint="eastAsia"/>
                <w:color w:val="auto"/>
                <w:vertAlign w:val="subscript"/>
              </w:rPr>
              <w:t>4</w:t>
            </w:r>
            <w:r>
              <w:rPr>
                <w:rFonts w:hint="eastAsia"/>
                <w:color w:val="auto"/>
                <w:vertAlign w:val="superscript"/>
              </w:rPr>
              <w:t>2-</w:t>
            </w:r>
            <w:r>
              <w:rPr>
                <w:rFonts w:hint="eastAsia"/>
                <w:color w:val="auto"/>
              </w:rPr>
              <w:t>、总大肠菌群、细菌总数、pH、高锰酸盐指数、氨氮、溶解性总固体、总硬度、挥发性酚类、氰化物、氟、铁、锰、铬（六价）、砷、汞、铅、镉、硝酸盐、亚硝酸盐</w:t>
            </w:r>
          </w:p>
        </w:tc>
        <w:tc>
          <w:tcPr>
            <w:tcW w:w="1066" w:type="pct"/>
            <w:vAlign w:val="center"/>
          </w:tcPr>
          <w:p>
            <w:pPr>
              <w:pStyle w:val="373"/>
              <w:rPr>
                <w:color w:val="auto"/>
              </w:rPr>
            </w:pPr>
            <w:r>
              <w:rPr>
                <w:rFonts w:hint="eastAsia"/>
                <w:color w:val="auto"/>
              </w:rPr>
              <w:t>COD、氨氮</w:t>
            </w:r>
          </w:p>
        </w:tc>
        <w:tc>
          <w:tcPr>
            <w:tcW w:w="1053" w:type="pct"/>
            <w:vAlign w:val="center"/>
          </w:tcPr>
          <w:p>
            <w:pPr>
              <w:pStyle w:val="373"/>
              <w:rPr>
                <w:snapToGrid w:val="0"/>
                <w:color w:val="auto"/>
                <w:kern w:val="0"/>
              </w:rPr>
            </w:pPr>
            <w:r>
              <w:rPr>
                <w:rFonts w:hint="eastAsia"/>
                <w:color w:val="auto"/>
              </w:rPr>
              <w:t>COD、氨氮</w:t>
            </w:r>
          </w:p>
        </w:tc>
        <w:tc>
          <w:tcPr>
            <w:tcW w:w="507" w:type="pct"/>
            <w:tcBorders>
              <w:right w:val="single" w:color="auto" w:sz="12" w:space="0"/>
            </w:tcBorders>
            <w:vAlign w:val="center"/>
          </w:tcPr>
          <w:p>
            <w:pPr>
              <w:pStyle w:val="373"/>
              <w:rPr>
                <w:snapToGrid w:val="0"/>
                <w:color w:val="auto"/>
                <w:kern w:val="18"/>
              </w:rPr>
            </w:pPr>
            <w:r>
              <w:rPr>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5" w:type="pct"/>
            <w:tcBorders>
              <w:left w:val="single" w:color="auto" w:sz="12" w:space="0"/>
            </w:tcBorders>
            <w:tcMar>
              <w:left w:w="28" w:type="dxa"/>
              <w:right w:w="28" w:type="dxa"/>
            </w:tcMar>
            <w:vAlign w:val="center"/>
          </w:tcPr>
          <w:p>
            <w:pPr>
              <w:pStyle w:val="373"/>
              <w:rPr>
                <w:snapToGrid w:val="0"/>
                <w:color w:val="auto"/>
                <w:kern w:val="18"/>
              </w:rPr>
            </w:pPr>
            <w:r>
              <w:rPr>
                <w:snapToGrid w:val="0"/>
                <w:color w:val="auto"/>
                <w:kern w:val="18"/>
              </w:rPr>
              <w:t>环境噪声</w:t>
            </w:r>
          </w:p>
        </w:tc>
        <w:tc>
          <w:tcPr>
            <w:tcW w:w="1716" w:type="pct"/>
            <w:tcMar>
              <w:left w:w="28" w:type="dxa"/>
              <w:right w:w="28" w:type="dxa"/>
            </w:tcMar>
            <w:vAlign w:val="center"/>
          </w:tcPr>
          <w:p>
            <w:pPr>
              <w:pStyle w:val="373"/>
              <w:rPr>
                <w:snapToGrid w:val="0"/>
                <w:color w:val="auto"/>
                <w:kern w:val="18"/>
              </w:rPr>
            </w:pPr>
            <w:r>
              <w:rPr>
                <w:snapToGrid w:val="0"/>
                <w:color w:val="auto"/>
                <w:kern w:val="18"/>
              </w:rPr>
              <w:t>等效连续A声级</w:t>
            </w:r>
          </w:p>
        </w:tc>
        <w:tc>
          <w:tcPr>
            <w:tcW w:w="1066" w:type="pct"/>
            <w:vAlign w:val="center"/>
          </w:tcPr>
          <w:p>
            <w:pPr>
              <w:pStyle w:val="373"/>
              <w:rPr>
                <w:snapToGrid w:val="0"/>
                <w:color w:val="auto"/>
                <w:kern w:val="18"/>
              </w:rPr>
            </w:pPr>
            <w:r>
              <w:rPr>
                <w:snapToGrid w:val="0"/>
                <w:color w:val="auto"/>
                <w:kern w:val="18"/>
              </w:rPr>
              <w:t>等效连续A声级</w:t>
            </w:r>
          </w:p>
        </w:tc>
        <w:tc>
          <w:tcPr>
            <w:tcW w:w="1053" w:type="pct"/>
            <w:vAlign w:val="center"/>
          </w:tcPr>
          <w:p>
            <w:pPr>
              <w:pStyle w:val="373"/>
              <w:rPr>
                <w:snapToGrid w:val="0"/>
                <w:color w:val="auto"/>
                <w:kern w:val="18"/>
              </w:rPr>
            </w:pPr>
            <w:r>
              <w:rPr>
                <w:snapToGrid w:val="0"/>
                <w:color w:val="auto"/>
                <w:kern w:val="18"/>
              </w:rPr>
              <w:t>等效连续A声级</w:t>
            </w:r>
          </w:p>
        </w:tc>
        <w:tc>
          <w:tcPr>
            <w:tcW w:w="507" w:type="pct"/>
            <w:tcBorders>
              <w:right w:val="single" w:color="auto" w:sz="12" w:space="0"/>
            </w:tcBorders>
            <w:vAlign w:val="center"/>
          </w:tcPr>
          <w:p>
            <w:pPr>
              <w:pStyle w:val="373"/>
              <w:rPr>
                <w:snapToGrid w:val="0"/>
                <w:color w:val="auto"/>
                <w:kern w:val="18"/>
              </w:rPr>
            </w:pPr>
            <w:r>
              <w:rPr>
                <w:snapToGrid w:val="0"/>
                <w:color w:val="auto"/>
                <w:kern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5" w:type="pct"/>
            <w:tcBorders>
              <w:left w:val="single" w:color="auto" w:sz="12" w:space="0"/>
            </w:tcBorders>
            <w:tcMar>
              <w:left w:w="28" w:type="dxa"/>
              <w:right w:w="28" w:type="dxa"/>
            </w:tcMar>
            <w:vAlign w:val="center"/>
          </w:tcPr>
          <w:p>
            <w:pPr>
              <w:pStyle w:val="373"/>
              <w:rPr>
                <w:snapToGrid w:val="0"/>
                <w:color w:val="auto"/>
                <w:kern w:val="18"/>
              </w:rPr>
            </w:pPr>
            <w:r>
              <w:rPr>
                <w:rFonts w:hint="eastAsia"/>
                <w:snapToGrid w:val="0"/>
                <w:color w:val="auto"/>
                <w:kern w:val="18"/>
              </w:rPr>
              <w:t>土壤环境</w:t>
            </w:r>
          </w:p>
        </w:tc>
        <w:tc>
          <w:tcPr>
            <w:tcW w:w="1716" w:type="pct"/>
            <w:tcMar>
              <w:left w:w="28" w:type="dxa"/>
              <w:right w:w="28" w:type="dxa"/>
            </w:tcMar>
            <w:vAlign w:val="center"/>
          </w:tcPr>
          <w:p>
            <w:pPr>
              <w:pStyle w:val="373"/>
              <w:rPr>
                <w:color w:val="auto"/>
                <w:lang w:val="pt-BR"/>
              </w:rPr>
            </w:pPr>
            <w:r>
              <w:rPr>
                <w:color w:val="auto"/>
                <w:lang w:val="pt-BR"/>
              </w:rPr>
              <w:t>pH值、镉、砷、铅、铬、</w:t>
            </w:r>
          </w:p>
          <w:p>
            <w:pPr>
              <w:pStyle w:val="373"/>
              <w:rPr>
                <w:color w:val="auto"/>
                <w:lang w:val="pt-BR"/>
              </w:rPr>
            </w:pPr>
            <w:r>
              <w:rPr>
                <w:color w:val="auto"/>
                <w:lang w:val="pt-BR"/>
              </w:rPr>
              <w:t>铜、镍、锌</w:t>
            </w:r>
          </w:p>
        </w:tc>
        <w:tc>
          <w:tcPr>
            <w:tcW w:w="1066" w:type="pct"/>
            <w:vAlign w:val="center"/>
          </w:tcPr>
          <w:p>
            <w:pPr>
              <w:pStyle w:val="373"/>
              <w:rPr>
                <w:color w:val="auto"/>
              </w:rPr>
            </w:pPr>
            <w:r>
              <w:rPr>
                <w:color w:val="auto"/>
              </w:rPr>
              <w:t>/</w:t>
            </w:r>
          </w:p>
        </w:tc>
        <w:tc>
          <w:tcPr>
            <w:tcW w:w="1053" w:type="pct"/>
            <w:vAlign w:val="center"/>
          </w:tcPr>
          <w:p>
            <w:pPr>
              <w:pStyle w:val="373"/>
              <w:rPr>
                <w:color w:val="auto"/>
              </w:rPr>
            </w:pPr>
            <w:r>
              <w:rPr>
                <w:color w:val="auto"/>
              </w:rPr>
              <w:t>/</w:t>
            </w:r>
          </w:p>
        </w:tc>
        <w:tc>
          <w:tcPr>
            <w:tcW w:w="507" w:type="pct"/>
            <w:tcBorders>
              <w:right w:val="single" w:color="auto" w:sz="12" w:space="0"/>
            </w:tcBorders>
            <w:vAlign w:val="center"/>
          </w:tcPr>
          <w:p>
            <w:pPr>
              <w:pStyle w:val="373"/>
              <w:rPr>
                <w:snapToGrid w:val="0"/>
                <w:color w:val="auto"/>
                <w:kern w:val="18"/>
              </w:rPr>
            </w:pPr>
            <w:r>
              <w:rPr>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5" w:type="pct"/>
            <w:tcBorders>
              <w:left w:val="single" w:color="auto" w:sz="12" w:space="0"/>
            </w:tcBorders>
            <w:tcMar>
              <w:left w:w="28" w:type="dxa"/>
              <w:right w:w="28" w:type="dxa"/>
            </w:tcMar>
            <w:vAlign w:val="center"/>
          </w:tcPr>
          <w:p>
            <w:pPr>
              <w:pStyle w:val="373"/>
              <w:rPr>
                <w:snapToGrid w:val="0"/>
                <w:color w:val="auto"/>
                <w:kern w:val="18"/>
              </w:rPr>
            </w:pPr>
            <w:r>
              <w:rPr>
                <w:snapToGrid w:val="0"/>
                <w:color w:val="auto"/>
                <w:kern w:val="18"/>
              </w:rPr>
              <w:t>固体废物</w:t>
            </w:r>
          </w:p>
        </w:tc>
        <w:tc>
          <w:tcPr>
            <w:tcW w:w="1716" w:type="pct"/>
            <w:tcMar>
              <w:left w:w="28" w:type="dxa"/>
              <w:right w:w="28" w:type="dxa"/>
            </w:tcMar>
            <w:vAlign w:val="center"/>
          </w:tcPr>
          <w:p>
            <w:pPr>
              <w:pStyle w:val="373"/>
              <w:rPr>
                <w:color w:val="auto"/>
                <w:lang w:val="pt-BR"/>
              </w:rPr>
            </w:pPr>
            <w:r>
              <w:rPr>
                <w:color w:val="auto"/>
                <w:lang w:val="pt-BR"/>
              </w:rPr>
              <w:t>/</w:t>
            </w:r>
          </w:p>
        </w:tc>
        <w:tc>
          <w:tcPr>
            <w:tcW w:w="1066" w:type="pct"/>
            <w:vAlign w:val="center"/>
          </w:tcPr>
          <w:p>
            <w:pPr>
              <w:pStyle w:val="373"/>
              <w:rPr>
                <w:color w:val="auto"/>
              </w:rPr>
            </w:pPr>
            <w:r>
              <w:rPr>
                <w:rFonts w:hint="eastAsia"/>
                <w:color w:val="auto"/>
              </w:rPr>
              <w:t>废饲料包装袋、</w:t>
            </w:r>
            <w:r>
              <w:rPr>
                <w:color w:val="auto"/>
              </w:rPr>
              <w:t>鸡粪、病死鸡、生活垃圾</w:t>
            </w:r>
            <w:r>
              <w:rPr>
                <w:rFonts w:hint="eastAsia"/>
                <w:color w:val="auto"/>
              </w:rPr>
              <w:t>、锅炉灰渣、污泥、废布袋及除尘灰、医疗垃圾</w:t>
            </w:r>
            <w:r>
              <w:rPr>
                <w:color w:val="auto"/>
              </w:rPr>
              <w:t>等</w:t>
            </w:r>
          </w:p>
        </w:tc>
        <w:tc>
          <w:tcPr>
            <w:tcW w:w="1053" w:type="pct"/>
            <w:vAlign w:val="center"/>
          </w:tcPr>
          <w:p>
            <w:pPr>
              <w:pStyle w:val="373"/>
              <w:rPr>
                <w:color w:val="auto"/>
                <w:lang w:val="pt-BR"/>
              </w:rPr>
            </w:pPr>
            <w:r>
              <w:rPr>
                <w:rFonts w:hint="eastAsia"/>
                <w:color w:val="auto"/>
              </w:rPr>
              <w:t>废饲料包装袋、</w:t>
            </w:r>
            <w:r>
              <w:rPr>
                <w:color w:val="auto"/>
              </w:rPr>
              <w:t>鸡粪、病死鸡、生活垃圾</w:t>
            </w:r>
            <w:r>
              <w:rPr>
                <w:rFonts w:hint="eastAsia"/>
                <w:color w:val="auto"/>
              </w:rPr>
              <w:t>、锅炉灰渣、废布袋及除尘灰、医疗垃圾</w:t>
            </w:r>
            <w:r>
              <w:rPr>
                <w:color w:val="auto"/>
              </w:rPr>
              <w:t>等</w:t>
            </w:r>
          </w:p>
        </w:tc>
        <w:tc>
          <w:tcPr>
            <w:tcW w:w="507" w:type="pct"/>
            <w:tcBorders>
              <w:right w:val="single" w:color="auto" w:sz="12" w:space="0"/>
            </w:tcBorders>
            <w:vAlign w:val="center"/>
          </w:tcPr>
          <w:p>
            <w:pPr>
              <w:pStyle w:val="373"/>
              <w:rPr>
                <w:snapToGrid w:val="0"/>
                <w:color w:val="auto"/>
                <w:kern w:val="18"/>
              </w:rPr>
            </w:pPr>
            <w:r>
              <w:rPr>
                <w:snapToGrid w:val="0"/>
                <w:color w:val="auto"/>
                <w:kern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5" w:type="pct"/>
            <w:tcBorders>
              <w:left w:val="single" w:color="auto" w:sz="12" w:space="0"/>
            </w:tcBorders>
            <w:tcMar>
              <w:left w:w="28" w:type="dxa"/>
              <w:right w:w="28" w:type="dxa"/>
            </w:tcMar>
            <w:vAlign w:val="center"/>
          </w:tcPr>
          <w:p>
            <w:pPr>
              <w:pStyle w:val="373"/>
              <w:rPr>
                <w:color w:val="auto"/>
              </w:rPr>
            </w:pPr>
            <w:r>
              <w:rPr>
                <w:color w:val="auto"/>
              </w:rPr>
              <w:t>生态环境</w:t>
            </w:r>
          </w:p>
        </w:tc>
        <w:tc>
          <w:tcPr>
            <w:tcW w:w="1716" w:type="pct"/>
            <w:tcMar>
              <w:left w:w="28" w:type="dxa"/>
              <w:right w:w="28" w:type="dxa"/>
            </w:tcMar>
            <w:vAlign w:val="center"/>
          </w:tcPr>
          <w:p>
            <w:pPr>
              <w:pStyle w:val="373"/>
              <w:rPr>
                <w:color w:val="auto"/>
                <w:lang w:val="pt-BR"/>
              </w:rPr>
            </w:pPr>
            <w:r>
              <w:rPr>
                <w:color w:val="auto"/>
                <w:lang w:val="pt-BR"/>
              </w:rPr>
              <w:t>/</w:t>
            </w:r>
          </w:p>
        </w:tc>
        <w:tc>
          <w:tcPr>
            <w:tcW w:w="1066" w:type="pct"/>
            <w:vAlign w:val="center"/>
          </w:tcPr>
          <w:p>
            <w:pPr>
              <w:pStyle w:val="373"/>
              <w:rPr>
                <w:color w:val="auto"/>
                <w:lang w:val="pt-BR"/>
              </w:rPr>
            </w:pPr>
            <w:r>
              <w:rPr>
                <w:color w:val="auto"/>
                <w:lang w:val="pt-BR"/>
              </w:rPr>
              <w:t>土地利用、植被</w:t>
            </w:r>
            <w:r>
              <w:rPr>
                <w:rFonts w:hint="eastAsia"/>
                <w:color w:val="auto"/>
              </w:rPr>
              <w:t>破坏</w:t>
            </w:r>
            <w:r>
              <w:rPr>
                <w:color w:val="auto"/>
                <w:lang w:val="pt-BR"/>
              </w:rPr>
              <w:t>、水土流失等</w:t>
            </w:r>
          </w:p>
        </w:tc>
        <w:tc>
          <w:tcPr>
            <w:tcW w:w="1053" w:type="pct"/>
            <w:vAlign w:val="center"/>
          </w:tcPr>
          <w:p>
            <w:pPr>
              <w:pStyle w:val="373"/>
              <w:rPr>
                <w:color w:val="auto"/>
                <w:lang w:val="pt-BR"/>
              </w:rPr>
            </w:pPr>
            <w:r>
              <w:rPr>
                <w:color w:val="auto"/>
                <w:lang w:val="pt-BR"/>
              </w:rPr>
              <w:t>土地利用、植被</w:t>
            </w:r>
            <w:r>
              <w:rPr>
                <w:rFonts w:hint="eastAsia"/>
                <w:color w:val="auto"/>
              </w:rPr>
              <w:t>破坏</w:t>
            </w:r>
            <w:r>
              <w:rPr>
                <w:color w:val="auto"/>
                <w:lang w:val="pt-BR"/>
              </w:rPr>
              <w:t>、水土流失等</w:t>
            </w:r>
          </w:p>
        </w:tc>
        <w:tc>
          <w:tcPr>
            <w:tcW w:w="507" w:type="pct"/>
            <w:tcBorders>
              <w:right w:val="single" w:color="auto" w:sz="12" w:space="0"/>
            </w:tcBorders>
            <w:vAlign w:val="center"/>
          </w:tcPr>
          <w:p>
            <w:pPr>
              <w:pStyle w:val="373"/>
              <w:rPr>
                <w:snapToGrid w:val="0"/>
                <w:color w:val="auto"/>
                <w:kern w:val="18"/>
              </w:rPr>
            </w:pPr>
            <w:r>
              <w:rPr>
                <w:snapToGrid w:val="0"/>
                <w:color w:val="auto"/>
                <w:kern w:val="18"/>
              </w:rPr>
              <w:t>/</w:t>
            </w:r>
          </w:p>
        </w:tc>
      </w:tr>
    </w:tbl>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2" w:name="_Toc30175"/>
      <w:bookmarkStart w:id="63" w:name="_Toc7962"/>
      <w:bookmarkStart w:id="64" w:name="_Toc30798"/>
      <w:bookmarkStart w:id="65" w:name="_Toc13989"/>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.4评价时段</w:t>
      </w:r>
      <w:bookmarkEnd w:id="62"/>
      <w:bookmarkEnd w:id="63"/>
      <w:bookmarkEnd w:id="64"/>
      <w:bookmarkEnd w:id="65"/>
    </w:p>
    <w:p>
      <w:pPr>
        <w:spacing w:line="360" w:lineRule="auto"/>
        <w:ind w:firstLine="482"/>
        <w:rPr>
          <w:rFonts w:ascii="Times New Roman" w:eastAsia="宋体"/>
          <w:color w:val="auto"/>
        </w:rPr>
      </w:pPr>
      <w:r>
        <w:rPr>
          <w:rFonts w:ascii="Times New Roman" w:eastAsia="宋体"/>
          <w:color w:val="auto"/>
        </w:rPr>
        <w:t>本工程环境影响评价时段主要为施工期、营运期两个时段。</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6" w:name="_Toc17011"/>
      <w:bookmarkStart w:id="67" w:name="_Toc15944"/>
      <w:bookmarkStart w:id="68" w:name="_Toc28096"/>
      <w:bookmarkStart w:id="69" w:name="_Toc16782"/>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5</w:t>
      </w:r>
      <w:r>
        <w:rPr>
          <w:rFonts w:ascii="Times New Roman" w:hAnsi="Times New Roman" w:eastAsia="宋体"/>
          <w:color w:val="auto"/>
          <w:kern w:val="2"/>
          <w:sz w:val="28"/>
          <w:szCs w:val="28"/>
        </w:rPr>
        <w:t>评价内容和重点</w:t>
      </w:r>
      <w:bookmarkEnd w:id="66"/>
      <w:bookmarkEnd w:id="67"/>
      <w:bookmarkEnd w:id="68"/>
      <w:bookmarkEnd w:id="69"/>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5</w:t>
      </w:r>
      <w:r>
        <w:rPr>
          <w:rFonts w:ascii="Times New Roman" w:eastAsia="宋体"/>
          <w:b/>
          <w:bCs/>
          <w:color w:val="auto"/>
          <w:kern w:val="2"/>
          <w:sz w:val="24"/>
        </w:rPr>
        <w:t>.1评价工作内容</w:t>
      </w:r>
    </w:p>
    <w:p>
      <w:pPr>
        <w:pStyle w:val="309"/>
        <w:ind w:firstLine="486"/>
        <w:rPr>
          <w:rFonts w:eastAsia="宋体"/>
          <w:color w:val="auto"/>
          <w:szCs w:val="24"/>
        </w:rPr>
      </w:pPr>
      <w:r>
        <w:rPr>
          <w:rFonts w:eastAsia="宋体"/>
          <w:color w:val="auto"/>
          <w:szCs w:val="24"/>
        </w:rPr>
        <w:t>根据本项目工程营运期的排污特点，结合项目区域环境特征，本项目环境影响</w:t>
      </w:r>
      <w:r>
        <w:rPr>
          <w:rFonts w:hint="eastAsia" w:eastAsia="宋体"/>
          <w:color w:val="auto"/>
          <w:szCs w:val="24"/>
        </w:rPr>
        <w:t>评价</w:t>
      </w:r>
      <w:r>
        <w:rPr>
          <w:rFonts w:eastAsia="宋体"/>
          <w:color w:val="auto"/>
          <w:szCs w:val="24"/>
        </w:rPr>
        <w:t>的主要内容包括工程分析、声环境影响评价、水环境影响评价、环境空气影响评价、固体废物影响评价、环境保护措施及对策分析、环境经济损益分析等。</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5</w:t>
      </w:r>
      <w:r>
        <w:rPr>
          <w:rFonts w:ascii="Times New Roman" w:eastAsia="宋体"/>
          <w:b/>
          <w:bCs/>
          <w:color w:val="auto"/>
          <w:kern w:val="2"/>
          <w:sz w:val="24"/>
        </w:rPr>
        <w:t>.2评价重点</w:t>
      </w:r>
    </w:p>
    <w:p>
      <w:pPr>
        <w:pStyle w:val="309"/>
        <w:ind w:firstLine="486"/>
        <w:rPr>
          <w:rFonts w:eastAsia="宋体"/>
          <w:color w:val="auto"/>
          <w:szCs w:val="24"/>
        </w:rPr>
      </w:pPr>
      <w:r>
        <w:rPr>
          <w:rFonts w:eastAsia="宋体"/>
          <w:color w:val="auto"/>
          <w:szCs w:val="24"/>
        </w:rPr>
        <w:t>本项目</w:t>
      </w:r>
      <w:r>
        <w:rPr>
          <w:rFonts w:hint="eastAsia" w:eastAsia="宋体"/>
          <w:color w:val="auto"/>
          <w:szCs w:val="24"/>
        </w:rPr>
        <w:t>为</w:t>
      </w:r>
      <w:r>
        <w:rPr>
          <w:rFonts w:eastAsia="宋体"/>
          <w:color w:val="auto"/>
          <w:szCs w:val="24"/>
        </w:rPr>
        <w:t>畜禽养殖项目，对环境的影响主要是污染物排放后的环境空气、声环境、水环境及固体废物环境等的影响，根据项目所在地区的环境状况及工程特点，本次评价将工程分析、环境空气影响评价、声环境影响评价、水环境影响评价、固体废物环境影响评价及污染防治措施、对策等作为本次评价的重点。</w:t>
      </w:r>
    </w:p>
    <w:p>
      <w:pPr>
        <w:pStyle w:val="309"/>
        <w:ind w:firstLine="486"/>
        <w:rPr>
          <w:rFonts w:eastAsia="宋体"/>
          <w:color w:val="auto"/>
          <w:szCs w:val="24"/>
        </w:rPr>
      </w:pPr>
      <w:r>
        <w:rPr>
          <w:rFonts w:eastAsia="宋体"/>
          <w:color w:val="auto"/>
          <w:szCs w:val="24"/>
        </w:rPr>
        <w:t>本项目主要关注环境问题为：鸡舍</w:t>
      </w:r>
      <w:r>
        <w:rPr>
          <w:rFonts w:hint="eastAsia" w:eastAsia="宋体"/>
          <w:color w:val="auto"/>
          <w:szCs w:val="24"/>
        </w:rPr>
        <w:t>、污水沉淀池、锅炉</w:t>
      </w:r>
      <w:r>
        <w:rPr>
          <w:rFonts w:eastAsia="宋体"/>
          <w:color w:val="auto"/>
          <w:szCs w:val="24"/>
        </w:rPr>
        <w:t>产生的废气对周围大气环境的影响；高噪设备、鸡</w:t>
      </w:r>
      <w:r>
        <w:rPr>
          <w:rFonts w:hint="eastAsia" w:eastAsia="宋体"/>
          <w:color w:val="auto"/>
          <w:szCs w:val="24"/>
        </w:rPr>
        <w:t>舍</w:t>
      </w:r>
      <w:r>
        <w:rPr>
          <w:rFonts w:eastAsia="宋体"/>
          <w:color w:val="auto"/>
          <w:szCs w:val="24"/>
        </w:rPr>
        <w:t>噪声对周围声环境的影响；养殖废水对水环境的影响；鸡粪、病死鸡、医疗垃圾等废物对周围环境的影响。</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70" w:name="_Toc12336"/>
      <w:bookmarkStart w:id="71" w:name="_Toc17355"/>
      <w:bookmarkStart w:id="72" w:name="_Toc31362"/>
      <w:bookmarkStart w:id="73" w:name="_Toc30956"/>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6</w:t>
      </w:r>
      <w:r>
        <w:rPr>
          <w:rFonts w:ascii="Times New Roman" w:hAnsi="Times New Roman" w:eastAsia="宋体"/>
          <w:color w:val="auto"/>
          <w:kern w:val="2"/>
          <w:sz w:val="28"/>
          <w:szCs w:val="28"/>
        </w:rPr>
        <w:t>环境影响评价标准</w:t>
      </w:r>
      <w:bookmarkEnd w:id="70"/>
      <w:bookmarkEnd w:id="71"/>
      <w:bookmarkEnd w:id="72"/>
      <w:bookmarkEnd w:id="73"/>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6</w:t>
      </w:r>
      <w:r>
        <w:rPr>
          <w:rFonts w:ascii="Times New Roman" w:eastAsia="宋体"/>
          <w:b/>
          <w:bCs/>
          <w:color w:val="auto"/>
          <w:kern w:val="2"/>
          <w:sz w:val="24"/>
        </w:rPr>
        <w:t>.1环境功能区划</w:t>
      </w:r>
      <w:bookmarkStart w:id="74" w:name="_Toc9849"/>
    </w:p>
    <w:p>
      <w:pPr>
        <w:spacing w:line="360" w:lineRule="auto"/>
        <w:ind w:firstLine="482"/>
        <w:rPr>
          <w:rFonts w:ascii="Times New Roman" w:eastAsia="宋体"/>
          <w:color w:val="auto"/>
        </w:rPr>
      </w:pPr>
      <w:r>
        <w:rPr>
          <w:rFonts w:hint="eastAsia" w:ascii="Times New Roman" w:eastAsia="宋体"/>
          <w:color w:val="auto"/>
        </w:rPr>
        <w:t>（1）、</w:t>
      </w:r>
      <w:r>
        <w:rPr>
          <w:rFonts w:ascii="Times New Roman" w:eastAsia="宋体"/>
          <w:color w:val="auto"/>
        </w:rPr>
        <w:t>大气环境</w:t>
      </w:r>
      <w:bookmarkEnd w:id="74"/>
    </w:p>
    <w:p>
      <w:pPr>
        <w:spacing w:line="360" w:lineRule="auto"/>
        <w:ind w:firstLine="484" w:firstLineChars="200"/>
        <w:rPr>
          <w:rFonts w:ascii="Times New Roman" w:eastAsia="宋体"/>
          <w:color w:val="auto"/>
          <w:kern w:val="2"/>
          <w:szCs w:val="24"/>
        </w:rPr>
      </w:pPr>
      <w:r>
        <w:rPr>
          <w:rFonts w:ascii="Times New Roman" w:eastAsia="宋体"/>
          <w:color w:val="auto"/>
          <w:kern w:val="2"/>
          <w:szCs w:val="24"/>
        </w:rPr>
        <w:t>项目位于</w:t>
      </w:r>
      <w:r>
        <w:rPr>
          <w:rFonts w:hint="eastAsia" w:ascii="Times New Roman" w:eastAsia="宋体"/>
          <w:color w:val="auto"/>
          <w:kern w:val="2"/>
          <w:szCs w:val="24"/>
        </w:rPr>
        <w:t>湖南</w:t>
      </w:r>
      <w:r>
        <w:rPr>
          <w:rFonts w:ascii="Times New Roman" w:eastAsia="宋体"/>
          <w:color w:val="auto"/>
          <w:kern w:val="2"/>
          <w:szCs w:val="24"/>
        </w:rPr>
        <w:t>省</w:t>
      </w:r>
      <w:r>
        <w:rPr>
          <w:rFonts w:hint="eastAsia" w:ascii="Times New Roman" w:eastAsia="宋体"/>
          <w:color w:val="auto"/>
          <w:kern w:val="2"/>
          <w:szCs w:val="24"/>
        </w:rPr>
        <w:t>岳阳市新墙镇新华村桃源片</w:t>
      </w:r>
      <w:r>
        <w:rPr>
          <w:rFonts w:ascii="Times New Roman" w:eastAsia="宋体"/>
          <w:color w:val="auto"/>
          <w:kern w:val="2"/>
          <w:szCs w:val="24"/>
        </w:rPr>
        <w:t>，属于农村环境</w:t>
      </w:r>
      <w:r>
        <w:rPr>
          <w:rFonts w:hint="eastAsia" w:ascii="Times New Roman" w:eastAsia="宋体"/>
          <w:color w:val="auto"/>
          <w:kern w:val="2"/>
          <w:szCs w:val="24"/>
        </w:rPr>
        <w:t>，</w:t>
      </w:r>
      <w:r>
        <w:rPr>
          <w:rFonts w:ascii="Times New Roman" w:eastAsia="宋体"/>
          <w:color w:val="auto"/>
          <w:kern w:val="2"/>
          <w:szCs w:val="24"/>
        </w:rPr>
        <w:t>评价范围属于环境空气二类区。</w:t>
      </w:r>
    </w:p>
    <w:p>
      <w:pPr>
        <w:spacing w:line="360" w:lineRule="auto"/>
        <w:ind w:firstLine="482"/>
        <w:rPr>
          <w:rFonts w:ascii="Times New Roman" w:eastAsia="宋体"/>
          <w:color w:val="auto"/>
        </w:rPr>
      </w:pPr>
      <w:bookmarkStart w:id="75" w:name="_Toc23516"/>
      <w:r>
        <w:rPr>
          <w:rFonts w:hint="eastAsia" w:ascii="Times New Roman" w:eastAsia="宋体"/>
          <w:color w:val="auto"/>
        </w:rPr>
        <w:t>（2）、</w:t>
      </w:r>
      <w:r>
        <w:rPr>
          <w:rFonts w:ascii="Times New Roman" w:eastAsia="宋体"/>
          <w:color w:val="auto"/>
        </w:rPr>
        <w:t>地表水</w:t>
      </w:r>
      <w:bookmarkEnd w:id="75"/>
    </w:p>
    <w:p>
      <w:pPr>
        <w:spacing w:line="360" w:lineRule="auto"/>
        <w:ind w:firstLine="484" w:firstLineChars="200"/>
        <w:rPr>
          <w:rFonts w:ascii="Times New Roman" w:eastAsia="宋体"/>
          <w:color w:val="auto"/>
          <w:kern w:val="2"/>
          <w:szCs w:val="24"/>
        </w:rPr>
      </w:pPr>
      <w:r>
        <w:rPr>
          <w:rFonts w:ascii="Times New Roman" w:eastAsia="宋体"/>
          <w:color w:val="auto"/>
          <w:kern w:val="2"/>
          <w:szCs w:val="24"/>
        </w:rPr>
        <w:t>本项目位于</w:t>
      </w:r>
      <w:r>
        <w:rPr>
          <w:rFonts w:hint="eastAsia" w:ascii="Times New Roman" w:eastAsia="宋体"/>
          <w:color w:val="auto"/>
          <w:kern w:val="2"/>
          <w:szCs w:val="24"/>
        </w:rPr>
        <w:t>湖南</w:t>
      </w:r>
      <w:r>
        <w:rPr>
          <w:rFonts w:ascii="Times New Roman" w:eastAsia="宋体"/>
          <w:color w:val="auto"/>
          <w:kern w:val="2"/>
          <w:szCs w:val="24"/>
        </w:rPr>
        <w:t>省</w:t>
      </w:r>
      <w:r>
        <w:rPr>
          <w:rFonts w:hint="eastAsia" w:ascii="Times New Roman" w:eastAsia="宋体"/>
          <w:color w:val="auto"/>
          <w:kern w:val="2"/>
          <w:szCs w:val="24"/>
        </w:rPr>
        <w:t>岳阳市新墙镇新华村桃源片</w:t>
      </w:r>
      <w:r>
        <w:rPr>
          <w:rFonts w:ascii="Times New Roman" w:eastAsia="宋体"/>
          <w:color w:val="auto"/>
          <w:kern w:val="2"/>
          <w:szCs w:val="24"/>
        </w:rPr>
        <w:t>，按照</w:t>
      </w:r>
      <w:r>
        <w:rPr>
          <w:rFonts w:hint="eastAsia" w:ascii="Times New Roman" w:eastAsia="宋体"/>
          <w:color w:val="auto"/>
          <w:kern w:val="2"/>
          <w:szCs w:val="24"/>
        </w:rPr>
        <w:t>岳阳</w:t>
      </w:r>
      <w:r>
        <w:rPr>
          <w:rFonts w:ascii="Times New Roman" w:eastAsia="宋体"/>
          <w:color w:val="auto"/>
          <w:kern w:val="2"/>
          <w:szCs w:val="24"/>
        </w:rPr>
        <w:t>市地表水功能区划，本项目</w:t>
      </w:r>
      <w:r>
        <w:rPr>
          <w:rFonts w:hint="eastAsia" w:ascii="Times New Roman" w:eastAsia="宋体"/>
          <w:snapToGrid w:val="0"/>
          <w:color w:val="auto"/>
          <w:lang w:val="en-US" w:eastAsia="zh-CN"/>
        </w:rPr>
        <w:t>北</w:t>
      </w:r>
      <w:r>
        <w:rPr>
          <w:rFonts w:hint="eastAsia" w:ascii="Times New Roman" w:eastAsia="宋体"/>
          <w:snapToGrid w:val="0"/>
          <w:color w:val="auto"/>
        </w:rPr>
        <w:t>侧</w:t>
      </w:r>
      <w:r>
        <w:rPr>
          <w:rFonts w:hint="eastAsia" w:ascii="Times New Roman" w:eastAsia="宋体"/>
          <w:snapToGrid w:val="0"/>
          <w:color w:val="auto"/>
          <w:lang w:val="en-US" w:eastAsia="zh-CN"/>
        </w:rPr>
        <w:t>5</w:t>
      </w:r>
      <w:r>
        <w:rPr>
          <w:rFonts w:hint="eastAsia" w:ascii="Times New Roman" w:eastAsia="宋体"/>
          <w:snapToGrid w:val="0"/>
          <w:color w:val="auto"/>
        </w:rPr>
        <w:t>km新墙</w:t>
      </w:r>
      <w:r>
        <w:rPr>
          <w:rFonts w:hint="eastAsia" w:ascii="Times New Roman" w:eastAsia="宋体"/>
          <w:snapToGrid w:val="0"/>
          <w:color w:val="auto"/>
          <w:lang w:val="en-US" w:eastAsia="zh-CN"/>
        </w:rPr>
        <w:t>河</w:t>
      </w:r>
      <w:r>
        <w:rPr>
          <w:rFonts w:hint="eastAsia" w:ascii="Times New Roman" w:eastAsia="宋体"/>
          <w:snapToGrid w:val="0"/>
          <w:color w:val="auto"/>
        </w:rPr>
        <w:t>为</w:t>
      </w:r>
      <w:r>
        <w:rPr>
          <w:rFonts w:ascii="Times New Roman" w:eastAsia="宋体"/>
          <w:color w:val="auto"/>
          <w:kern w:val="2"/>
          <w:szCs w:val="24"/>
        </w:rPr>
        <w:t>Ⅲ</w:t>
      </w:r>
      <w:r>
        <w:rPr>
          <w:rFonts w:hint="eastAsia" w:ascii="Times New Roman" w:eastAsia="宋体"/>
          <w:snapToGrid w:val="0"/>
          <w:color w:val="auto"/>
        </w:rPr>
        <w:t>类</w:t>
      </w:r>
      <w:r>
        <w:rPr>
          <w:rFonts w:ascii="Times New Roman" w:eastAsia="宋体"/>
          <w:snapToGrid w:val="0"/>
          <w:color w:val="auto"/>
        </w:rPr>
        <w:t>。</w:t>
      </w:r>
      <w:r>
        <w:rPr>
          <w:rFonts w:ascii="Times New Roman" w:eastAsia="宋体"/>
          <w:color w:val="auto"/>
          <w:kern w:val="2"/>
          <w:szCs w:val="24"/>
        </w:rPr>
        <w:t>项目附近流域执行Ⅲ类标准。</w:t>
      </w:r>
    </w:p>
    <w:p>
      <w:pPr>
        <w:snapToGrid w:val="0"/>
        <w:spacing w:line="360" w:lineRule="auto"/>
        <w:ind w:firstLine="484" w:firstLineChars="200"/>
        <w:rPr>
          <w:rFonts w:ascii="Times New Roman" w:eastAsia="宋体"/>
          <w:snapToGrid w:val="0"/>
          <w:color w:val="auto"/>
        </w:rPr>
      </w:pPr>
      <w:r>
        <w:rPr>
          <w:rFonts w:ascii="Times New Roman" w:eastAsia="宋体"/>
          <w:snapToGrid w:val="0"/>
          <w:color w:val="auto"/>
          <w:szCs w:val="21"/>
        </w:rPr>
        <w:t>厂界</w:t>
      </w:r>
      <w:r>
        <w:rPr>
          <w:rFonts w:hint="eastAsia" w:ascii="Times New Roman" w:eastAsia="宋体"/>
          <w:snapToGrid w:val="0"/>
          <w:color w:val="auto"/>
          <w:szCs w:val="21"/>
        </w:rPr>
        <w:t>西侧水塘</w:t>
      </w:r>
      <w:r>
        <w:rPr>
          <w:rFonts w:ascii="Times New Roman" w:eastAsia="宋体"/>
          <w:snapToGrid w:val="0"/>
          <w:color w:val="auto"/>
        </w:rPr>
        <w:t>《地表水环境质量标准》（GB3838—2002）中Ⅲ类标准</w:t>
      </w:r>
      <w:r>
        <w:rPr>
          <w:rFonts w:hint="eastAsia" w:ascii="Times New Roman" w:eastAsia="宋体"/>
          <w:snapToGrid w:val="0"/>
          <w:color w:val="auto"/>
        </w:rPr>
        <w:t>，</w:t>
      </w:r>
    </w:p>
    <w:p>
      <w:pPr>
        <w:spacing w:line="360" w:lineRule="auto"/>
        <w:ind w:firstLine="482"/>
        <w:rPr>
          <w:rFonts w:ascii="Times New Roman" w:eastAsia="宋体"/>
          <w:color w:val="auto"/>
        </w:rPr>
      </w:pPr>
      <w:bookmarkStart w:id="76" w:name="_Toc25037"/>
      <w:r>
        <w:rPr>
          <w:rFonts w:hint="eastAsia" w:ascii="Times New Roman" w:eastAsia="宋体"/>
          <w:color w:val="auto"/>
        </w:rPr>
        <w:t>（3）、</w:t>
      </w:r>
      <w:r>
        <w:rPr>
          <w:rFonts w:ascii="Times New Roman" w:eastAsia="宋体"/>
          <w:color w:val="auto"/>
        </w:rPr>
        <w:t>地下水</w:t>
      </w:r>
      <w:bookmarkEnd w:id="76"/>
    </w:p>
    <w:p>
      <w:pPr>
        <w:spacing w:line="360" w:lineRule="auto"/>
        <w:ind w:firstLine="484" w:firstLineChars="200"/>
        <w:rPr>
          <w:rFonts w:ascii="Times New Roman" w:eastAsia="宋体"/>
          <w:color w:val="auto"/>
          <w:kern w:val="2"/>
          <w:szCs w:val="24"/>
        </w:rPr>
      </w:pPr>
      <w:r>
        <w:rPr>
          <w:rFonts w:ascii="Times New Roman" w:eastAsia="宋体"/>
          <w:color w:val="auto"/>
          <w:kern w:val="2"/>
          <w:szCs w:val="24"/>
        </w:rPr>
        <w:t>区域地下水执行《地下水环境质量标准》（GB/T 14848-2017）中III类标准。</w:t>
      </w:r>
    </w:p>
    <w:p>
      <w:pPr>
        <w:spacing w:line="360" w:lineRule="auto"/>
        <w:ind w:firstLine="482"/>
        <w:rPr>
          <w:rFonts w:ascii="Times New Roman" w:eastAsia="宋体"/>
          <w:color w:val="auto"/>
        </w:rPr>
      </w:pPr>
      <w:bookmarkStart w:id="77" w:name="_Toc30498"/>
      <w:r>
        <w:rPr>
          <w:rFonts w:hint="eastAsia" w:ascii="Times New Roman" w:eastAsia="宋体"/>
          <w:color w:val="auto"/>
        </w:rPr>
        <w:t>（4）、</w:t>
      </w:r>
      <w:r>
        <w:rPr>
          <w:rFonts w:ascii="Times New Roman" w:eastAsia="宋体"/>
          <w:color w:val="auto"/>
        </w:rPr>
        <w:t>声环境</w:t>
      </w:r>
      <w:bookmarkEnd w:id="77"/>
    </w:p>
    <w:p>
      <w:pPr>
        <w:spacing w:line="360" w:lineRule="auto"/>
        <w:ind w:firstLine="484" w:firstLineChars="200"/>
        <w:rPr>
          <w:rFonts w:ascii="Times New Roman" w:eastAsia="宋体"/>
          <w:color w:val="auto"/>
          <w:kern w:val="2"/>
          <w:szCs w:val="24"/>
        </w:rPr>
      </w:pPr>
      <w:r>
        <w:rPr>
          <w:rFonts w:ascii="Times New Roman" w:eastAsia="宋体"/>
          <w:color w:val="auto"/>
          <w:kern w:val="2"/>
          <w:szCs w:val="24"/>
        </w:rPr>
        <w:t>目前</w:t>
      </w:r>
      <w:r>
        <w:rPr>
          <w:rFonts w:hint="eastAsia" w:ascii="Times New Roman" w:eastAsia="宋体"/>
          <w:color w:val="auto"/>
          <w:kern w:val="2"/>
          <w:szCs w:val="24"/>
        </w:rPr>
        <w:t>岳阳市</w:t>
      </w:r>
      <w:r>
        <w:rPr>
          <w:rFonts w:ascii="Times New Roman" w:eastAsia="宋体"/>
          <w:color w:val="auto"/>
          <w:kern w:val="2"/>
          <w:szCs w:val="24"/>
        </w:rPr>
        <w:t>仅对城区</w:t>
      </w:r>
      <w:r>
        <w:rPr>
          <w:rFonts w:hint="eastAsia" w:ascii="Times New Roman" w:eastAsia="宋体"/>
          <w:color w:val="auto"/>
          <w:kern w:val="2"/>
          <w:szCs w:val="24"/>
        </w:rPr>
        <w:t>、云溪区和君山区</w:t>
      </w:r>
      <w:r>
        <w:rPr>
          <w:rFonts w:ascii="Times New Roman" w:eastAsia="宋体"/>
          <w:color w:val="auto"/>
          <w:kern w:val="2"/>
          <w:szCs w:val="24"/>
        </w:rPr>
        <w:t>作了环境噪声标准区域划分，尚未对项目所在区域进行噪声环境功能区划，参考《声环境功能区划分技术规范》（GB/T15190-2014），</w:t>
      </w:r>
      <w:r>
        <w:rPr>
          <w:rFonts w:hint="eastAsia" w:ascii="Times New Roman" w:eastAsia="宋体"/>
          <w:color w:val="auto"/>
          <w:kern w:val="2"/>
          <w:szCs w:val="24"/>
        </w:rPr>
        <w:t>本</w:t>
      </w:r>
      <w:r>
        <w:rPr>
          <w:rFonts w:ascii="Times New Roman" w:eastAsia="宋体"/>
          <w:color w:val="auto"/>
          <w:kern w:val="2"/>
          <w:szCs w:val="24"/>
        </w:rPr>
        <w:t>项目部分位于农村区域，属于声环境功能</w:t>
      </w:r>
      <w:r>
        <w:rPr>
          <w:rFonts w:hint="eastAsia" w:ascii="Times New Roman" w:eastAsia="宋体"/>
          <w:color w:val="auto"/>
          <w:kern w:val="2"/>
          <w:szCs w:val="24"/>
        </w:rPr>
        <w:t>2</w:t>
      </w:r>
      <w:r>
        <w:rPr>
          <w:rFonts w:ascii="Times New Roman" w:eastAsia="宋体"/>
          <w:color w:val="auto"/>
          <w:kern w:val="2"/>
          <w:szCs w:val="24"/>
        </w:rPr>
        <w:t>类区，确定执行《声环境质量标准》（GB3096-2008）中的</w:t>
      </w:r>
      <w:r>
        <w:rPr>
          <w:rFonts w:hint="eastAsia" w:ascii="Times New Roman" w:eastAsia="宋体"/>
          <w:color w:val="auto"/>
          <w:kern w:val="2"/>
          <w:szCs w:val="24"/>
        </w:rPr>
        <w:t>2</w:t>
      </w:r>
      <w:r>
        <w:rPr>
          <w:rFonts w:ascii="Times New Roman" w:eastAsia="宋体"/>
          <w:color w:val="auto"/>
          <w:kern w:val="2"/>
          <w:szCs w:val="24"/>
        </w:rPr>
        <w:t>类区标准。</w:t>
      </w:r>
    </w:p>
    <w:p>
      <w:pPr>
        <w:spacing w:line="360" w:lineRule="auto"/>
        <w:ind w:firstLine="482"/>
        <w:rPr>
          <w:rFonts w:ascii="Times New Roman" w:eastAsia="宋体"/>
          <w:color w:val="auto"/>
        </w:rPr>
      </w:pPr>
      <w:bookmarkStart w:id="78" w:name="_Toc13656"/>
      <w:r>
        <w:rPr>
          <w:rFonts w:hint="eastAsia" w:ascii="Times New Roman" w:eastAsia="宋体"/>
          <w:color w:val="auto"/>
        </w:rPr>
        <w:t>（5）、</w:t>
      </w:r>
      <w:r>
        <w:rPr>
          <w:rFonts w:ascii="Times New Roman" w:eastAsia="宋体"/>
          <w:color w:val="auto"/>
        </w:rPr>
        <w:t>土壤环境</w:t>
      </w:r>
      <w:bookmarkEnd w:id="78"/>
    </w:p>
    <w:p>
      <w:pPr>
        <w:spacing w:line="360" w:lineRule="auto"/>
        <w:ind w:firstLine="484" w:firstLineChars="200"/>
        <w:rPr>
          <w:rFonts w:ascii="Times New Roman" w:eastAsia="宋体"/>
          <w:color w:val="auto"/>
          <w:kern w:val="2"/>
          <w:szCs w:val="24"/>
        </w:rPr>
      </w:pPr>
      <w:r>
        <w:rPr>
          <w:rFonts w:hint="eastAsia" w:ascii="Times New Roman" w:eastAsia="宋体"/>
          <w:color w:val="auto"/>
          <w:kern w:val="2"/>
          <w:szCs w:val="24"/>
        </w:rPr>
        <w:t>本</w:t>
      </w:r>
      <w:r>
        <w:rPr>
          <w:rFonts w:ascii="Times New Roman" w:eastAsia="宋体"/>
          <w:color w:val="auto"/>
          <w:kern w:val="2"/>
          <w:szCs w:val="24"/>
        </w:rPr>
        <w:t>项目所在区域土壤环境执行《农用地土壤污染风险管控标准（试行）》（GB15618-2018）表1农用地土壤污染风险筛选值（基本项目）。</w:t>
      </w:r>
    </w:p>
    <w:p>
      <w:pPr>
        <w:spacing w:line="360" w:lineRule="auto"/>
        <w:ind w:firstLine="482"/>
        <w:rPr>
          <w:rFonts w:ascii="Times New Roman" w:eastAsia="宋体"/>
          <w:color w:val="auto"/>
        </w:rPr>
      </w:pPr>
      <w:bookmarkStart w:id="79" w:name="_Toc10290"/>
      <w:r>
        <w:rPr>
          <w:rFonts w:hint="eastAsia" w:ascii="Times New Roman" w:eastAsia="宋体"/>
          <w:color w:val="auto"/>
        </w:rPr>
        <w:t>（6）、</w:t>
      </w:r>
      <w:r>
        <w:rPr>
          <w:rFonts w:ascii="Times New Roman" w:eastAsia="宋体"/>
          <w:color w:val="auto"/>
        </w:rPr>
        <w:t>项目所在区域环境功能属性汇总</w:t>
      </w:r>
      <w:bookmarkEnd w:id="79"/>
    </w:p>
    <w:p>
      <w:pPr>
        <w:spacing w:line="360" w:lineRule="auto"/>
        <w:ind w:firstLine="484" w:firstLineChars="200"/>
        <w:rPr>
          <w:rFonts w:ascii="Times New Roman" w:eastAsia="宋体"/>
          <w:color w:val="auto"/>
        </w:rPr>
      </w:pPr>
      <w:r>
        <w:rPr>
          <w:rFonts w:ascii="Times New Roman" w:eastAsia="宋体"/>
          <w:color w:val="auto"/>
        </w:rPr>
        <w:t>项目所在区域的环境功能属性见表2.</w:t>
      </w:r>
      <w:r>
        <w:rPr>
          <w:rFonts w:hint="eastAsia" w:ascii="Times New Roman" w:eastAsia="宋体"/>
          <w:color w:val="auto"/>
        </w:rPr>
        <w:t>6</w:t>
      </w:r>
      <w:r>
        <w:rPr>
          <w:rFonts w:ascii="Times New Roman" w:eastAsia="宋体"/>
          <w:color w:val="auto"/>
        </w:rPr>
        <w:t>-1。</w:t>
      </w:r>
    </w:p>
    <w:p>
      <w:pPr>
        <w:spacing w:line="360" w:lineRule="auto"/>
        <w:jc w:val="center"/>
        <w:rPr>
          <w:rFonts w:ascii="Times New Roman" w:eastAsia="黑体"/>
          <w:color w:val="auto"/>
        </w:rPr>
      </w:pPr>
      <w:r>
        <w:rPr>
          <w:rFonts w:ascii="Times New Roman" w:eastAsia="黑体"/>
          <w:color w:val="auto"/>
        </w:rPr>
        <w:t>表2.</w:t>
      </w:r>
      <w:r>
        <w:rPr>
          <w:rFonts w:hint="eastAsia" w:ascii="Times New Roman" w:eastAsia="黑体"/>
          <w:color w:val="auto"/>
        </w:rPr>
        <w:t>6</w:t>
      </w:r>
      <w:r>
        <w:rPr>
          <w:rFonts w:ascii="Times New Roman" w:eastAsia="黑体"/>
          <w:color w:val="auto"/>
        </w:rPr>
        <w:t>-1   环境功能区划表</w:t>
      </w:r>
    </w:p>
    <w:tbl>
      <w:tblPr>
        <w:tblStyle w:val="47"/>
        <w:tblW w:w="901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85"/>
        <w:gridCol w:w="2382"/>
        <w:gridCol w:w="595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48"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编号</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环境要素</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环境功能属性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8"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1</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环境空气</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二类区，执行《环境空气质量标准》（GB3095-2012）二级标准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8" w:hRule="atLeast"/>
          <w:jc w:val="center"/>
        </w:trPr>
        <w:tc>
          <w:tcPr>
            <w:tcW w:w="685" w:type="dxa"/>
            <w:vMerge w:val="restart"/>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2</w:t>
            </w:r>
          </w:p>
        </w:tc>
        <w:tc>
          <w:tcPr>
            <w:tcW w:w="2382" w:type="dxa"/>
            <w:vMerge w:val="restart"/>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水环境</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地表水环境：</w:t>
            </w:r>
            <w:r>
              <w:rPr>
                <w:rFonts w:hint="eastAsia" w:ascii="Times New Roman" w:eastAsia="宋体"/>
                <w:color w:val="auto"/>
                <w:kern w:val="2"/>
                <w:sz w:val="21"/>
                <w:szCs w:val="21"/>
              </w:rPr>
              <w:t>西侧</w:t>
            </w:r>
            <w:r>
              <w:rPr>
                <w:rFonts w:ascii="Times New Roman" w:eastAsia="宋体"/>
                <w:color w:val="auto"/>
                <w:kern w:val="2"/>
                <w:sz w:val="21"/>
                <w:szCs w:val="21"/>
              </w:rPr>
              <w:t>池塘执行《地表水环境质量标准》（GB3838-2002）中Ⅲ类标准</w:t>
            </w:r>
            <w:r>
              <w:rPr>
                <w:rFonts w:hint="eastAsia" w:ascii="Times New Roman" w:eastAsia="宋体"/>
                <w:color w:val="auto"/>
                <w:kern w:val="2"/>
                <w:sz w:val="21"/>
                <w:szCs w:val="21"/>
              </w:rPr>
              <w:t>，新墙</w:t>
            </w:r>
            <w:r>
              <w:rPr>
                <w:rFonts w:hint="eastAsia" w:ascii="Times New Roman" w:eastAsia="宋体"/>
                <w:color w:val="auto"/>
                <w:kern w:val="2"/>
                <w:sz w:val="21"/>
                <w:szCs w:val="21"/>
                <w:lang w:val="en-US" w:eastAsia="zh-CN"/>
              </w:rPr>
              <w:t>河</w:t>
            </w:r>
            <w:r>
              <w:rPr>
                <w:rFonts w:hint="eastAsia" w:ascii="Times New Roman" w:eastAsia="宋体"/>
                <w:color w:val="auto"/>
                <w:kern w:val="2"/>
                <w:sz w:val="21"/>
                <w:szCs w:val="21"/>
              </w:rPr>
              <w:t>执行</w:t>
            </w:r>
            <w:r>
              <w:rPr>
                <w:rFonts w:ascii="Times New Roman" w:eastAsia="宋体"/>
                <w:color w:val="auto"/>
                <w:kern w:val="2"/>
                <w:sz w:val="21"/>
                <w:szCs w:val="21"/>
              </w:rPr>
              <w:t>Ⅲ类</w:t>
            </w:r>
            <w:r>
              <w:rPr>
                <w:rFonts w:hint="eastAsia" w:ascii="Times New Roman" w:eastAsia="宋体"/>
                <w:color w:val="auto"/>
                <w:kern w:val="2"/>
                <w:sz w:val="21"/>
                <w:szCs w:val="21"/>
              </w:rPr>
              <w:t>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39" w:hRule="atLeast"/>
          <w:jc w:val="center"/>
        </w:trPr>
        <w:tc>
          <w:tcPr>
            <w:tcW w:w="685" w:type="dxa"/>
            <w:vMerge w:val="continue"/>
            <w:vAlign w:val="center"/>
          </w:tcPr>
          <w:p>
            <w:pPr>
              <w:snapToGrid w:val="0"/>
              <w:spacing w:after="120"/>
              <w:jc w:val="center"/>
              <w:textAlignment w:val="center"/>
              <w:rPr>
                <w:rFonts w:ascii="Times New Roman" w:eastAsia="宋体"/>
                <w:color w:val="auto"/>
                <w:sz w:val="21"/>
                <w:szCs w:val="21"/>
              </w:rPr>
            </w:pPr>
          </w:p>
        </w:tc>
        <w:tc>
          <w:tcPr>
            <w:tcW w:w="2382" w:type="dxa"/>
            <w:vMerge w:val="continue"/>
            <w:vAlign w:val="center"/>
          </w:tcPr>
          <w:p>
            <w:pPr>
              <w:snapToGrid w:val="0"/>
              <w:spacing w:after="120"/>
              <w:jc w:val="center"/>
              <w:textAlignment w:val="center"/>
              <w:rPr>
                <w:rFonts w:ascii="Times New Roman" w:eastAsia="宋体"/>
                <w:color w:val="auto"/>
                <w:sz w:val="21"/>
                <w:szCs w:val="21"/>
              </w:rPr>
            </w:pP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地下水环境：《地下水质量标准》（GB/T14848-2017）III类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8"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3</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声环境</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2类声环境区，执行《声环境质量标准》（GB3096-2008）2类环境噪声限值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39"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4</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是否基本农田保护区</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39"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5</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是否森林公园</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39"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6</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是否生态功能保护区</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8"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7</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是否水土流失重点防治区</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39"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8</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是否人口密集区</w:t>
            </w:r>
          </w:p>
        </w:tc>
        <w:tc>
          <w:tcPr>
            <w:tcW w:w="5951" w:type="dxa"/>
            <w:vAlign w:val="center"/>
          </w:tcPr>
          <w:p>
            <w:pPr>
              <w:snapToGrid w:val="0"/>
              <w:spacing w:after="120"/>
              <w:jc w:val="center"/>
              <w:textAlignment w:val="center"/>
              <w:rPr>
                <w:rFonts w:hint="eastAsia" w:ascii="Times New Roman" w:eastAsia="宋体"/>
                <w:color w:val="auto"/>
                <w:kern w:val="2"/>
                <w:sz w:val="21"/>
                <w:szCs w:val="21"/>
                <w:lang w:eastAsia="zh-CN"/>
              </w:rPr>
            </w:pPr>
            <w:r>
              <w:rPr>
                <w:rFonts w:hint="eastAsia" w:ascii="Times New Roman" w:eastAsia="宋体"/>
                <w:color w:val="auto"/>
                <w:kern w:val="2"/>
                <w:sz w:val="21"/>
                <w:szCs w:val="21"/>
                <w:lang w:eastAsia="zh-CN"/>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39"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9</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是否重点文物保护单位</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8"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10</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是否三河、三湖、两控区</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是（两控区）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48"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11</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是否水库库区</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8"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12</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是否污水处理厂集水范围</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16" w:hRule="atLeast"/>
          <w:jc w:val="center"/>
        </w:trPr>
        <w:tc>
          <w:tcPr>
            <w:tcW w:w="685"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13</w:t>
            </w:r>
          </w:p>
        </w:tc>
        <w:tc>
          <w:tcPr>
            <w:tcW w:w="2382"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是否属于生态敏感与脆弱区</w:t>
            </w:r>
          </w:p>
        </w:tc>
        <w:tc>
          <w:tcPr>
            <w:tcW w:w="5951" w:type="dxa"/>
            <w:vAlign w:val="center"/>
          </w:tcPr>
          <w:p>
            <w:pPr>
              <w:snapToGrid w:val="0"/>
              <w:spacing w:after="120"/>
              <w:jc w:val="center"/>
              <w:textAlignment w:val="center"/>
              <w:rPr>
                <w:rFonts w:ascii="Times New Roman" w:eastAsia="宋体"/>
                <w:color w:val="auto"/>
                <w:kern w:val="2"/>
                <w:sz w:val="21"/>
                <w:szCs w:val="21"/>
              </w:rPr>
            </w:pPr>
            <w:r>
              <w:rPr>
                <w:rFonts w:ascii="Times New Roman" w:eastAsia="宋体"/>
                <w:color w:val="auto"/>
                <w:kern w:val="2"/>
                <w:sz w:val="21"/>
                <w:szCs w:val="21"/>
              </w:rPr>
              <w:t>否</w:t>
            </w:r>
          </w:p>
        </w:tc>
      </w:tr>
    </w:tbl>
    <w:p>
      <w:pPr>
        <w:pStyle w:val="4"/>
        <w:spacing w:before="0" w:after="0" w:line="360" w:lineRule="auto"/>
        <w:rPr>
          <w:rFonts w:ascii="Times New Roman" w:eastAsia="宋体"/>
          <w:b/>
          <w:bCs/>
          <w:color w:val="auto"/>
          <w:kern w:val="2"/>
          <w:sz w:val="24"/>
        </w:rPr>
      </w:pPr>
      <w:bookmarkStart w:id="80" w:name="_Toc29816"/>
      <w:r>
        <w:rPr>
          <w:rFonts w:hint="eastAsia" w:ascii="Times New Roman" w:eastAsia="宋体"/>
          <w:b/>
          <w:bCs/>
          <w:color w:val="auto"/>
          <w:kern w:val="2"/>
          <w:sz w:val="24"/>
        </w:rPr>
        <w:t>2.6.2质量标准</w:t>
      </w:r>
      <w:bookmarkEnd w:id="80"/>
    </w:p>
    <w:p>
      <w:pPr>
        <w:spacing w:line="360" w:lineRule="auto"/>
        <w:ind w:firstLine="482"/>
        <w:rPr>
          <w:rFonts w:ascii="Times New Roman" w:eastAsia="宋体"/>
          <w:color w:val="auto"/>
        </w:rPr>
      </w:pPr>
      <w:bookmarkStart w:id="81" w:name="_Toc26882"/>
      <w:bookmarkStart w:id="82" w:name="_Toc17534"/>
      <w:r>
        <w:rPr>
          <w:rFonts w:ascii="Times New Roman" w:eastAsia="宋体"/>
          <w:color w:val="auto"/>
        </w:rPr>
        <w:t>1</w:t>
      </w:r>
      <w:r>
        <w:rPr>
          <w:rFonts w:hint="eastAsia" w:ascii="Times New Roman" w:eastAsia="宋体"/>
          <w:color w:val="auto"/>
        </w:rPr>
        <w:t>、</w:t>
      </w:r>
      <w:r>
        <w:rPr>
          <w:rFonts w:ascii="Times New Roman" w:eastAsia="宋体"/>
          <w:color w:val="auto"/>
        </w:rPr>
        <w:t>大气环境</w:t>
      </w:r>
      <w:bookmarkEnd w:id="81"/>
      <w:bookmarkEnd w:id="82"/>
    </w:p>
    <w:p>
      <w:pPr>
        <w:pStyle w:val="14"/>
        <w:ind w:firstLine="486"/>
        <w:jc w:val="left"/>
        <w:rPr>
          <w:rFonts w:ascii="Times New Roman" w:eastAsia="宋体"/>
          <w:color w:val="auto"/>
        </w:rPr>
      </w:pPr>
      <w:r>
        <w:rPr>
          <w:rFonts w:ascii="Times New Roman" w:eastAsia="宋体"/>
          <w:color w:val="auto"/>
        </w:rPr>
        <w:t>项目所在环境空气质量功能为二类区</w:t>
      </w:r>
      <w:r>
        <w:rPr>
          <w:rFonts w:hint="eastAsia" w:ascii="Times New Roman" w:eastAsia="宋体"/>
          <w:color w:val="auto"/>
        </w:rPr>
        <w:t>，</w:t>
      </w:r>
      <w:r>
        <w:rPr>
          <w:rFonts w:ascii="Times New Roman" w:eastAsia="宋体"/>
          <w:color w:val="auto"/>
        </w:rPr>
        <w:t>环境空气质量执行《环境空气质量标准》（GB3095-2012）中的二级标准；对于《环境空气质量标准》（GB3095-2012）中未包含的特征污染物，NH</w:t>
      </w:r>
      <w:r>
        <w:rPr>
          <w:rFonts w:ascii="Times New Roman" w:eastAsia="宋体"/>
          <w:color w:val="auto"/>
          <w:vertAlign w:val="subscript"/>
        </w:rPr>
        <w:t>3</w:t>
      </w:r>
      <w:r>
        <w:rPr>
          <w:rFonts w:ascii="Times New Roman" w:eastAsia="宋体"/>
          <w:color w:val="auto"/>
        </w:rPr>
        <w:t>、H</w:t>
      </w:r>
      <w:r>
        <w:rPr>
          <w:rFonts w:ascii="Times New Roman" w:eastAsia="宋体"/>
          <w:color w:val="auto"/>
          <w:vertAlign w:val="subscript"/>
        </w:rPr>
        <w:t>2</w:t>
      </w:r>
      <w:r>
        <w:rPr>
          <w:rFonts w:ascii="Times New Roman" w:eastAsia="宋体"/>
          <w:color w:val="auto"/>
        </w:rPr>
        <w:t>S执行《环境影响评价技术导则大气环境》（HJ2.2-2018）表 D.1 规定。详见</w:t>
      </w:r>
      <w:r>
        <w:rPr>
          <w:rFonts w:hint="eastAsia" w:ascii="Times New Roman" w:eastAsia="宋体"/>
          <w:color w:val="auto"/>
        </w:rPr>
        <w:t>2</w:t>
      </w:r>
      <w:r>
        <w:rPr>
          <w:rFonts w:ascii="Times New Roman" w:eastAsia="宋体"/>
          <w:color w:val="auto"/>
        </w:rPr>
        <w:t>.</w:t>
      </w:r>
      <w:r>
        <w:rPr>
          <w:rFonts w:hint="eastAsia" w:ascii="Times New Roman" w:eastAsia="宋体"/>
          <w:color w:val="auto"/>
        </w:rPr>
        <w:t>6</w:t>
      </w:r>
      <w:r>
        <w:rPr>
          <w:rFonts w:ascii="Times New Roman" w:eastAsia="宋体"/>
          <w:color w:val="auto"/>
        </w:rPr>
        <w:t>-</w:t>
      </w:r>
      <w:r>
        <w:rPr>
          <w:rFonts w:hint="eastAsia" w:ascii="Times New Roman" w:eastAsia="宋体"/>
          <w:color w:val="auto"/>
        </w:rPr>
        <w:t>2</w:t>
      </w:r>
      <w:r>
        <w:rPr>
          <w:rFonts w:ascii="Times New Roman" w:eastAsia="宋体"/>
          <w:color w:val="auto"/>
        </w:rPr>
        <w:t>。</w:t>
      </w:r>
      <w:bookmarkStart w:id="83" w:name="_Ref485728312"/>
      <w:bookmarkStart w:id="84" w:name="_Ref485728286"/>
    </w:p>
    <w:p>
      <w:pPr>
        <w:pStyle w:val="358"/>
        <w:spacing w:beforeLines="50" w:line="0" w:lineRule="atLeast"/>
        <w:jc w:val="center"/>
        <w:rPr>
          <w:rFonts w:ascii="Times New Roman" w:hAnsi="Times New Roman" w:eastAsia="宋体" w:cs="Times New Roman"/>
          <w:b/>
          <w:bCs/>
          <w:color w:val="auto"/>
        </w:rPr>
      </w:pPr>
    </w:p>
    <w:p>
      <w:pPr>
        <w:pStyle w:val="358"/>
        <w:spacing w:beforeLines="50" w:line="0" w:lineRule="atLeast"/>
        <w:jc w:val="center"/>
        <w:rPr>
          <w:rFonts w:ascii="Times New Roman" w:hAnsi="Times New Roman" w:eastAsia="宋体" w:cs="Times New Roman"/>
          <w:b/>
          <w:bCs/>
          <w:color w:val="auto"/>
        </w:rPr>
      </w:pPr>
      <w:r>
        <w:rPr>
          <w:rFonts w:ascii="Times New Roman" w:hAnsi="Times New Roman" w:eastAsia="宋体" w:cs="Times New Roman"/>
          <w:b/>
          <w:bCs/>
          <w:color w:val="auto"/>
        </w:rPr>
        <w:t>表</w:t>
      </w:r>
      <w:bookmarkEnd w:id="83"/>
      <w:r>
        <w:rPr>
          <w:rFonts w:hint="eastAsia" w:ascii="Times New Roman" w:hAnsi="Times New Roman" w:eastAsia="宋体" w:cs="Times New Roman"/>
          <w:b/>
          <w:bCs/>
          <w:color w:val="auto"/>
        </w:rPr>
        <w:t>2.6-2</w:t>
      </w:r>
      <w:r>
        <w:rPr>
          <w:rFonts w:ascii="Times New Roman" w:hAnsi="Times New Roman" w:eastAsia="宋体" w:cs="Times New Roman"/>
          <w:b/>
          <w:bCs/>
          <w:color w:val="auto"/>
        </w:rPr>
        <w:t>环境空气质量标准</w:t>
      </w:r>
      <w:bookmarkEnd w:id="84"/>
    </w:p>
    <w:tbl>
      <w:tblPr>
        <w:tblStyle w:val="47"/>
        <w:tblW w:w="8564"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982"/>
        <w:gridCol w:w="1620"/>
        <w:gridCol w:w="1987"/>
        <w:gridCol w:w="1987"/>
        <w:gridCol w:w="198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2" w:hRule="atLeast"/>
          <w:jc w:val="center"/>
        </w:trPr>
        <w:tc>
          <w:tcPr>
            <w:tcW w:w="982" w:type="dxa"/>
            <w:vMerge w:val="restart"/>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序号</w:t>
            </w:r>
          </w:p>
        </w:tc>
        <w:tc>
          <w:tcPr>
            <w:tcW w:w="1620" w:type="dxa"/>
            <w:vMerge w:val="restart"/>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污染物名称</w:t>
            </w:r>
          </w:p>
        </w:tc>
        <w:tc>
          <w:tcPr>
            <w:tcW w:w="5962" w:type="dxa"/>
            <w:gridSpan w:val="3"/>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浓度限值（ug/m</w:t>
            </w:r>
            <w:r>
              <w:rPr>
                <w:rFonts w:ascii="Times New Roman" w:eastAsia="宋体"/>
                <w:color w:val="auto"/>
                <w:kern w:val="24"/>
                <w:sz w:val="21"/>
                <w:szCs w:val="21"/>
                <w:vertAlign w:val="superscript"/>
              </w:rPr>
              <w:t>3</w:t>
            </w:r>
            <w:r>
              <w:rPr>
                <w:rFonts w:ascii="Times New Roman" w:eastAsia="宋体"/>
                <w:color w:val="auto"/>
                <w:kern w:val="24"/>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6" w:hRule="atLeast"/>
          <w:jc w:val="center"/>
        </w:trPr>
        <w:tc>
          <w:tcPr>
            <w:tcW w:w="982" w:type="dxa"/>
            <w:vMerge w:val="continue"/>
            <w:vAlign w:val="center"/>
          </w:tcPr>
          <w:p>
            <w:pPr>
              <w:autoSpaceDE w:val="0"/>
              <w:autoSpaceDN w:val="0"/>
              <w:adjustRightInd w:val="0"/>
              <w:jc w:val="center"/>
              <w:rPr>
                <w:rFonts w:ascii="Times New Roman" w:eastAsia="宋体"/>
                <w:color w:val="auto"/>
                <w:kern w:val="24"/>
                <w:sz w:val="21"/>
                <w:szCs w:val="21"/>
              </w:rPr>
            </w:pPr>
          </w:p>
        </w:tc>
        <w:tc>
          <w:tcPr>
            <w:tcW w:w="1620" w:type="dxa"/>
            <w:vMerge w:val="continue"/>
            <w:vAlign w:val="center"/>
          </w:tcPr>
          <w:p>
            <w:pPr>
              <w:autoSpaceDE w:val="0"/>
              <w:autoSpaceDN w:val="0"/>
              <w:adjustRightInd w:val="0"/>
              <w:jc w:val="center"/>
              <w:rPr>
                <w:rFonts w:ascii="Times New Roman" w:eastAsia="宋体"/>
                <w:color w:val="auto"/>
                <w:kern w:val="24"/>
                <w:sz w:val="21"/>
                <w:szCs w:val="21"/>
              </w:rPr>
            </w:pPr>
          </w:p>
        </w:tc>
        <w:tc>
          <w:tcPr>
            <w:tcW w:w="1987" w:type="dxa"/>
            <w:vAlign w:val="center"/>
          </w:tcPr>
          <w:p>
            <w:pPr>
              <w:widowControl/>
              <w:autoSpaceDE w:val="0"/>
              <w:autoSpaceDN w:val="0"/>
              <w:adjustRightInd w:val="0"/>
              <w:spacing w:before="100" w:beforeAutospacing="1" w:after="100" w:afterAutospacing="1"/>
              <w:jc w:val="center"/>
              <w:rPr>
                <w:rFonts w:ascii="Times New Roman" w:eastAsia="宋体"/>
                <w:color w:val="auto"/>
                <w:kern w:val="24"/>
                <w:sz w:val="21"/>
                <w:szCs w:val="21"/>
              </w:rPr>
            </w:pPr>
            <w:r>
              <w:rPr>
                <w:rFonts w:ascii="Times New Roman" w:eastAsia="宋体"/>
                <w:color w:val="auto"/>
                <w:kern w:val="24"/>
                <w:sz w:val="21"/>
                <w:szCs w:val="21"/>
              </w:rPr>
              <w:t>1小时平均</w:t>
            </w:r>
          </w:p>
        </w:tc>
        <w:tc>
          <w:tcPr>
            <w:tcW w:w="1987" w:type="dxa"/>
            <w:vAlign w:val="center"/>
          </w:tcPr>
          <w:p>
            <w:pPr>
              <w:widowControl/>
              <w:autoSpaceDE w:val="0"/>
              <w:autoSpaceDN w:val="0"/>
              <w:adjustRightInd w:val="0"/>
              <w:spacing w:before="100" w:beforeAutospacing="1" w:after="100" w:afterAutospacing="1"/>
              <w:jc w:val="center"/>
              <w:rPr>
                <w:rFonts w:ascii="Times New Roman" w:eastAsia="宋体"/>
                <w:color w:val="auto"/>
                <w:kern w:val="24"/>
                <w:sz w:val="21"/>
                <w:szCs w:val="21"/>
              </w:rPr>
            </w:pPr>
            <w:r>
              <w:rPr>
                <w:rFonts w:ascii="Times New Roman" w:eastAsia="宋体"/>
                <w:color w:val="auto"/>
                <w:kern w:val="24"/>
                <w:sz w:val="21"/>
                <w:szCs w:val="21"/>
              </w:rPr>
              <w:t>日平均</w:t>
            </w:r>
          </w:p>
        </w:tc>
        <w:tc>
          <w:tcPr>
            <w:tcW w:w="1988" w:type="dxa"/>
            <w:vAlign w:val="center"/>
          </w:tcPr>
          <w:p>
            <w:pPr>
              <w:widowControl/>
              <w:autoSpaceDE w:val="0"/>
              <w:autoSpaceDN w:val="0"/>
              <w:adjustRightInd w:val="0"/>
              <w:spacing w:before="100" w:beforeAutospacing="1" w:after="100" w:afterAutospacing="1"/>
              <w:jc w:val="center"/>
              <w:rPr>
                <w:rFonts w:ascii="Times New Roman" w:eastAsia="宋体"/>
                <w:color w:val="auto"/>
                <w:kern w:val="24"/>
                <w:sz w:val="21"/>
                <w:szCs w:val="21"/>
              </w:rPr>
            </w:pPr>
            <w:r>
              <w:rPr>
                <w:rFonts w:ascii="Times New Roman" w:eastAsia="宋体"/>
                <w:color w:val="auto"/>
                <w:kern w:val="24"/>
                <w:sz w:val="21"/>
                <w:szCs w:val="21"/>
              </w:rPr>
              <w:t>年平均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26"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1</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SO</w:t>
            </w:r>
            <w:r>
              <w:rPr>
                <w:rFonts w:ascii="Times New Roman" w:eastAsia="宋体"/>
                <w:color w:val="auto"/>
                <w:kern w:val="24"/>
                <w:sz w:val="21"/>
                <w:szCs w:val="21"/>
                <w:vertAlign w:val="subscript"/>
              </w:rPr>
              <w:t>2</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500</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150</w:t>
            </w:r>
          </w:p>
        </w:tc>
        <w:tc>
          <w:tcPr>
            <w:tcW w:w="1988"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5"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2</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NO</w:t>
            </w:r>
            <w:r>
              <w:rPr>
                <w:rFonts w:ascii="Times New Roman" w:eastAsia="宋体"/>
                <w:color w:val="auto"/>
                <w:kern w:val="24"/>
                <w:sz w:val="21"/>
                <w:szCs w:val="21"/>
                <w:vertAlign w:val="subscript"/>
              </w:rPr>
              <w:t>2</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200</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80</w:t>
            </w:r>
          </w:p>
        </w:tc>
        <w:tc>
          <w:tcPr>
            <w:tcW w:w="1988"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40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56"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3</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PM</w:t>
            </w:r>
            <w:r>
              <w:rPr>
                <w:rFonts w:ascii="Times New Roman" w:eastAsia="宋体"/>
                <w:color w:val="auto"/>
                <w:kern w:val="24"/>
                <w:sz w:val="21"/>
                <w:szCs w:val="21"/>
                <w:vertAlign w:val="subscript"/>
              </w:rPr>
              <w:t>10</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150</w:t>
            </w:r>
          </w:p>
        </w:tc>
        <w:tc>
          <w:tcPr>
            <w:tcW w:w="1988"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70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4</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PM</w:t>
            </w:r>
            <w:r>
              <w:rPr>
                <w:rFonts w:ascii="Times New Roman" w:eastAsia="宋体"/>
                <w:color w:val="auto"/>
                <w:kern w:val="24"/>
                <w:sz w:val="21"/>
                <w:szCs w:val="21"/>
                <w:vertAlign w:val="subscript"/>
              </w:rPr>
              <w:t>2.5</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75</w:t>
            </w:r>
          </w:p>
        </w:tc>
        <w:tc>
          <w:tcPr>
            <w:tcW w:w="1988"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35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5</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CO</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10mg/m</w:t>
            </w:r>
            <w:r>
              <w:rPr>
                <w:rFonts w:ascii="Times New Roman" w:eastAsia="宋体"/>
                <w:color w:val="auto"/>
                <w:kern w:val="24"/>
                <w:sz w:val="21"/>
                <w:szCs w:val="21"/>
                <w:vertAlign w:val="superscript"/>
              </w:rPr>
              <w:t>3</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4mg/m</w:t>
            </w:r>
            <w:r>
              <w:rPr>
                <w:rFonts w:ascii="Times New Roman" w:eastAsia="宋体"/>
                <w:color w:val="auto"/>
                <w:kern w:val="24"/>
                <w:sz w:val="21"/>
                <w:szCs w:val="21"/>
                <w:vertAlign w:val="superscript"/>
              </w:rPr>
              <w:t>3</w:t>
            </w:r>
          </w:p>
        </w:tc>
        <w:tc>
          <w:tcPr>
            <w:tcW w:w="1988"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6</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臭氧</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200</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160（8小时）</w:t>
            </w:r>
          </w:p>
        </w:tc>
        <w:tc>
          <w:tcPr>
            <w:tcW w:w="1988" w:type="dxa"/>
            <w:vAlign w:val="center"/>
          </w:tcPr>
          <w:p>
            <w:pPr>
              <w:autoSpaceDE w:val="0"/>
              <w:autoSpaceDN w:val="0"/>
              <w:adjustRightInd w:val="0"/>
              <w:jc w:val="center"/>
              <w:rPr>
                <w:rFonts w:ascii="Times New Roman" w:eastAsia="宋体"/>
                <w:color w:val="auto"/>
                <w:kern w:val="24"/>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hint="eastAsia" w:ascii="Times New Roman" w:eastAsia="宋体"/>
                <w:color w:val="auto"/>
                <w:kern w:val="24"/>
                <w:sz w:val="21"/>
                <w:szCs w:val="21"/>
              </w:rPr>
              <w:t>7</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hint="eastAsia" w:ascii="Times New Roman" w:eastAsia="宋体"/>
                <w:color w:val="auto"/>
                <w:kern w:val="24"/>
                <w:sz w:val="21"/>
                <w:szCs w:val="21"/>
              </w:rPr>
              <w:t>TSP</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w:t>
            </w:r>
          </w:p>
        </w:tc>
        <w:tc>
          <w:tcPr>
            <w:tcW w:w="1987" w:type="dxa"/>
            <w:vAlign w:val="center"/>
          </w:tcPr>
          <w:p>
            <w:pPr>
              <w:autoSpaceDE w:val="0"/>
              <w:autoSpaceDN w:val="0"/>
              <w:adjustRightInd w:val="0"/>
              <w:jc w:val="center"/>
              <w:rPr>
                <w:rFonts w:ascii="Times New Roman" w:eastAsia="宋体"/>
                <w:color w:val="auto"/>
                <w:kern w:val="24"/>
                <w:sz w:val="21"/>
                <w:szCs w:val="21"/>
              </w:rPr>
            </w:pPr>
            <w:r>
              <w:rPr>
                <w:rFonts w:hint="eastAsia" w:ascii="Times New Roman" w:eastAsia="宋体"/>
                <w:color w:val="auto"/>
                <w:kern w:val="24"/>
                <w:sz w:val="21"/>
                <w:szCs w:val="21"/>
              </w:rPr>
              <w:t>300</w:t>
            </w:r>
          </w:p>
        </w:tc>
        <w:tc>
          <w:tcPr>
            <w:tcW w:w="1988" w:type="dxa"/>
            <w:vAlign w:val="center"/>
          </w:tcPr>
          <w:p>
            <w:pPr>
              <w:autoSpaceDE w:val="0"/>
              <w:autoSpaceDN w:val="0"/>
              <w:adjustRightInd w:val="0"/>
              <w:jc w:val="center"/>
              <w:rPr>
                <w:rFonts w:ascii="Times New Roman" w:eastAsia="宋体"/>
                <w:color w:val="auto"/>
                <w:kern w:val="24"/>
                <w:sz w:val="21"/>
                <w:szCs w:val="21"/>
              </w:rPr>
            </w:pPr>
            <w:r>
              <w:rPr>
                <w:rFonts w:hint="eastAsia" w:ascii="Times New Roman" w:eastAsia="宋体"/>
                <w:color w:val="auto"/>
                <w:kern w:val="24"/>
                <w:sz w:val="21"/>
                <w:szCs w:val="21"/>
              </w:rPr>
              <w:t>200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8</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
                <w:sz w:val="21"/>
                <w:szCs w:val="21"/>
              </w:rPr>
              <w:t>硫化氢</w:t>
            </w:r>
          </w:p>
        </w:tc>
        <w:tc>
          <w:tcPr>
            <w:tcW w:w="5962" w:type="dxa"/>
            <w:gridSpan w:val="3"/>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10（小时均值）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 w:hRule="atLeast"/>
          <w:jc w:val="center"/>
        </w:trPr>
        <w:tc>
          <w:tcPr>
            <w:tcW w:w="982"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9</w:t>
            </w:r>
          </w:p>
        </w:tc>
        <w:tc>
          <w:tcPr>
            <w:tcW w:w="1620" w:type="dxa"/>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氨</w:t>
            </w:r>
          </w:p>
        </w:tc>
        <w:tc>
          <w:tcPr>
            <w:tcW w:w="5962" w:type="dxa"/>
            <w:gridSpan w:val="3"/>
            <w:vAlign w:val="center"/>
          </w:tcPr>
          <w:p>
            <w:pPr>
              <w:autoSpaceDE w:val="0"/>
              <w:autoSpaceDN w:val="0"/>
              <w:adjustRightInd w:val="0"/>
              <w:jc w:val="center"/>
              <w:rPr>
                <w:rFonts w:ascii="Times New Roman" w:eastAsia="宋体"/>
                <w:color w:val="auto"/>
                <w:kern w:val="24"/>
                <w:sz w:val="21"/>
                <w:szCs w:val="21"/>
              </w:rPr>
            </w:pPr>
            <w:r>
              <w:rPr>
                <w:rFonts w:ascii="Times New Roman" w:eastAsia="宋体"/>
                <w:color w:val="auto"/>
                <w:kern w:val="24"/>
                <w:sz w:val="21"/>
                <w:szCs w:val="21"/>
              </w:rPr>
              <w:t>200（小时均值）</w:t>
            </w:r>
          </w:p>
        </w:tc>
      </w:tr>
    </w:tbl>
    <w:p>
      <w:pPr>
        <w:spacing w:line="360" w:lineRule="auto"/>
        <w:ind w:firstLine="482"/>
        <w:rPr>
          <w:rFonts w:ascii="Times New Roman" w:eastAsia="宋体"/>
          <w:color w:val="auto"/>
        </w:rPr>
      </w:pPr>
      <w:bookmarkStart w:id="85" w:name="_Toc28483"/>
      <w:bookmarkStart w:id="86" w:name="_Toc12512"/>
      <w:r>
        <w:rPr>
          <w:rFonts w:ascii="Times New Roman" w:eastAsia="宋体"/>
          <w:color w:val="auto"/>
        </w:rPr>
        <w:t>2</w:t>
      </w:r>
      <w:r>
        <w:rPr>
          <w:rFonts w:hint="eastAsia" w:ascii="Times New Roman" w:eastAsia="宋体"/>
          <w:color w:val="auto"/>
        </w:rPr>
        <w:t>、</w:t>
      </w:r>
      <w:r>
        <w:rPr>
          <w:rFonts w:ascii="Times New Roman" w:eastAsia="宋体"/>
          <w:color w:val="auto"/>
        </w:rPr>
        <w:t>地表水</w:t>
      </w:r>
      <w:bookmarkEnd w:id="85"/>
      <w:bookmarkEnd w:id="86"/>
    </w:p>
    <w:p>
      <w:pPr>
        <w:pStyle w:val="14"/>
        <w:ind w:firstLine="486"/>
        <w:rPr>
          <w:rFonts w:ascii="Times New Roman" w:eastAsia="宋体"/>
          <w:color w:val="auto"/>
        </w:rPr>
      </w:pPr>
      <w:r>
        <w:rPr>
          <w:rFonts w:ascii="Times New Roman" w:eastAsia="宋体"/>
          <w:color w:val="auto"/>
        </w:rPr>
        <w:t>本项目废水经厂内</w:t>
      </w:r>
      <w:r>
        <w:rPr>
          <w:rFonts w:hint="eastAsia" w:ascii="Times New Roman" w:eastAsia="宋体"/>
          <w:color w:val="auto"/>
        </w:rPr>
        <w:t>沉淀</w:t>
      </w:r>
      <w:r>
        <w:rPr>
          <w:rFonts w:ascii="Times New Roman" w:eastAsia="宋体"/>
          <w:color w:val="auto"/>
        </w:rPr>
        <w:t>池暂存后，定期采用密闭槽罐车运往</w:t>
      </w:r>
      <w:r>
        <w:rPr>
          <w:rFonts w:hint="eastAsia" w:ascii="Times New Roman" w:eastAsia="宋体"/>
          <w:color w:val="auto"/>
        </w:rPr>
        <w:t>公司新华养殖场</w:t>
      </w:r>
      <w:r>
        <w:rPr>
          <w:rFonts w:ascii="Times New Roman" w:eastAsia="宋体"/>
          <w:color w:val="auto"/>
        </w:rPr>
        <w:t>污水处理站集中处理</w:t>
      </w:r>
      <w:r>
        <w:rPr>
          <w:rFonts w:hint="eastAsia" w:ascii="Times New Roman" w:eastAsia="宋体"/>
          <w:color w:val="auto"/>
        </w:rPr>
        <w:t>，</w:t>
      </w:r>
      <w:r>
        <w:rPr>
          <w:rFonts w:ascii="Times New Roman" w:eastAsia="宋体"/>
          <w:color w:val="auto"/>
        </w:rPr>
        <w:t>达标</w:t>
      </w:r>
      <w:r>
        <w:rPr>
          <w:rFonts w:hint="eastAsia" w:ascii="Times New Roman" w:eastAsia="宋体"/>
          <w:color w:val="auto"/>
        </w:rPr>
        <w:t>后用于</w:t>
      </w:r>
      <w:r>
        <w:rPr>
          <w:rFonts w:hint="eastAsia" w:ascii="Times New Roman" w:eastAsia="宋体"/>
          <w:color w:val="auto"/>
          <w:lang w:eastAsia="zh-CN"/>
        </w:rPr>
        <w:t>农林施肥</w:t>
      </w:r>
      <w:r>
        <w:rPr>
          <w:rFonts w:ascii="Times New Roman" w:eastAsia="宋体"/>
          <w:color w:val="auto"/>
        </w:rPr>
        <w:t>。项目</w:t>
      </w:r>
      <w:r>
        <w:rPr>
          <w:rFonts w:hint="eastAsia" w:ascii="Times New Roman" w:eastAsia="宋体"/>
          <w:color w:val="auto"/>
        </w:rPr>
        <w:t>位于山坡上，西侧下游区域有一个水塘</w:t>
      </w:r>
      <w:r>
        <w:rPr>
          <w:rFonts w:ascii="Times New Roman" w:eastAsia="宋体"/>
          <w:color w:val="auto"/>
        </w:rPr>
        <w:t>，</w:t>
      </w:r>
      <w:r>
        <w:rPr>
          <w:rFonts w:hint="eastAsia" w:ascii="Times New Roman" w:eastAsia="宋体"/>
          <w:color w:val="auto"/>
        </w:rPr>
        <w:t>无</w:t>
      </w:r>
      <w:r>
        <w:rPr>
          <w:rFonts w:ascii="Times New Roman" w:eastAsia="宋体"/>
          <w:color w:val="auto"/>
        </w:rPr>
        <w:t>水功能区划</w:t>
      </w:r>
      <w:r>
        <w:rPr>
          <w:rFonts w:hint="eastAsia" w:ascii="Times New Roman" w:eastAsia="宋体"/>
          <w:color w:val="auto"/>
        </w:rPr>
        <w:t>，参照</w:t>
      </w:r>
      <w:r>
        <w:rPr>
          <w:rFonts w:ascii="Times New Roman" w:eastAsia="宋体"/>
          <w:color w:val="auto"/>
        </w:rPr>
        <w:t>执行《地表水环境质量标准》（GB3838-2002）Ⅲ级标准，具体标准值见表</w:t>
      </w:r>
      <w:r>
        <w:rPr>
          <w:rFonts w:hint="eastAsia" w:ascii="Times New Roman" w:eastAsia="宋体"/>
          <w:color w:val="auto"/>
        </w:rPr>
        <w:t>2.6-3</w:t>
      </w:r>
      <w:r>
        <w:rPr>
          <w:rFonts w:ascii="Times New Roman" w:eastAsia="宋体"/>
          <w:color w:val="auto"/>
        </w:rPr>
        <w:t>。</w:t>
      </w:r>
    </w:p>
    <w:p>
      <w:pPr>
        <w:pStyle w:val="422"/>
        <w:rPr>
          <w:rFonts w:eastAsia="宋体"/>
          <w:b/>
          <w:bCs/>
          <w:color w:val="auto"/>
          <w:kern w:val="2"/>
          <w:sz w:val="21"/>
          <w:szCs w:val="21"/>
        </w:rPr>
      </w:pPr>
      <w:r>
        <w:rPr>
          <w:rFonts w:eastAsia="宋体"/>
          <w:b/>
          <w:bCs/>
          <w:color w:val="auto"/>
          <w:kern w:val="2"/>
          <w:sz w:val="21"/>
          <w:szCs w:val="21"/>
        </w:rPr>
        <w:t>表</w:t>
      </w:r>
      <w:r>
        <w:rPr>
          <w:rFonts w:hint="eastAsia" w:eastAsia="宋体"/>
          <w:b/>
          <w:bCs/>
          <w:color w:val="auto"/>
          <w:kern w:val="2"/>
          <w:sz w:val="21"/>
          <w:szCs w:val="21"/>
        </w:rPr>
        <w:t>2.6-3</w:t>
      </w:r>
      <w:r>
        <w:rPr>
          <w:rFonts w:eastAsia="宋体"/>
          <w:b/>
          <w:bCs/>
          <w:color w:val="auto"/>
          <w:kern w:val="2"/>
          <w:sz w:val="21"/>
          <w:szCs w:val="21"/>
        </w:rPr>
        <w:t>《地表水环境质量标准》（mg/L，pH</w:t>
      </w:r>
      <w:r>
        <w:rPr>
          <w:rFonts w:hint="eastAsia" w:eastAsia="宋体"/>
          <w:b/>
          <w:bCs/>
          <w:color w:val="auto"/>
          <w:kern w:val="2"/>
          <w:sz w:val="21"/>
          <w:szCs w:val="21"/>
        </w:rPr>
        <w:t>无量纲</w:t>
      </w:r>
      <w:r>
        <w:rPr>
          <w:rFonts w:eastAsia="宋体"/>
          <w:b/>
          <w:bCs/>
          <w:color w:val="auto"/>
          <w:kern w:val="2"/>
          <w:sz w:val="21"/>
          <w:szCs w:val="21"/>
        </w:rPr>
        <w:t>）</w:t>
      </w:r>
    </w:p>
    <w:tbl>
      <w:tblPr>
        <w:tblStyle w:val="47"/>
        <w:tblW w:w="825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535"/>
        <w:gridCol w:w="848"/>
        <w:gridCol w:w="848"/>
        <w:gridCol w:w="848"/>
        <w:gridCol w:w="848"/>
        <w:gridCol w:w="848"/>
        <w:gridCol w:w="848"/>
        <w:gridCol w:w="775"/>
        <w:gridCol w:w="8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34" w:hRule="atLeast"/>
        </w:trPr>
        <w:tc>
          <w:tcPr>
            <w:tcW w:w="1535"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项目</w:t>
            </w:r>
          </w:p>
        </w:tc>
        <w:tc>
          <w:tcPr>
            <w:tcW w:w="848"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pH</w:t>
            </w:r>
          </w:p>
        </w:tc>
        <w:tc>
          <w:tcPr>
            <w:tcW w:w="848"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COD</w:t>
            </w:r>
            <w:r>
              <w:rPr>
                <w:rFonts w:ascii="Times New Roman" w:eastAsia="宋体"/>
                <w:color w:val="auto"/>
                <w:kern w:val="2"/>
                <w:sz w:val="21"/>
                <w:szCs w:val="21"/>
                <w:vertAlign w:val="subscript"/>
              </w:rPr>
              <w:t>cr</w:t>
            </w:r>
          </w:p>
        </w:tc>
        <w:tc>
          <w:tcPr>
            <w:tcW w:w="848" w:type="dxa"/>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BOD</w:t>
            </w:r>
            <w:r>
              <w:rPr>
                <w:rFonts w:hint="eastAsia" w:ascii="Times New Roman" w:eastAsia="宋体"/>
                <w:color w:val="auto"/>
                <w:kern w:val="2"/>
                <w:sz w:val="21"/>
                <w:szCs w:val="21"/>
                <w:vertAlign w:val="subscript"/>
              </w:rPr>
              <w:t>5</w:t>
            </w:r>
          </w:p>
        </w:tc>
        <w:tc>
          <w:tcPr>
            <w:tcW w:w="848"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氨氮</w:t>
            </w:r>
          </w:p>
        </w:tc>
        <w:tc>
          <w:tcPr>
            <w:tcW w:w="848" w:type="dxa"/>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DO</w:t>
            </w:r>
          </w:p>
        </w:tc>
        <w:tc>
          <w:tcPr>
            <w:tcW w:w="848"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TP</w:t>
            </w:r>
          </w:p>
        </w:tc>
        <w:tc>
          <w:tcPr>
            <w:tcW w:w="775"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总氮</w:t>
            </w:r>
          </w:p>
        </w:tc>
        <w:tc>
          <w:tcPr>
            <w:tcW w:w="856" w:type="dxa"/>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粪大肠菌群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27" w:hRule="atLeast"/>
        </w:trPr>
        <w:tc>
          <w:tcPr>
            <w:tcW w:w="1535" w:type="dxa"/>
            <w:vAlign w:val="center"/>
          </w:tcPr>
          <w:p>
            <w:pPr>
              <w:autoSpaceDE w:val="0"/>
              <w:autoSpaceDN w:val="0"/>
              <w:adjustRightInd w:val="0"/>
              <w:jc w:val="center"/>
              <w:rPr>
                <w:rFonts w:ascii="Times New Roman" w:eastAsia="宋体"/>
                <w:color w:val="auto"/>
                <w:kern w:val="2"/>
                <w:sz w:val="13"/>
                <w:szCs w:val="13"/>
              </w:rPr>
            </w:pPr>
            <w:r>
              <w:rPr>
                <w:rFonts w:ascii="Times New Roman" w:eastAsia="宋体"/>
                <w:color w:val="auto"/>
                <w:kern w:val="2"/>
                <w:sz w:val="21"/>
                <w:szCs w:val="21"/>
              </w:rPr>
              <w:t>《地表水环境质量标准》（GB3838-2002）III类标准</w:t>
            </w:r>
          </w:p>
        </w:tc>
        <w:tc>
          <w:tcPr>
            <w:tcW w:w="848" w:type="dxa"/>
            <w:vAlign w:val="center"/>
          </w:tcPr>
          <w:p>
            <w:pPr>
              <w:adjustRightInd w:val="0"/>
              <w:snapToGrid w:val="0"/>
              <w:jc w:val="center"/>
              <w:rPr>
                <w:rFonts w:ascii="Times New Roman" w:eastAsia="Calibri"/>
                <w:color w:val="auto"/>
                <w:kern w:val="2"/>
                <w:sz w:val="21"/>
                <w:szCs w:val="21"/>
              </w:rPr>
            </w:pPr>
            <w:r>
              <w:rPr>
                <w:rFonts w:ascii="Times New Roman" w:eastAsia="宋体"/>
                <w:color w:val="auto"/>
                <w:kern w:val="2"/>
                <w:sz w:val="21"/>
                <w:szCs w:val="21"/>
              </w:rPr>
              <w:t>6-9</w:t>
            </w:r>
          </w:p>
        </w:tc>
        <w:tc>
          <w:tcPr>
            <w:tcW w:w="848" w:type="dxa"/>
            <w:vAlign w:val="center"/>
          </w:tcPr>
          <w:p>
            <w:pPr>
              <w:adjustRightInd w:val="0"/>
              <w:snapToGrid w:val="0"/>
              <w:jc w:val="center"/>
              <w:rPr>
                <w:rFonts w:ascii="Times New Roman" w:eastAsia="Calibri"/>
                <w:color w:val="auto"/>
                <w:kern w:val="2"/>
                <w:sz w:val="21"/>
                <w:szCs w:val="21"/>
              </w:rPr>
            </w:pPr>
            <w:r>
              <w:rPr>
                <w:rFonts w:ascii="Times New Roman" w:eastAsia="宋体"/>
                <w:color w:val="auto"/>
                <w:kern w:val="2"/>
                <w:sz w:val="21"/>
                <w:szCs w:val="21"/>
              </w:rPr>
              <w:t>≤20</w:t>
            </w:r>
          </w:p>
        </w:tc>
        <w:tc>
          <w:tcPr>
            <w:tcW w:w="848"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w:t>
            </w:r>
            <w:r>
              <w:rPr>
                <w:rFonts w:hint="eastAsia" w:ascii="Times New Roman" w:eastAsia="宋体"/>
                <w:color w:val="auto"/>
                <w:kern w:val="2"/>
                <w:sz w:val="21"/>
                <w:szCs w:val="21"/>
              </w:rPr>
              <w:t>4</w:t>
            </w:r>
          </w:p>
        </w:tc>
        <w:tc>
          <w:tcPr>
            <w:tcW w:w="848"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≤1</w:t>
            </w:r>
          </w:p>
        </w:tc>
        <w:tc>
          <w:tcPr>
            <w:tcW w:w="848" w:type="dxa"/>
            <w:vAlign w:val="center"/>
          </w:tcPr>
          <w:p>
            <w:pPr>
              <w:adjustRightInd w:val="0"/>
              <w:snapToGrid w:val="0"/>
              <w:jc w:val="center"/>
              <w:rPr>
                <w:rFonts w:ascii="Times New Roman" w:eastAsia="Calibri"/>
                <w:color w:val="auto"/>
                <w:kern w:val="2"/>
                <w:sz w:val="21"/>
                <w:szCs w:val="21"/>
              </w:rPr>
            </w:pPr>
            <w:r>
              <w:rPr>
                <w:rFonts w:ascii="Times New Roman" w:eastAsia="宋体"/>
                <w:color w:val="auto"/>
                <w:kern w:val="2"/>
                <w:sz w:val="21"/>
                <w:szCs w:val="21"/>
              </w:rPr>
              <w:t>≧5</w:t>
            </w:r>
          </w:p>
        </w:tc>
        <w:tc>
          <w:tcPr>
            <w:tcW w:w="848" w:type="dxa"/>
            <w:vAlign w:val="center"/>
          </w:tcPr>
          <w:p>
            <w:pPr>
              <w:adjustRightInd w:val="0"/>
              <w:snapToGrid w:val="0"/>
              <w:jc w:val="center"/>
              <w:rPr>
                <w:rFonts w:hint="default" w:ascii="Times New Roman" w:eastAsia="宋体"/>
                <w:color w:val="auto"/>
                <w:kern w:val="2"/>
                <w:sz w:val="21"/>
                <w:szCs w:val="21"/>
                <w:lang w:val="en-US" w:eastAsia="zh-CN"/>
              </w:rPr>
            </w:pPr>
            <w:r>
              <w:rPr>
                <w:rFonts w:ascii="Times New Roman" w:eastAsia="宋体"/>
                <w:color w:val="auto"/>
                <w:kern w:val="2"/>
                <w:sz w:val="21"/>
                <w:szCs w:val="21"/>
              </w:rPr>
              <w:t>≤0.</w:t>
            </w:r>
            <w:r>
              <w:rPr>
                <w:rFonts w:hint="eastAsia" w:ascii="Times New Roman" w:eastAsia="宋体"/>
                <w:color w:val="auto"/>
                <w:kern w:val="2"/>
                <w:sz w:val="21"/>
                <w:szCs w:val="21"/>
                <w:lang w:val="en-US" w:eastAsia="zh-CN"/>
              </w:rPr>
              <w:t>05</w:t>
            </w:r>
          </w:p>
        </w:tc>
        <w:tc>
          <w:tcPr>
            <w:tcW w:w="775" w:type="dxa"/>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≤1</w:t>
            </w:r>
          </w:p>
        </w:tc>
        <w:tc>
          <w:tcPr>
            <w:tcW w:w="856" w:type="dxa"/>
            <w:vAlign w:val="center"/>
          </w:tcPr>
          <w:p>
            <w:pPr>
              <w:adjustRightInd w:val="0"/>
              <w:snapToGrid w:val="0"/>
              <w:jc w:val="center"/>
              <w:rPr>
                <w:rFonts w:ascii="Times New Roman" w:eastAsia="Calibri"/>
                <w:color w:val="auto"/>
                <w:kern w:val="2"/>
                <w:sz w:val="21"/>
                <w:szCs w:val="21"/>
              </w:rPr>
            </w:pPr>
            <w:r>
              <w:rPr>
                <w:rFonts w:ascii="Times New Roman" w:eastAsia="宋体"/>
                <w:color w:val="auto"/>
                <w:kern w:val="2"/>
                <w:sz w:val="21"/>
                <w:szCs w:val="21"/>
              </w:rPr>
              <w:t>≤10000</w:t>
            </w:r>
          </w:p>
        </w:tc>
      </w:tr>
    </w:tbl>
    <w:p>
      <w:pPr>
        <w:spacing w:line="360" w:lineRule="auto"/>
        <w:ind w:firstLine="482"/>
        <w:rPr>
          <w:rFonts w:ascii="Times New Roman" w:eastAsia="宋体"/>
          <w:color w:val="auto"/>
        </w:rPr>
      </w:pPr>
      <w:bookmarkStart w:id="87" w:name="_Toc8470"/>
      <w:bookmarkStart w:id="88" w:name="_Toc25610"/>
      <w:r>
        <w:rPr>
          <w:rFonts w:hint="eastAsia" w:ascii="Times New Roman" w:eastAsia="宋体"/>
          <w:color w:val="auto"/>
        </w:rPr>
        <w:t>3、</w:t>
      </w:r>
      <w:r>
        <w:rPr>
          <w:rFonts w:ascii="Times New Roman" w:eastAsia="宋体"/>
          <w:color w:val="auto"/>
        </w:rPr>
        <w:t>地下水</w:t>
      </w:r>
      <w:bookmarkEnd w:id="87"/>
      <w:bookmarkEnd w:id="88"/>
    </w:p>
    <w:p>
      <w:pPr>
        <w:pStyle w:val="14"/>
        <w:ind w:firstLine="486"/>
        <w:rPr>
          <w:rFonts w:ascii="Times New Roman" w:eastAsia="宋体"/>
          <w:color w:val="auto"/>
        </w:rPr>
      </w:pPr>
      <w:r>
        <w:rPr>
          <w:rFonts w:ascii="Times New Roman" w:eastAsia="宋体"/>
          <w:color w:val="auto"/>
        </w:rPr>
        <w:t>项目所在区域地下水水质执行《地下水环境质量标准》（GB/T 14848-2017）中Ⅲ类标准，详见</w:t>
      </w:r>
      <w:r>
        <w:rPr>
          <w:rFonts w:hint="eastAsia" w:ascii="Times New Roman" w:eastAsia="宋体"/>
          <w:color w:val="auto"/>
        </w:rPr>
        <w:t>2.6-4</w:t>
      </w:r>
      <w:r>
        <w:rPr>
          <w:rFonts w:ascii="Times New Roman" w:eastAsia="宋体"/>
          <w:color w:val="auto"/>
        </w:rPr>
        <w:t>。</w:t>
      </w:r>
    </w:p>
    <w:p>
      <w:pPr>
        <w:pStyle w:val="358"/>
        <w:spacing w:beforeLines="50" w:line="0" w:lineRule="atLeast"/>
        <w:jc w:val="center"/>
        <w:rPr>
          <w:rFonts w:ascii="Times New Roman" w:hAnsi="Times New Roman" w:eastAsia="宋体" w:cs="Times New Roman"/>
          <w:b/>
          <w:bCs/>
          <w:color w:val="auto"/>
          <w:kern w:val="2"/>
        </w:rPr>
      </w:pPr>
      <w:bookmarkStart w:id="89" w:name="_Ref485729837"/>
      <w:r>
        <w:rPr>
          <w:rFonts w:ascii="Times New Roman" w:hAnsi="Times New Roman" w:eastAsia="宋体" w:cs="Times New Roman"/>
          <w:b/>
          <w:bCs/>
          <w:color w:val="auto"/>
        </w:rPr>
        <w:t>表</w:t>
      </w:r>
      <w:bookmarkEnd w:id="89"/>
      <w:r>
        <w:rPr>
          <w:rFonts w:hint="eastAsia" w:ascii="Times New Roman" w:hAnsi="Times New Roman" w:eastAsia="宋体" w:cs="Times New Roman"/>
          <w:b/>
          <w:bCs/>
          <w:color w:val="auto"/>
        </w:rPr>
        <w:t>2.6-4</w:t>
      </w:r>
      <w:r>
        <w:rPr>
          <w:rFonts w:ascii="Times New Roman" w:hAnsi="Times New Roman" w:eastAsia="宋体" w:cs="Times New Roman"/>
          <w:b/>
          <w:bCs/>
          <w:color w:val="auto"/>
        </w:rPr>
        <w:t>地下水</w:t>
      </w:r>
      <w:r>
        <w:rPr>
          <w:rFonts w:hint="eastAsia" w:ascii="Times New Roman" w:hAnsi="Times New Roman" w:eastAsia="宋体" w:cs="Times New Roman"/>
          <w:b/>
          <w:bCs/>
          <w:color w:val="auto"/>
        </w:rPr>
        <w:t>环境</w:t>
      </w:r>
      <w:r>
        <w:rPr>
          <w:rFonts w:ascii="Times New Roman" w:hAnsi="Times New Roman" w:eastAsia="宋体" w:cs="Times New Roman"/>
          <w:b/>
          <w:bCs/>
          <w:color w:val="auto"/>
        </w:rPr>
        <w:t>质量标准</w:t>
      </w:r>
      <w:r>
        <w:rPr>
          <w:rFonts w:ascii="Times New Roman" w:hAnsi="Times New Roman" w:eastAsia="宋体" w:cs="Times New Roman"/>
          <w:b/>
          <w:bCs/>
          <w:color w:val="auto"/>
          <w:kern w:val="2"/>
        </w:rPr>
        <w:t>（mg/L</w:t>
      </w:r>
      <w:r>
        <w:rPr>
          <w:rFonts w:hint="eastAsia" w:ascii="Times New Roman" w:hAnsi="Times New Roman" w:eastAsia="宋体" w:cs="Times New Roman"/>
          <w:b/>
          <w:bCs/>
          <w:color w:val="auto"/>
          <w:kern w:val="2"/>
        </w:rPr>
        <w:t>，pH无量纲）</w:t>
      </w:r>
    </w:p>
    <w:tbl>
      <w:tblPr>
        <w:tblStyle w:val="48"/>
        <w:tblW w:w="490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26"/>
        <w:gridCol w:w="1416"/>
        <w:gridCol w:w="764"/>
        <w:gridCol w:w="1654"/>
        <w:gridCol w:w="13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79" w:type="pct"/>
            <w:tcBorders>
              <w:tl2br w:val="nil"/>
              <w:tr2bl w:val="nil"/>
            </w:tcBorders>
            <w:vAlign w:val="center"/>
          </w:tcPr>
          <w:p>
            <w:pPr>
              <w:pStyle w:val="265"/>
              <w:rPr>
                <w:rFonts w:ascii="Times New Roman" w:eastAsia="宋体"/>
                <w:b/>
                <w:bCs/>
                <w:color w:val="auto"/>
              </w:rPr>
            </w:pPr>
            <w:r>
              <w:rPr>
                <w:rFonts w:ascii="Times New Roman" w:eastAsia="宋体"/>
                <w:b/>
                <w:bCs/>
                <w:color w:val="auto"/>
              </w:rPr>
              <w:t>序号</w:t>
            </w:r>
          </w:p>
        </w:tc>
        <w:tc>
          <w:tcPr>
            <w:tcW w:w="1391" w:type="pct"/>
            <w:tcBorders>
              <w:tl2br w:val="nil"/>
              <w:tr2bl w:val="nil"/>
            </w:tcBorders>
            <w:vAlign w:val="center"/>
          </w:tcPr>
          <w:p>
            <w:pPr>
              <w:pStyle w:val="265"/>
              <w:rPr>
                <w:rFonts w:ascii="Times New Roman" w:eastAsia="宋体"/>
                <w:b/>
                <w:bCs/>
                <w:color w:val="auto"/>
              </w:rPr>
            </w:pPr>
            <w:r>
              <w:rPr>
                <w:rFonts w:ascii="Times New Roman" w:eastAsia="宋体"/>
                <w:b/>
                <w:bCs/>
                <w:color w:val="auto"/>
              </w:rPr>
              <w:t>监测项目</w:t>
            </w:r>
          </w:p>
        </w:tc>
        <w:tc>
          <w:tcPr>
            <w:tcW w:w="846" w:type="pct"/>
            <w:tcBorders>
              <w:tl2br w:val="nil"/>
              <w:tr2bl w:val="nil"/>
            </w:tcBorders>
            <w:vAlign w:val="center"/>
          </w:tcPr>
          <w:p>
            <w:pPr>
              <w:pStyle w:val="265"/>
              <w:rPr>
                <w:rFonts w:ascii="Times New Roman" w:eastAsia="宋体"/>
                <w:b/>
                <w:bCs/>
                <w:color w:val="auto"/>
              </w:rPr>
            </w:pPr>
            <w:r>
              <w:rPr>
                <w:rFonts w:ascii="Times New Roman" w:eastAsia="宋体"/>
                <w:b/>
                <w:bCs/>
                <w:color w:val="auto"/>
              </w:rPr>
              <w:t>标准值</w:t>
            </w:r>
          </w:p>
        </w:tc>
        <w:tc>
          <w:tcPr>
            <w:tcW w:w="457" w:type="pct"/>
            <w:tcBorders>
              <w:tl2br w:val="nil"/>
              <w:tr2bl w:val="nil"/>
            </w:tcBorders>
            <w:vAlign w:val="center"/>
          </w:tcPr>
          <w:p>
            <w:pPr>
              <w:pStyle w:val="265"/>
              <w:rPr>
                <w:rFonts w:ascii="Times New Roman" w:eastAsia="宋体"/>
                <w:b/>
                <w:bCs/>
                <w:color w:val="auto"/>
              </w:rPr>
            </w:pPr>
            <w:r>
              <w:rPr>
                <w:rFonts w:ascii="Times New Roman" w:eastAsia="宋体"/>
                <w:b/>
                <w:bCs/>
                <w:color w:val="auto"/>
              </w:rPr>
              <w:t>序号</w:t>
            </w:r>
          </w:p>
        </w:tc>
        <w:tc>
          <w:tcPr>
            <w:tcW w:w="989" w:type="pct"/>
            <w:tcBorders>
              <w:tl2br w:val="nil"/>
              <w:tr2bl w:val="nil"/>
            </w:tcBorders>
            <w:vAlign w:val="center"/>
          </w:tcPr>
          <w:p>
            <w:pPr>
              <w:pStyle w:val="265"/>
              <w:rPr>
                <w:rFonts w:ascii="Times New Roman" w:eastAsia="宋体"/>
                <w:b/>
                <w:bCs/>
                <w:color w:val="auto"/>
                <w:kern w:val="2"/>
              </w:rPr>
            </w:pPr>
            <w:r>
              <w:rPr>
                <w:rFonts w:ascii="Times New Roman" w:eastAsia="宋体"/>
                <w:b/>
                <w:bCs/>
                <w:color w:val="auto"/>
              </w:rPr>
              <w:t>监测项目</w:t>
            </w:r>
          </w:p>
        </w:tc>
        <w:tc>
          <w:tcPr>
            <w:tcW w:w="834" w:type="pct"/>
            <w:tcBorders>
              <w:tl2br w:val="nil"/>
              <w:tr2bl w:val="nil"/>
            </w:tcBorders>
            <w:vAlign w:val="center"/>
          </w:tcPr>
          <w:p>
            <w:pPr>
              <w:pStyle w:val="265"/>
              <w:rPr>
                <w:rFonts w:ascii="Times New Roman" w:eastAsia="宋体"/>
                <w:b/>
                <w:bCs/>
                <w:color w:val="auto"/>
              </w:rPr>
            </w:pPr>
            <w:r>
              <w:rPr>
                <w:rFonts w:ascii="Times New Roman" w:eastAsia="宋体"/>
                <w:b/>
                <w:bCs/>
                <w:color w:val="auto"/>
              </w:rPr>
              <w:t>标准值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1</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总硬度</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≤450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12</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挥发性酚类</w:t>
            </w:r>
          </w:p>
        </w:tc>
        <w:tc>
          <w:tcPr>
            <w:tcW w:w="834" w:type="pct"/>
            <w:tcBorders>
              <w:tl2br w:val="nil"/>
              <w:tr2bl w:val="nil"/>
            </w:tcBorders>
            <w:vAlign w:val="center"/>
          </w:tcPr>
          <w:p>
            <w:pPr>
              <w:pStyle w:val="265"/>
              <w:rPr>
                <w:rFonts w:ascii="Times New Roman" w:eastAsia="宋体"/>
                <w:color w:val="auto"/>
              </w:rPr>
            </w:pPr>
            <w:r>
              <w:rPr>
                <w:rFonts w:ascii="Times New Roman" w:eastAsia="宋体"/>
                <w:color w:val="auto"/>
              </w:rPr>
              <w:t>≤</w:t>
            </w:r>
            <w:r>
              <w:rPr>
                <w:rFonts w:hint="eastAsia" w:ascii="Times New Roman" w:eastAsia="宋体"/>
                <w:color w:val="auto"/>
              </w:rPr>
              <w:t>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2</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溶解性总固体</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≤1000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13</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氰化物</w:t>
            </w:r>
          </w:p>
        </w:tc>
        <w:tc>
          <w:tcPr>
            <w:tcW w:w="834" w:type="pct"/>
            <w:tcBorders>
              <w:tl2br w:val="nil"/>
              <w:tr2bl w:val="nil"/>
            </w:tcBorders>
            <w:vAlign w:val="center"/>
          </w:tcPr>
          <w:p>
            <w:pPr>
              <w:pStyle w:val="265"/>
              <w:rPr>
                <w:rFonts w:ascii="Times New Roman" w:eastAsia="宋体"/>
                <w:color w:val="auto"/>
              </w:rPr>
            </w:pPr>
            <w:r>
              <w:rPr>
                <w:rFonts w:ascii="Times New Roman" w:eastAsia="宋体"/>
                <w:color w:val="auto"/>
              </w:rPr>
              <w:t>≤</w:t>
            </w:r>
            <w:r>
              <w:rPr>
                <w:rFonts w:hint="eastAsia" w:ascii="Times New Roman" w:eastAsia="宋体"/>
                <w:color w:val="auto"/>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3</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耗氧量</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≤3.0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14</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氟</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4</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硫酸盐</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≤250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15</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铁</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5</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氯化物</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≤250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16</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锰</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6</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pH</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6.5~8.5</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17</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铬（六价）</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7</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硝酸盐氮</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≤20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18</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砷</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8</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亚硝酸盐氮</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≤1.0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19</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汞</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0.001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9</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氨氮</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≤0.5</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20</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铅</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10</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总大肠菌群</w:t>
            </w:r>
            <w:r>
              <w:rPr>
                <w:rFonts w:hint="eastAsia" w:ascii="Times New Roman" w:eastAsia="宋体"/>
                <w:color w:val="auto"/>
              </w:rPr>
              <w:t>（</w:t>
            </w:r>
            <w:r>
              <w:rPr>
                <w:rFonts w:hint="eastAsia" w:ascii="Times New Roman"/>
                <w:color w:val="auto"/>
              </w:rPr>
              <w:t>CFU</w:t>
            </w:r>
            <w:r>
              <w:rPr>
                <w:rFonts w:ascii="Times New Roman" w:eastAsia="宋体"/>
                <w:color w:val="auto"/>
              </w:rPr>
              <w:t>/</w:t>
            </w:r>
            <w:r>
              <w:rPr>
                <w:rFonts w:hint="eastAsia" w:ascii="Times New Roman"/>
                <w:color w:val="auto"/>
              </w:rPr>
              <w:t>100</w:t>
            </w:r>
            <w:r>
              <w:rPr>
                <w:rFonts w:ascii="Times New Roman" w:eastAsia="宋体"/>
                <w:color w:val="auto"/>
              </w:rPr>
              <w:t>mL</w:t>
            </w:r>
            <w:r>
              <w:rPr>
                <w:rFonts w:hint="eastAsia" w:ascii="Times New Roman" w:eastAsia="宋体"/>
                <w:color w:val="auto"/>
              </w:rPr>
              <w:t>）</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≤3</w:t>
            </w:r>
            <w:r>
              <w:rPr>
                <w:rFonts w:hint="eastAsia" w:ascii="Times New Roman" w:eastAsia="宋体"/>
                <w:color w:val="auto"/>
              </w:rPr>
              <w:t>.0</w:t>
            </w:r>
          </w:p>
        </w:tc>
        <w:tc>
          <w:tcPr>
            <w:tcW w:w="457"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21</w:t>
            </w:r>
          </w:p>
        </w:tc>
        <w:tc>
          <w:tcPr>
            <w:tcW w:w="989" w:type="pct"/>
            <w:tcBorders>
              <w:tl2br w:val="nil"/>
              <w:tr2bl w:val="nil"/>
            </w:tcBorders>
            <w:vAlign w:val="center"/>
          </w:tcPr>
          <w:p>
            <w:pPr>
              <w:pStyle w:val="265"/>
              <w:rPr>
                <w:rFonts w:ascii="Times New Roman" w:eastAsia="宋体"/>
                <w:color w:val="auto"/>
                <w:kern w:val="2"/>
              </w:rPr>
            </w:pPr>
            <w:r>
              <w:rPr>
                <w:rFonts w:hint="eastAsia" w:ascii="Times New Roman" w:eastAsia="宋体"/>
                <w:color w:val="auto"/>
              </w:rPr>
              <w:t>镉</w:t>
            </w:r>
          </w:p>
        </w:tc>
        <w:tc>
          <w:tcPr>
            <w:tcW w:w="834" w:type="pct"/>
            <w:tcBorders>
              <w:tl2br w:val="nil"/>
              <w:tr2bl w:val="nil"/>
            </w:tcBorders>
            <w:vAlign w:val="center"/>
          </w:tcPr>
          <w:p>
            <w:pP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79" w:type="pct"/>
            <w:tcBorders>
              <w:tl2br w:val="nil"/>
              <w:tr2bl w:val="nil"/>
            </w:tcBorders>
            <w:vAlign w:val="center"/>
          </w:tcPr>
          <w:p>
            <w:pPr>
              <w:pStyle w:val="265"/>
              <w:rPr>
                <w:rFonts w:ascii="Times New Roman" w:eastAsia="宋体"/>
                <w:color w:val="auto"/>
              </w:rPr>
            </w:pPr>
            <w:r>
              <w:rPr>
                <w:rFonts w:ascii="Times New Roman" w:eastAsia="宋体"/>
                <w:color w:val="auto"/>
              </w:rPr>
              <w:t>11</w:t>
            </w:r>
          </w:p>
        </w:tc>
        <w:tc>
          <w:tcPr>
            <w:tcW w:w="1391" w:type="pct"/>
            <w:tcBorders>
              <w:tl2br w:val="nil"/>
              <w:tr2bl w:val="nil"/>
            </w:tcBorders>
            <w:vAlign w:val="center"/>
          </w:tcPr>
          <w:p>
            <w:pPr>
              <w:pStyle w:val="265"/>
              <w:rPr>
                <w:rFonts w:ascii="Times New Roman" w:eastAsia="宋体"/>
                <w:color w:val="auto"/>
              </w:rPr>
            </w:pPr>
            <w:r>
              <w:rPr>
                <w:rFonts w:ascii="Times New Roman" w:eastAsia="宋体"/>
                <w:color w:val="auto"/>
              </w:rPr>
              <w:t>细菌总数</w:t>
            </w:r>
            <w:r>
              <w:rPr>
                <w:rFonts w:hint="eastAsia" w:ascii="Times New Roman" w:eastAsia="宋体"/>
                <w:color w:val="auto"/>
              </w:rPr>
              <w:t>（CFU</w:t>
            </w:r>
            <w:r>
              <w:rPr>
                <w:rFonts w:ascii="Times New Roman" w:eastAsia="宋体"/>
                <w:color w:val="auto"/>
              </w:rPr>
              <w:t>/mL</w:t>
            </w:r>
            <w:r>
              <w:rPr>
                <w:rFonts w:hint="eastAsia" w:ascii="Times New Roman" w:eastAsia="宋体"/>
                <w:color w:val="auto"/>
              </w:rPr>
              <w:t>）</w:t>
            </w:r>
          </w:p>
        </w:tc>
        <w:tc>
          <w:tcPr>
            <w:tcW w:w="846" w:type="pct"/>
            <w:tcBorders>
              <w:tl2br w:val="nil"/>
              <w:tr2bl w:val="nil"/>
            </w:tcBorders>
            <w:vAlign w:val="center"/>
          </w:tcPr>
          <w:p>
            <w:pPr>
              <w:pStyle w:val="265"/>
              <w:rPr>
                <w:rFonts w:ascii="Times New Roman" w:eastAsia="宋体"/>
                <w:color w:val="auto"/>
              </w:rPr>
            </w:pPr>
            <w:r>
              <w:rPr>
                <w:rFonts w:ascii="Times New Roman" w:eastAsia="宋体"/>
                <w:color w:val="auto"/>
              </w:rPr>
              <w:t>≤100</w:t>
            </w:r>
          </w:p>
        </w:tc>
        <w:tc>
          <w:tcPr>
            <w:tcW w:w="457" w:type="pct"/>
            <w:tcBorders>
              <w:tl2br w:val="nil"/>
              <w:tr2bl w:val="nil"/>
            </w:tcBorders>
            <w:vAlign w:val="center"/>
          </w:tcPr>
          <w:p>
            <w:pPr>
              <w:pStyle w:val="265"/>
              <w:rPr>
                <w:rFonts w:ascii="Times New Roman" w:eastAsia="宋体"/>
                <w:color w:val="auto"/>
              </w:rPr>
            </w:pPr>
            <w:r>
              <w:rPr>
                <w:rFonts w:hint="eastAsia" w:ascii="Times New Roman" w:eastAsia="宋体"/>
                <w:color w:val="auto"/>
              </w:rPr>
              <w:t>/</w:t>
            </w:r>
          </w:p>
        </w:tc>
        <w:tc>
          <w:tcPr>
            <w:tcW w:w="989" w:type="pct"/>
            <w:tcBorders>
              <w:tl2br w:val="nil"/>
              <w:tr2bl w:val="nil"/>
            </w:tcBorders>
            <w:vAlign w:val="center"/>
          </w:tcPr>
          <w:p>
            <w:pPr>
              <w:pStyle w:val="265"/>
              <w:rPr>
                <w:rFonts w:ascii="Times New Roman" w:eastAsia="宋体"/>
                <w:color w:val="auto"/>
              </w:rPr>
            </w:pPr>
            <w:r>
              <w:rPr>
                <w:rFonts w:hint="eastAsia" w:ascii="Times New Roman" w:eastAsia="宋体"/>
                <w:color w:val="auto"/>
              </w:rPr>
              <w:t>/</w:t>
            </w:r>
          </w:p>
        </w:tc>
        <w:tc>
          <w:tcPr>
            <w:tcW w:w="834" w:type="pct"/>
            <w:tcBorders>
              <w:tl2br w:val="nil"/>
              <w:tr2bl w:val="nil"/>
            </w:tcBorders>
            <w:vAlign w:val="center"/>
          </w:tcPr>
          <w:p>
            <w:pPr>
              <w:pStyle w:val="265"/>
              <w:rPr>
                <w:rFonts w:ascii="Times New Roman" w:eastAsia="宋体"/>
                <w:color w:val="auto"/>
              </w:rPr>
            </w:pPr>
            <w:r>
              <w:rPr>
                <w:rFonts w:hint="eastAsia" w:ascii="Times New Roman" w:eastAsia="宋体"/>
                <w:color w:val="auto"/>
              </w:rPr>
              <w:t>/</w:t>
            </w:r>
          </w:p>
        </w:tc>
      </w:tr>
    </w:tbl>
    <w:p>
      <w:pPr>
        <w:spacing w:line="360" w:lineRule="auto"/>
        <w:ind w:firstLine="482"/>
        <w:rPr>
          <w:rFonts w:ascii="Times New Roman" w:eastAsia="宋体"/>
          <w:color w:val="auto"/>
        </w:rPr>
      </w:pPr>
      <w:bookmarkStart w:id="90" w:name="_Toc11596"/>
      <w:bookmarkStart w:id="91" w:name="_Toc16648"/>
      <w:r>
        <w:rPr>
          <w:rFonts w:hint="eastAsia" w:ascii="Times New Roman" w:eastAsia="宋体"/>
          <w:color w:val="auto"/>
        </w:rPr>
        <w:t>4、</w:t>
      </w:r>
      <w:r>
        <w:rPr>
          <w:rFonts w:ascii="Times New Roman" w:eastAsia="宋体"/>
          <w:color w:val="auto"/>
        </w:rPr>
        <w:t>声环境</w:t>
      </w:r>
      <w:bookmarkEnd w:id="90"/>
      <w:bookmarkEnd w:id="91"/>
    </w:p>
    <w:p>
      <w:pPr>
        <w:pStyle w:val="14"/>
        <w:ind w:firstLine="486"/>
        <w:rPr>
          <w:rFonts w:ascii="Times New Roman" w:eastAsia="宋体"/>
          <w:color w:val="auto"/>
        </w:rPr>
      </w:pPr>
      <w:r>
        <w:rPr>
          <w:rFonts w:ascii="Times New Roman" w:eastAsia="宋体"/>
          <w:color w:val="auto"/>
        </w:rPr>
        <w:t>项目位于农村，所在区域声环境执行《声环境质量标准》（GB3096-2008）</w:t>
      </w:r>
      <w:r>
        <w:rPr>
          <w:rFonts w:hint="eastAsia" w:ascii="Times New Roman" w:eastAsia="宋体"/>
          <w:color w:val="auto"/>
        </w:rPr>
        <w:t>2</w:t>
      </w:r>
      <w:r>
        <w:rPr>
          <w:rFonts w:ascii="Times New Roman" w:eastAsia="宋体"/>
          <w:color w:val="auto"/>
        </w:rPr>
        <w:t>类标准，详见</w:t>
      </w:r>
      <w:r>
        <w:rPr>
          <w:rFonts w:hint="eastAsia" w:ascii="Times New Roman" w:eastAsia="宋体"/>
          <w:color w:val="auto"/>
        </w:rPr>
        <w:t>2.6-5</w:t>
      </w:r>
      <w:r>
        <w:rPr>
          <w:rFonts w:ascii="Times New Roman" w:eastAsia="宋体"/>
          <w:color w:val="auto"/>
        </w:rPr>
        <w:t>。</w:t>
      </w:r>
    </w:p>
    <w:p>
      <w:pPr>
        <w:pStyle w:val="358"/>
        <w:spacing w:beforeLines="50" w:line="0" w:lineRule="atLeast"/>
        <w:jc w:val="center"/>
        <w:rPr>
          <w:rFonts w:ascii="Times New Roman" w:hAnsi="Times New Roman" w:eastAsia="宋体" w:cs="Times New Roman"/>
          <w:b/>
          <w:bCs/>
          <w:color w:val="auto"/>
        </w:rPr>
      </w:pPr>
      <w:bookmarkStart w:id="92" w:name="_Ref485729898"/>
      <w:r>
        <w:rPr>
          <w:rFonts w:ascii="Times New Roman" w:hAnsi="Times New Roman" w:eastAsia="宋体" w:cs="Times New Roman"/>
          <w:b/>
          <w:bCs/>
          <w:color w:val="auto"/>
        </w:rPr>
        <w:t>表</w:t>
      </w:r>
      <w:bookmarkEnd w:id="92"/>
      <w:r>
        <w:rPr>
          <w:rFonts w:hint="eastAsia" w:ascii="Times New Roman" w:hAnsi="Times New Roman" w:eastAsia="宋体" w:cs="Times New Roman"/>
          <w:b/>
          <w:bCs/>
          <w:color w:val="auto"/>
        </w:rPr>
        <w:t xml:space="preserve">2.6-5 </w:t>
      </w:r>
      <w:r>
        <w:rPr>
          <w:rFonts w:ascii="Times New Roman" w:hAnsi="Times New Roman" w:eastAsia="宋体" w:cs="Times New Roman"/>
          <w:b/>
          <w:bCs/>
          <w:color w:val="auto"/>
        </w:rPr>
        <w:t>声环境质量标准限值</w:t>
      </w:r>
    </w:p>
    <w:tbl>
      <w:tblPr>
        <w:tblStyle w:val="48"/>
        <w:tblW w:w="471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583"/>
        <w:gridCol w:w="2275"/>
        <w:gridCol w:w="21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blHeader/>
          <w:jc w:val="center"/>
        </w:trPr>
        <w:tc>
          <w:tcPr>
            <w:tcW w:w="2229" w:type="pct"/>
            <w:vMerge w:val="restart"/>
            <w:tcBorders>
              <w:tl2br w:val="nil"/>
              <w:tr2bl w:val="nil"/>
            </w:tcBorders>
            <w:vAlign w:val="center"/>
          </w:tcPr>
          <w:p>
            <w:pPr>
              <w:pStyle w:val="308"/>
              <w:spacing w:line="240" w:lineRule="auto"/>
              <w:rPr>
                <w:rFonts w:ascii="Times New Roman" w:eastAsia="宋体"/>
                <w:b/>
                <w:color w:val="auto"/>
              </w:rPr>
            </w:pPr>
            <w:r>
              <w:rPr>
                <w:rFonts w:ascii="Times New Roman" w:eastAsia="宋体"/>
                <w:b/>
                <w:color w:val="auto"/>
              </w:rPr>
              <w:t>声环境功能区类别</w:t>
            </w:r>
          </w:p>
        </w:tc>
        <w:tc>
          <w:tcPr>
            <w:tcW w:w="2770" w:type="pct"/>
            <w:gridSpan w:val="2"/>
            <w:tcBorders>
              <w:tl2br w:val="nil"/>
              <w:tr2bl w:val="nil"/>
            </w:tcBorders>
            <w:vAlign w:val="center"/>
          </w:tcPr>
          <w:p>
            <w:pPr>
              <w:pStyle w:val="308"/>
              <w:spacing w:line="240" w:lineRule="auto"/>
              <w:rPr>
                <w:rFonts w:ascii="Times New Roman" w:eastAsia="宋体"/>
                <w:b/>
                <w:color w:val="auto"/>
              </w:rPr>
            </w:pPr>
            <w:r>
              <w:rPr>
                <w:rFonts w:ascii="Times New Roman" w:eastAsia="宋体"/>
                <w:b/>
                <w:color w:val="auto"/>
              </w:rPr>
              <w:t>标准值（dB(A)）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1" w:hRule="atLeast"/>
          <w:tblHeader/>
          <w:jc w:val="center"/>
        </w:trPr>
        <w:tc>
          <w:tcPr>
            <w:tcW w:w="2229" w:type="pct"/>
            <w:vMerge w:val="continue"/>
            <w:tcBorders>
              <w:tl2br w:val="nil"/>
              <w:tr2bl w:val="nil"/>
            </w:tcBorders>
            <w:vAlign w:val="center"/>
          </w:tcPr>
          <w:p>
            <w:pPr>
              <w:pStyle w:val="308"/>
              <w:spacing w:line="240" w:lineRule="auto"/>
              <w:rPr>
                <w:rFonts w:ascii="Times New Roman" w:eastAsia="宋体"/>
                <w:b/>
                <w:color w:val="auto"/>
              </w:rPr>
            </w:pPr>
          </w:p>
        </w:tc>
        <w:tc>
          <w:tcPr>
            <w:tcW w:w="1415" w:type="pct"/>
            <w:tcBorders>
              <w:tl2br w:val="nil"/>
              <w:tr2bl w:val="nil"/>
            </w:tcBorders>
            <w:vAlign w:val="center"/>
          </w:tcPr>
          <w:p>
            <w:pPr>
              <w:pStyle w:val="308"/>
              <w:spacing w:line="240" w:lineRule="auto"/>
              <w:rPr>
                <w:rFonts w:ascii="Times New Roman" w:eastAsia="宋体"/>
                <w:b/>
                <w:color w:val="auto"/>
              </w:rPr>
            </w:pPr>
            <w:r>
              <w:rPr>
                <w:rFonts w:ascii="Times New Roman" w:eastAsia="宋体"/>
                <w:b/>
                <w:color w:val="auto"/>
              </w:rPr>
              <w:t>昼间</w:t>
            </w:r>
          </w:p>
        </w:tc>
        <w:tc>
          <w:tcPr>
            <w:tcW w:w="1355" w:type="pct"/>
            <w:tcBorders>
              <w:tl2br w:val="nil"/>
              <w:tr2bl w:val="nil"/>
            </w:tcBorders>
            <w:vAlign w:val="center"/>
          </w:tcPr>
          <w:p>
            <w:pPr>
              <w:pStyle w:val="308"/>
              <w:spacing w:line="240" w:lineRule="auto"/>
              <w:rPr>
                <w:rFonts w:ascii="Times New Roman" w:eastAsia="宋体"/>
                <w:b/>
                <w:color w:val="auto"/>
              </w:rPr>
            </w:pPr>
            <w:r>
              <w:rPr>
                <w:rFonts w:ascii="Times New Roman" w:eastAsia="宋体"/>
                <w:b/>
                <w:color w:val="auto"/>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2229" w:type="pct"/>
            <w:tcBorders>
              <w:tl2br w:val="nil"/>
              <w:tr2bl w:val="nil"/>
            </w:tcBorders>
            <w:vAlign w:val="center"/>
          </w:tcPr>
          <w:p>
            <w:pPr>
              <w:pStyle w:val="308"/>
              <w:spacing w:line="240" w:lineRule="auto"/>
              <w:rPr>
                <w:rFonts w:ascii="Times New Roman" w:eastAsia="宋体"/>
                <w:color w:val="auto"/>
              </w:rPr>
            </w:pPr>
            <w:r>
              <w:rPr>
                <w:rFonts w:hint="eastAsia" w:ascii="Times New Roman" w:eastAsia="宋体"/>
                <w:color w:val="auto"/>
              </w:rPr>
              <w:t>2</w:t>
            </w:r>
            <w:r>
              <w:rPr>
                <w:rFonts w:ascii="Times New Roman" w:eastAsia="宋体"/>
                <w:color w:val="auto"/>
              </w:rPr>
              <w:t>类区</w:t>
            </w:r>
          </w:p>
        </w:tc>
        <w:tc>
          <w:tcPr>
            <w:tcW w:w="1415" w:type="pct"/>
            <w:tcBorders>
              <w:tl2br w:val="nil"/>
              <w:tr2bl w:val="nil"/>
            </w:tcBorders>
            <w:vAlign w:val="center"/>
          </w:tcPr>
          <w:p>
            <w:pPr>
              <w:pStyle w:val="308"/>
              <w:spacing w:line="240" w:lineRule="auto"/>
              <w:rPr>
                <w:rFonts w:ascii="Times New Roman" w:eastAsia="宋体"/>
                <w:color w:val="auto"/>
              </w:rPr>
            </w:pPr>
            <w:r>
              <w:rPr>
                <w:rFonts w:ascii="Times New Roman"/>
                <w:color w:val="auto"/>
                <w:kern w:val="2"/>
              </w:rPr>
              <w:t>≤60</w:t>
            </w:r>
          </w:p>
        </w:tc>
        <w:tc>
          <w:tcPr>
            <w:tcW w:w="1355" w:type="pct"/>
            <w:tcBorders>
              <w:tl2br w:val="nil"/>
              <w:tr2bl w:val="nil"/>
            </w:tcBorders>
            <w:vAlign w:val="center"/>
          </w:tcPr>
          <w:p>
            <w:pPr>
              <w:pStyle w:val="308"/>
              <w:spacing w:line="240" w:lineRule="auto"/>
              <w:rPr>
                <w:rFonts w:ascii="Times New Roman" w:eastAsia="宋体"/>
                <w:color w:val="auto"/>
              </w:rPr>
            </w:pPr>
            <w:r>
              <w:rPr>
                <w:rFonts w:ascii="Times New Roman"/>
                <w:color w:val="auto"/>
                <w:kern w:val="2"/>
              </w:rPr>
              <w:t>≤50</w:t>
            </w:r>
          </w:p>
        </w:tc>
      </w:tr>
    </w:tbl>
    <w:p>
      <w:pPr>
        <w:spacing w:line="360" w:lineRule="auto"/>
        <w:ind w:firstLine="482"/>
        <w:rPr>
          <w:rFonts w:ascii="Times New Roman" w:eastAsia="宋体"/>
          <w:color w:val="auto"/>
        </w:rPr>
      </w:pPr>
      <w:bookmarkStart w:id="93" w:name="_Toc26696"/>
      <w:r>
        <w:rPr>
          <w:rFonts w:hint="eastAsia" w:ascii="Times New Roman" w:eastAsia="宋体"/>
          <w:color w:val="auto"/>
        </w:rPr>
        <w:t>5、土壤</w:t>
      </w:r>
      <w:r>
        <w:rPr>
          <w:rFonts w:ascii="Times New Roman" w:eastAsia="宋体"/>
          <w:color w:val="auto"/>
        </w:rPr>
        <w:t>环境</w:t>
      </w:r>
      <w:bookmarkEnd w:id="93"/>
    </w:p>
    <w:p>
      <w:pPr>
        <w:pStyle w:val="14"/>
        <w:ind w:firstLine="486"/>
        <w:rPr>
          <w:rFonts w:ascii="Times New Roman" w:eastAsia="宋体"/>
          <w:color w:val="auto"/>
        </w:rPr>
      </w:pPr>
      <w:r>
        <w:rPr>
          <w:rFonts w:hint="eastAsia" w:ascii="Times New Roman" w:eastAsia="宋体"/>
          <w:color w:val="auto"/>
        </w:rPr>
        <w:t>项目所在区域土壤环境执行《农用地土壤污染风险管控标准（试行）》</w:t>
      </w:r>
      <w:r>
        <w:rPr>
          <w:rFonts w:ascii="Times New Roman" w:eastAsia="宋体"/>
          <w:color w:val="auto"/>
        </w:rPr>
        <w:t>（</w:t>
      </w:r>
      <w:r>
        <w:rPr>
          <w:rFonts w:hint="eastAsia" w:ascii="Times New Roman" w:eastAsia="宋体"/>
          <w:color w:val="auto"/>
        </w:rPr>
        <w:t>GB15618-2018</w:t>
      </w:r>
      <w:r>
        <w:rPr>
          <w:rFonts w:ascii="Times New Roman" w:eastAsia="宋体"/>
          <w:color w:val="auto"/>
        </w:rPr>
        <w:t>）</w:t>
      </w:r>
      <w:r>
        <w:rPr>
          <w:rFonts w:hint="eastAsia" w:ascii="Times New Roman" w:eastAsia="宋体"/>
          <w:color w:val="auto"/>
        </w:rPr>
        <w:t>表1农用地土壤污染风险筛选值（基本项目），</w:t>
      </w:r>
      <w:r>
        <w:rPr>
          <w:rFonts w:ascii="Times New Roman" w:eastAsia="宋体"/>
          <w:color w:val="auto"/>
        </w:rPr>
        <w:t>详见</w:t>
      </w:r>
      <w:r>
        <w:rPr>
          <w:rFonts w:hint="eastAsia" w:ascii="Times New Roman" w:eastAsia="宋体"/>
          <w:color w:val="auto"/>
        </w:rPr>
        <w:t>2.6-6。</w:t>
      </w:r>
    </w:p>
    <w:p>
      <w:pPr>
        <w:pStyle w:val="358"/>
        <w:spacing w:beforeLines="50" w:line="0" w:lineRule="atLeast"/>
        <w:jc w:val="center"/>
        <w:rPr>
          <w:rFonts w:ascii="Times New Roman" w:hAnsi="Times New Roman" w:eastAsia="宋体" w:cs="Times New Roman"/>
          <w:b/>
          <w:bCs/>
          <w:color w:val="auto"/>
        </w:rPr>
      </w:pPr>
      <w:r>
        <w:rPr>
          <w:rFonts w:ascii="Times New Roman" w:hAnsi="Times New Roman" w:eastAsia="宋体" w:cs="Times New Roman"/>
          <w:b/>
          <w:bCs/>
          <w:color w:val="auto"/>
        </w:rPr>
        <w:t>表</w:t>
      </w:r>
      <w:r>
        <w:rPr>
          <w:rFonts w:hint="eastAsia" w:ascii="Times New Roman" w:hAnsi="Times New Roman" w:eastAsia="宋体" w:cs="Times New Roman"/>
          <w:b/>
          <w:bCs/>
          <w:color w:val="auto"/>
        </w:rPr>
        <w:t>2.6-6《农用地土壤污染风险管控</w:t>
      </w:r>
      <w:r>
        <w:rPr>
          <w:rFonts w:ascii="Times New Roman" w:hAnsi="Times New Roman" w:eastAsia="宋体" w:cs="Times New Roman"/>
          <w:b/>
          <w:bCs/>
          <w:color w:val="auto"/>
        </w:rPr>
        <w:t>标准</w:t>
      </w:r>
      <w:r>
        <w:rPr>
          <w:rFonts w:hint="eastAsia" w:ascii="Times New Roman" w:hAnsi="Times New Roman" w:eastAsia="宋体" w:cs="Times New Roman"/>
          <w:b/>
          <w:bCs/>
          <w:color w:val="auto"/>
        </w:rPr>
        <w:t>（试行）》单位：mg/kg</w:t>
      </w:r>
    </w:p>
    <w:tbl>
      <w:tblPr>
        <w:tblStyle w:val="47"/>
        <w:tblW w:w="496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1690"/>
        <w:gridCol w:w="1571"/>
        <w:gridCol w:w="1467"/>
        <w:gridCol w:w="1467"/>
        <w:gridCol w:w="15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09" w:type="pct"/>
            <w:vMerge w:val="restart"/>
            <w:tcBorders>
              <w:tl2br w:val="nil"/>
              <w:tr2bl w:val="nil"/>
            </w:tcBorders>
            <w:vAlign w:val="center"/>
          </w:tcPr>
          <w:p>
            <w:pPr>
              <w:jc w:val="center"/>
              <w:rPr>
                <w:rFonts w:ascii="Times New Roman" w:eastAsia="宋体"/>
                <w:b/>
                <w:color w:val="auto"/>
                <w:sz w:val="21"/>
                <w:szCs w:val="18"/>
              </w:rPr>
            </w:pPr>
            <w:r>
              <w:rPr>
                <w:rFonts w:ascii="Times New Roman" w:eastAsia="宋体"/>
                <w:b/>
                <w:color w:val="auto"/>
                <w:sz w:val="21"/>
                <w:szCs w:val="18"/>
              </w:rPr>
              <w:t>序号</w:t>
            </w:r>
          </w:p>
        </w:tc>
        <w:tc>
          <w:tcPr>
            <w:tcW w:w="999" w:type="pct"/>
            <w:vMerge w:val="restart"/>
            <w:tcBorders>
              <w:tl2br w:val="nil"/>
              <w:tr2bl w:val="nil"/>
            </w:tcBorders>
            <w:vAlign w:val="center"/>
          </w:tcPr>
          <w:p>
            <w:pPr>
              <w:jc w:val="center"/>
              <w:rPr>
                <w:rFonts w:ascii="Times New Roman" w:eastAsia="宋体"/>
                <w:b/>
                <w:color w:val="auto"/>
                <w:sz w:val="21"/>
                <w:szCs w:val="18"/>
              </w:rPr>
            </w:pPr>
            <w:r>
              <w:rPr>
                <w:rFonts w:ascii="Times New Roman" w:eastAsia="宋体"/>
                <w:b/>
                <w:color w:val="auto"/>
                <w:sz w:val="21"/>
                <w:szCs w:val="18"/>
              </w:rPr>
              <w:t>污染物项目</w:t>
            </w:r>
          </w:p>
        </w:tc>
        <w:tc>
          <w:tcPr>
            <w:tcW w:w="3591" w:type="pct"/>
            <w:gridSpan w:val="4"/>
            <w:tcBorders>
              <w:tl2br w:val="nil"/>
              <w:tr2bl w:val="nil"/>
            </w:tcBorders>
            <w:vAlign w:val="center"/>
          </w:tcPr>
          <w:p>
            <w:pPr>
              <w:jc w:val="center"/>
              <w:rPr>
                <w:rFonts w:ascii="Times New Roman" w:eastAsia="宋体"/>
                <w:b/>
                <w:color w:val="auto"/>
                <w:sz w:val="21"/>
                <w:szCs w:val="18"/>
              </w:rPr>
            </w:pPr>
            <w:r>
              <w:rPr>
                <w:rFonts w:ascii="Times New Roman" w:eastAsia="宋体"/>
                <w:b/>
                <w:color w:val="auto"/>
                <w:sz w:val="21"/>
                <w:szCs w:val="18"/>
              </w:rPr>
              <w:t>风险筛选值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vMerge w:val="continue"/>
            <w:tcBorders>
              <w:tl2br w:val="nil"/>
              <w:tr2bl w:val="nil"/>
            </w:tcBorders>
            <w:vAlign w:val="center"/>
          </w:tcPr>
          <w:p>
            <w:pPr>
              <w:jc w:val="center"/>
              <w:rPr>
                <w:rFonts w:ascii="Times New Roman" w:eastAsia="宋体"/>
                <w:color w:val="auto"/>
                <w:sz w:val="21"/>
                <w:szCs w:val="18"/>
              </w:rPr>
            </w:pPr>
          </w:p>
        </w:tc>
        <w:tc>
          <w:tcPr>
            <w:tcW w:w="999" w:type="pct"/>
            <w:vMerge w:val="continue"/>
            <w:tcBorders>
              <w:tl2br w:val="nil"/>
              <w:tr2bl w:val="nil"/>
            </w:tcBorders>
            <w:vAlign w:val="center"/>
          </w:tcPr>
          <w:p>
            <w:pPr>
              <w:jc w:val="center"/>
              <w:rPr>
                <w:rFonts w:ascii="Times New Roman" w:eastAsia="宋体"/>
                <w:color w:val="auto"/>
                <w:sz w:val="21"/>
                <w:szCs w:val="18"/>
              </w:rPr>
            </w:pPr>
          </w:p>
        </w:tc>
        <w:tc>
          <w:tcPr>
            <w:tcW w:w="92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pH≤5.5</w:t>
            </w:r>
          </w:p>
        </w:tc>
        <w:tc>
          <w:tcPr>
            <w:tcW w:w="86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5.5&lt;pH≤6.5</w:t>
            </w:r>
          </w:p>
        </w:tc>
        <w:tc>
          <w:tcPr>
            <w:tcW w:w="86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6.5&lt;pH≤7.5</w:t>
            </w:r>
          </w:p>
        </w:tc>
        <w:tc>
          <w:tcPr>
            <w:tcW w:w="92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pH&gt;7.5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1</w:t>
            </w:r>
          </w:p>
        </w:tc>
        <w:tc>
          <w:tcPr>
            <w:tcW w:w="99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镉</w:t>
            </w:r>
          </w:p>
        </w:tc>
        <w:tc>
          <w:tcPr>
            <w:tcW w:w="92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0.3</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0.3</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0.3</w:t>
            </w:r>
          </w:p>
        </w:tc>
        <w:tc>
          <w:tcPr>
            <w:tcW w:w="92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2</w:t>
            </w:r>
          </w:p>
        </w:tc>
        <w:tc>
          <w:tcPr>
            <w:tcW w:w="99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汞</w:t>
            </w:r>
          </w:p>
        </w:tc>
        <w:tc>
          <w:tcPr>
            <w:tcW w:w="92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1.3</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1.8</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2.4</w:t>
            </w:r>
          </w:p>
        </w:tc>
        <w:tc>
          <w:tcPr>
            <w:tcW w:w="92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3</w:t>
            </w:r>
          </w:p>
        </w:tc>
        <w:tc>
          <w:tcPr>
            <w:tcW w:w="99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砷</w:t>
            </w:r>
          </w:p>
        </w:tc>
        <w:tc>
          <w:tcPr>
            <w:tcW w:w="92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40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40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30</w:t>
            </w:r>
          </w:p>
        </w:tc>
        <w:tc>
          <w:tcPr>
            <w:tcW w:w="92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4</w:t>
            </w:r>
          </w:p>
        </w:tc>
        <w:tc>
          <w:tcPr>
            <w:tcW w:w="99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铅</w:t>
            </w:r>
          </w:p>
        </w:tc>
        <w:tc>
          <w:tcPr>
            <w:tcW w:w="92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70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90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120</w:t>
            </w:r>
          </w:p>
        </w:tc>
        <w:tc>
          <w:tcPr>
            <w:tcW w:w="92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5</w:t>
            </w:r>
          </w:p>
        </w:tc>
        <w:tc>
          <w:tcPr>
            <w:tcW w:w="99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铬</w:t>
            </w:r>
          </w:p>
        </w:tc>
        <w:tc>
          <w:tcPr>
            <w:tcW w:w="92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150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150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200</w:t>
            </w:r>
          </w:p>
        </w:tc>
        <w:tc>
          <w:tcPr>
            <w:tcW w:w="92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250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6</w:t>
            </w:r>
          </w:p>
        </w:tc>
        <w:tc>
          <w:tcPr>
            <w:tcW w:w="99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铜</w:t>
            </w:r>
          </w:p>
        </w:tc>
        <w:tc>
          <w:tcPr>
            <w:tcW w:w="929"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50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50</w:t>
            </w:r>
          </w:p>
        </w:tc>
        <w:tc>
          <w:tcPr>
            <w:tcW w:w="86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100</w:t>
            </w:r>
          </w:p>
        </w:tc>
        <w:tc>
          <w:tcPr>
            <w:tcW w:w="927" w:type="pct"/>
            <w:tcBorders>
              <w:tl2br w:val="nil"/>
              <w:tr2bl w:val="nil"/>
            </w:tcBorders>
            <w:vAlign w:val="center"/>
          </w:tcPr>
          <w:p>
            <w:pPr>
              <w:jc w:val="center"/>
              <w:rPr>
                <w:rFonts w:ascii="Times New Roman" w:eastAsia="宋体"/>
                <w:color w:val="auto"/>
                <w:kern w:val="2"/>
                <w:sz w:val="18"/>
                <w:szCs w:val="18"/>
              </w:rPr>
            </w:pPr>
            <w:r>
              <w:rPr>
                <w:rFonts w:ascii="Times New Roman" w:eastAsia="宋体"/>
                <w:color w:val="auto"/>
                <w:sz w:val="21"/>
                <w:szCs w:val="18"/>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7</w:t>
            </w:r>
          </w:p>
        </w:tc>
        <w:tc>
          <w:tcPr>
            <w:tcW w:w="99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镍</w:t>
            </w:r>
          </w:p>
        </w:tc>
        <w:tc>
          <w:tcPr>
            <w:tcW w:w="92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60</w:t>
            </w:r>
          </w:p>
        </w:tc>
        <w:tc>
          <w:tcPr>
            <w:tcW w:w="86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70</w:t>
            </w:r>
          </w:p>
        </w:tc>
        <w:tc>
          <w:tcPr>
            <w:tcW w:w="86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100</w:t>
            </w:r>
          </w:p>
        </w:tc>
        <w:tc>
          <w:tcPr>
            <w:tcW w:w="92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190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8</w:t>
            </w:r>
          </w:p>
        </w:tc>
        <w:tc>
          <w:tcPr>
            <w:tcW w:w="99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锌</w:t>
            </w:r>
          </w:p>
        </w:tc>
        <w:tc>
          <w:tcPr>
            <w:tcW w:w="929"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200</w:t>
            </w:r>
          </w:p>
        </w:tc>
        <w:tc>
          <w:tcPr>
            <w:tcW w:w="86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200</w:t>
            </w:r>
          </w:p>
        </w:tc>
        <w:tc>
          <w:tcPr>
            <w:tcW w:w="86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250</w:t>
            </w:r>
          </w:p>
        </w:tc>
        <w:tc>
          <w:tcPr>
            <w:tcW w:w="927" w:type="pct"/>
            <w:tcBorders>
              <w:tl2br w:val="nil"/>
              <w:tr2bl w:val="nil"/>
            </w:tcBorders>
            <w:vAlign w:val="center"/>
          </w:tcPr>
          <w:p>
            <w:pPr>
              <w:jc w:val="center"/>
              <w:rPr>
                <w:rFonts w:ascii="Times New Roman" w:eastAsia="宋体"/>
                <w:color w:val="auto"/>
                <w:sz w:val="21"/>
                <w:szCs w:val="18"/>
              </w:rPr>
            </w:pPr>
            <w:r>
              <w:rPr>
                <w:rFonts w:ascii="Times New Roman" w:eastAsia="宋体"/>
                <w:color w:val="auto"/>
                <w:sz w:val="21"/>
                <w:szCs w:val="18"/>
              </w:rPr>
              <w:t>300</w:t>
            </w:r>
          </w:p>
        </w:tc>
      </w:tr>
    </w:tbl>
    <w:p>
      <w:pPr>
        <w:pStyle w:val="4"/>
        <w:spacing w:before="0" w:after="0" w:line="360" w:lineRule="auto"/>
        <w:rPr>
          <w:rFonts w:ascii="Times New Roman" w:eastAsia="宋体"/>
          <w:b/>
          <w:bCs/>
          <w:color w:val="auto"/>
          <w:kern w:val="2"/>
          <w:sz w:val="24"/>
        </w:rPr>
      </w:pPr>
      <w:bookmarkStart w:id="94" w:name="_Toc8812"/>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6</w:t>
      </w:r>
      <w:r>
        <w:rPr>
          <w:rFonts w:ascii="Times New Roman" w:eastAsia="宋体"/>
          <w:b/>
          <w:bCs/>
          <w:color w:val="auto"/>
          <w:kern w:val="2"/>
          <w:sz w:val="24"/>
        </w:rPr>
        <w:t>.3污染物排放标准</w:t>
      </w:r>
      <w:bookmarkEnd w:id="94"/>
    </w:p>
    <w:p>
      <w:pPr>
        <w:spacing w:line="360" w:lineRule="auto"/>
        <w:ind w:firstLine="482"/>
        <w:rPr>
          <w:rFonts w:ascii="Times New Roman" w:eastAsia="宋体"/>
          <w:color w:val="auto"/>
        </w:rPr>
      </w:pPr>
      <w:bookmarkStart w:id="95" w:name="_Toc25007"/>
      <w:bookmarkStart w:id="96" w:name="_Toc10989"/>
      <w:r>
        <w:rPr>
          <w:rFonts w:ascii="Times New Roman" w:eastAsia="宋体"/>
          <w:color w:val="auto"/>
        </w:rPr>
        <w:t>1</w:t>
      </w:r>
      <w:r>
        <w:rPr>
          <w:rFonts w:hint="eastAsia" w:ascii="Times New Roman" w:eastAsia="宋体"/>
          <w:color w:val="auto"/>
        </w:rPr>
        <w:t>、</w:t>
      </w:r>
      <w:r>
        <w:rPr>
          <w:rFonts w:ascii="Times New Roman" w:eastAsia="宋体"/>
          <w:color w:val="auto"/>
        </w:rPr>
        <w:t>施工期排放标准</w:t>
      </w:r>
      <w:bookmarkEnd w:id="95"/>
      <w:bookmarkEnd w:id="96"/>
    </w:p>
    <w:p>
      <w:pPr>
        <w:spacing w:line="360" w:lineRule="auto"/>
        <w:ind w:firstLine="482"/>
        <w:rPr>
          <w:rFonts w:ascii="Times New Roman" w:eastAsia="宋体"/>
          <w:color w:val="auto"/>
        </w:rPr>
      </w:pPr>
      <w:bookmarkStart w:id="97" w:name="_Toc15409"/>
      <w:bookmarkStart w:id="98" w:name="_Toc17423"/>
      <w:r>
        <w:rPr>
          <w:rFonts w:ascii="Times New Roman" w:eastAsia="宋体"/>
          <w:color w:val="auto"/>
        </w:rPr>
        <w:t>（1）施工扬尘</w:t>
      </w:r>
      <w:bookmarkEnd w:id="97"/>
      <w:bookmarkEnd w:id="98"/>
    </w:p>
    <w:p>
      <w:pPr>
        <w:spacing w:line="360" w:lineRule="auto"/>
        <w:ind w:firstLine="482"/>
        <w:rPr>
          <w:rFonts w:ascii="Times New Roman" w:eastAsia="宋体"/>
          <w:color w:val="auto"/>
        </w:rPr>
      </w:pPr>
      <w:r>
        <w:rPr>
          <w:rFonts w:ascii="Times New Roman" w:eastAsia="宋体"/>
          <w:color w:val="auto"/>
        </w:rPr>
        <w:t>本项目施工期扬尘执行执行《大气污染物综合排放标准》（GB16297-1996）中的二级标准限值，详见</w:t>
      </w:r>
      <w:r>
        <w:rPr>
          <w:rFonts w:hint="eastAsia" w:ascii="Times New Roman" w:eastAsia="宋体"/>
          <w:color w:val="auto"/>
        </w:rPr>
        <w:t>2.6-7</w:t>
      </w:r>
      <w:r>
        <w:rPr>
          <w:rFonts w:ascii="Times New Roman" w:eastAsia="宋体"/>
          <w:color w:val="auto"/>
        </w:rPr>
        <w:t>。</w:t>
      </w:r>
    </w:p>
    <w:p>
      <w:pPr>
        <w:adjustRightInd w:val="0"/>
        <w:snapToGrid w:val="0"/>
        <w:spacing w:beforeLines="50"/>
        <w:ind w:firstLine="480"/>
        <w:jc w:val="center"/>
        <w:rPr>
          <w:rFonts w:ascii="Times New Roman" w:eastAsia="宋体"/>
          <w:b/>
          <w:bCs/>
          <w:color w:val="auto"/>
          <w:kern w:val="2"/>
          <w:sz w:val="21"/>
          <w:szCs w:val="21"/>
        </w:rPr>
      </w:pPr>
      <w:r>
        <w:rPr>
          <w:rFonts w:hint="eastAsia" w:ascii="Times New Roman" w:eastAsia="宋体"/>
          <w:b/>
          <w:bCs/>
          <w:color w:val="auto"/>
          <w:kern w:val="2"/>
          <w:sz w:val="21"/>
          <w:szCs w:val="21"/>
        </w:rPr>
        <w:t>表2.6-7  大气污染物综合排放标准单位：mg/m3</w:t>
      </w:r>
    </w:p>
    <w:tbl>
      <w:tblPr>
        <w:tblStyle w:val="47"/>
        <w:tblW w:w="819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171"/>
        <w:gridCol w:w="1218"/>
        <w:gridCol w:w="1073"/>
        <w:gridCol w:w="39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798" w:type="dxa"/>
          </w:tcPr>
          <w:p>
            <w:pPr>
              <w:jc w:val="center"/>
              <w:rPr>
                <w:rFonts w:ascii="Times New Roman" w:eastAsia="宋体"/>
                <w:b/>
                <w:color w:val="auto"/>
                <w:sz w:val="21"/>
                <w:szCs w:val="18"/>
              </w:rPr>
            </w:pPr>
            <w:bookmarkStart w:id="99" w:name="_Toc22888"/>
            <w:r>
              <w:rPr>
                <w:rFonts w:ascii="Times New Roman" w:eastAsia="宋体"/>
                <w:b/>
                <w:color w:val="auto"/>
                <w:sz w:val="21"/>
                <w:szCs w:val="18"/>
              </w:rPr>
              <w:t>序号</w:t>
            </w:r>
          </w:p>
        </w:tc>
        <w:tc>
          <w:tcPr>
            <w:tcW w:w="1171" w:type="dxa"/>
          </w:tcPr>
          <w:p>
            <w:pPr>
              <w:jc w:val="center"/>
              <w:rPr>
                <w:rFonts w:ascii="Times New Roman" w:eastAsia="宋体"/>
                <w:b/>
                <w:color w:val="auto"/>
                <w:sz w:val="21"/>
                <w:szCs w:val="18"/>
              </w:rPr>
            </w:pPr>
            <w:r>
              <w:rPr>
                <w:rFonts w:ascii="Times New Roman" w:eastAsia="宋体"/>
                <w:b/>
                <w:color w:val="auto"/>
                <w:sz w:val="21"/>
                <w:szCs w:val="18"/>
              </w:rPr>
              <w:t>污染因子</w:t>
            </w:r>
          </w:p>
        </w:tc>
        <w:tc>
          <w:tcPr>
            <w:tcW w:w="1218" w:type="dxa"/>
          </w:tcPr>
          <w:p>
            <w:pPr>
              <w:jc w:val="center"/>
              <w:rPr>
                <w:rFonts w:ascii="Times New Roman" w:eastAsia="宋体"/>
                <w:b/>
                <w:color w:val="auto"/>
                <w:sz w:val="21"/>
                <w:szCs w:val="18"/>
              </w:rPr>
            </w:pPr>
            <w:r>
              <w:rPr>
                <w:rFonts w:ascii="Times New Roman" w:eastAsia="宋体"/>
                <w:b/>
                <w:color w:val="auto"/>
                <w:sz w:val="21"/>
                <w:szCs w:val="18"/>
              </w:rPr>
              <w:t>二级标准</w:t>
            </w:r>
          </w:p>
        </w:tc>
        <w:tc>
          <w:tcPr>
            <w:tcW w:w="1073" w:type="dxa"/>
          </w:tcPr>
          <w:p>
            <w:pPr>
              <w:jc w:val="center"/>
              <w:rPr>
                <w:rFonts w:ascii="Times New Roman" w:eastAsia="宋体"/>
                <w:b/>
                <w:color w:val="auto"/>
                <w:sz w:val="21"/>
                <w:szCs w:val="18"/>
              </w:rPr>
            </w:pPr>
            <w:r>
              <w:rPr>
                <w:rFonts w:ascii="Times New Roman" w:eastAsia="宋体"/>
                <w:b/>
                <w:color w:val="auto"/>
                <w:sz w:val="21"/>
                <w:szCs w:val="18"/>
              </w:rPr>
              <w:t>单位</w:t>
            </w:r>
          </w:p>
        </w:tc>
        <w:tc>
          <w:tcPr>
            <w:tcW w:w="3937" w:type="dxa"/>
          </w:tcPr>
          <w:p>
            <w:pPr>
              <w:jc w:val="center"/>
              <w:rPr>
                <w:rFonts w:ascii="Times New Roman" w:eastAsia="宋体"/>
                <w:b/>
                <w:color w:val="auto"/>
                <w:sz w:val="21"/>
                <w:szCs w:val="18"/>
              </w:rPr>
            </w:pPr>
            <w:r>
              <w:rPr>
                <w:rFonts w:ascii="Times New Roman" w:eastAsia="宋体"/>
                <w:b/>
                <w:color w:val="auto"/>
                <w:sz w:val="21"/>
                <w:szCs w:val="18"/>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798" w:type="dxa"/>
          </w:tcPr>
          <w:p>
            <w:pPr>
              <w:jc w:val="center"/>
              <w:rPr>
                <w:rFonts w:ascii="Times New Roman" w:eastAsia="宋体"/>
                <w:color w:val="auto"/>
                <w:sz w:val="21"/>
                <w:szCs w:val="18"/>
              </w:rPr>
            </w:pPr>
            <w:r>
              <w:rPr>
                <w:rFonts w:ascii="Times New Roman" w:eastAsia="宋体"/>
                <w:color w:val="auto"/>
                <w:sz w:val="21"/>
                <w:szCs w:val="18"/>
              </w:rPr>
              <w:t>1</w:t>
            </w:r>
          </w:p>
        </w:tc>
        <w:tc>
          <w:tcPr>
            <w:tcW w:w="1171" w:type="dxa"/>
          </w:tcPr>
          <w:p>
            <w:pPr>
              <w:jc w:val="center"/>
              <w:rPr>
                <w:rFonts w:ascii="Times New Roman" w:eastAsia="宋体"/>
                <w:color w:val="auto"/>
                <w:sz w:val="21"/>
                <w:szCs w:val="18"/>
              </w:rPr>
            </w:pPr>
            <w:r>
              <w:rPr>
                <w:rFonts w:ascii="Times New Roman" w:eastAsia="宋体"/>
                <w:color w:val="auto"/>
                <w:sz w:val="21"/>
                <w:szCs w:val="18"/>
              </w:rPr>
              <w:t>SO2</w:t>
            </w:r>
          </w:p>
        </w:tc>
        <w:tc>
          <w:tcPr>
            <w:tcW w:w="1218" w:type="dxa"/>
          </w:tcPr>
          <w:p>
            <w:pPr>
              <w:jc w:val="center"/>
              <w:rPr>
                <w:rFonts w:ascii="Times New Roman" w:eastAsia="宋体"/>
                <w:color w:val="auto"/>
                <w:sz w:val="21"/>
                <w:szCs w:val="18"/>
              </w:rPr>
            </w:pPr>
            <w:r>
              <w:rPr>
                <w:rFonts w:ascii="Times New Roman" w:eastAsia="宋体"/>
                <w:color w:val="auto"/>
                <w:sz w:val="21"/>
                <w:szCs w:val="18"/>
              </w:rPr>
              <w:t>0.4</w:t>
            </w:r>
          </w:p>
        </w:tc>
        <w:tc>
          <w:tcPr>
            <w:tcW w:w="1073" w:type="dxa"/>
            <w:vMerge w:val="restart"/>
            <w:vAlign w:val="center"/>
          </w:tcPr>
          <w:p>
            <w:pPr>
              <w:jc w:val="center"/>
              <w:rPr>
                <w:rFonts w:ascii="Times New Roman" w:eastAsia="宋体"/>
                <w:bCs/>
                <w:color w:val="auto"/>
                <w:sz w:val="21"/>
                <w:szCs w:val="18"/>
              </w:rPr>
            </w:pPr>
            <w:r>
              <w:rPr>
                <w:rFonts w:ascii="Times New Roman" w:eastAsia="宋体"/>
                <w:bCs/>
                <w:color w:val="auto"/>
                <w:sz w:val="21"/>
                <w:szCs w:val="18"/>
              </w:rPr>
              <w:t>mg/m³</w:t>
            </w:r>
          </w:p>
        </w:tc>
        <w:tc>
          <w:tcPr>
            <w:tcW w:w="3937" w:type="dxa"/>
            <w:vMerge w:val="restart"/>
            <w:vAlign w:val="center"/>
          </w:tcPr>
          <w:p>
            <w:pPr>
              <w:jc w:val="center"/>
              <w:rPr>
                <w:rFonts w:ascii="Times New Roman" w:eastAsia="宋体"/>
                <w:bCs/>
                <w:color w:val="auto"/>
                <w:sz w:val="21"/>
                <w:szCs w:val="18"/>
              </w:rPr>
            </w:pPr>
            <w:r>
              <w:rPr>
                <w:rFonts w:ascii="Times New Roman" w:eastAsia="宋体"/>
                <w:bCs/>
                <w:color w:val="auto"/>
                <w:sz w:val="21"/>
                <w:szCs w:val="18"/>
              </w:rPr>
              <w:t>《大气污染物综合排放标准》(GB16297-1996)中无组织排放标准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798" w:type="dxa"/>
          </w:tcPr>
          <w:p>
            <w:pPr>
              <w:jc w:val="center"/>
              <w:rPr>
                <w:rFonts w:ascii="Times New Roman" w:eastAsia="宋体"/>
                <w:color w:val="auto"/>
                <w:sz w:val="21"/>
                <w:szCs w:val="18"/>
              </w:rPr>
            </w:pPr>
            <w:r>
              <w:rPr>
                <w:rFonts w:ascii="Times New Roman" w:eastAsia="宋体"/>
                <w:color w:val="auto"/>
                <w:sz w:val="21"/>
                <w:szCs w:val="18"/>
              </w:rPr>
              <w:t>2</w:t>
            </w:r>
          </w:p>
        </w:tc>
        <w:tc>
          <w:tcPr>
            <w:tcW w:w="1171" w:type="dxa"/>
          </w:tcPr>
          <w:p>
            <w:pPr>
              <w:jc w:val="center"/>
              <w:rPr>
                <w:rFonts w:ascii="Times New Roman" w:eastAsia="宋体"/>
                <w:color w:val="auto"/>
                <w:sz w:val="21"/>
                <w:szCs w:val="18"/>
              </w:rPr>
            </w:pPr>
            <w:r>
              <w:rPr>
                <w:rFonts w:ascii="Times New Roman" w:eastAsia="宋体"/>
                <w:color w:val="auto"/>
                <w:sz w:val="21"/>
                <w:szCs w:val="18"/>
              </w:rPr>
              <w:t>NOx</w:t>
            </w:r>
          </w:p>
        </w:tc>
        <w:tc>
          <w:tcPr>
            <w:tcW w:w="1218" w:type="dxa"/>
          </w:tcPr>
          <w:p>
            <w:pPr>
              <w:jc w:val="center"/>
              <w:rPr>
                <w:rFonts w:ascii="Times New Roman" w:eastAsia="宋体"/>
                <w:color w:val="auto"/>
                <w:sz w:val="21"/>
                <w:szCs w:val="18"/>
              </w:rPr>
            </w:pPr>
            <w:r>
              <w:rPr>
                <w:rFonts w:ascii="Times New Roman" w:eastAsia="宋体"/>
                <w:color w:val="auto"/>
                <w:sz w:val="21"/>
                <w:szCs w:val="18"/>
              </w:rPr>
              <w:t>0.12</w:t>
            </w:r>
          </w:p>
        </w:tc>
        <w:tc>
          <w:tcPr>
            <w:tcW w:w="1073" w:type="dxa"/>
            <w:vMerge w:val="continue"/>
          </w:tcPr>
          <w:p>
            <w:pPr>
              <w:pStyle w:val="125"/>
              <w:widowControl w:val="0"/>
              <w:snapToGrid w:val="0"/>
              <w:rPr>
                <w:rFonts w:ascii="Times New Roman" w:hAnsi="Times New Roman" w:cs="Times New Roman"/>
                <w:color w:val="auto"/>
                <w:sz w:val="21"/>
                <w:szCs w:val="21"/>
              </w:rPr>
            </w:pPr>
          </w:p>
        </w:tc>
        <w:tc>
          <w:tcPr>
            <w:tcW w:w="3937" w:type="dxa"/>
            <w:vMerge w:val="continue"/>
          </w:tcPr>
          <w:p>
            <w:pPr>
              <w:pStyle w:val="125"/>
              <w:widowControl w:val="0"/>
              <w:snapToGrid w:val="0"/>
              <w:rPr>
                <w:rFonts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798" w:type="dxa"/>
          </w:tcPr>
          <w:p>
            <w:pPr>
              <w:jc w:val="center"/>
              <w:rPr>
                <w:rFonts w:ascii="Times New Roman" w:eastAsia="宋体"/>
                <w:color w:val="auto"/>
                <w:sz w:val="21"/>
                <w:szCs w:val="18"/>
              </w:rPr>
            </w:pPr>
            <w:r>
              <w:rPr>
                <w:rFonts w:ascii="Times New Roman" w:eastAsia="宋体"/>
                <w:color w:val="auto"/>
                <w:sz w:val="21"/>
                <w:szCs w:val="18"/>
              </w:rPr>
              <w:t>3</w:t>
            </w:r>
          </w:p>
        </w:tc>
        <w:tc>
          <w:tcPr>
            <w:tcW w:w="1171" w:type="dxa"/>
          </w:tcPr>
          <w:p>
            <w:pPr>
              <w:jc w:val="center"/>
              <w:rPr>
                <w:rFonts w:ascii="Times New Roman" w:eastAsia="宋体"/>
                <w:color w:val="auto"/>
                <w:sz w:val="21"/>
                <w:szCs w:val="18"/>
              </w:rPr>
            </w:pPr>
            <w:r>
              <w:rPr>
                <w:rFonts w:ascii="Times New Roman" w:eastAsia="宋体"/>
                <w:color w:val="auto"/>
                <w:sz w:val="21"/>
                <w:szCs w:val="18"/>
              </w:rPr>
              <w:t>CO</w:t>
            </w:r>
          </w:p>
        </w:tc>
        <w:tc>
          <w:tcPr>
            <w:tcW w:w="1218" w:type="dxa"/>
          </w:tcPr>
          <w:p>
            <w:pPr>
              <w:jc w:val="center"/>
              <w:rPr>
                <w:rFonts w:ascii="Times New Roman" w:eastAsia="宋体"/>
                <w:color w:val="auto"/>
                <w:sz w:val="21"/>
                <w:szCs w:val="18"/>
              </w:rPr>
            </w:pPr>
            <w:r>
              <w:rPr>
                <w:rFonts w:ascii="Times New Roman" w:eastAsia="宋体"/>
                <w:color w:val="auto"/>
                <w:sz w:val="21"/>
                <w:szCs w:val="18"/>
              </w:rPr>
              <w:t>3.0</w:t>
            </w:r>
          </w:p>
        </w:tc>
        <w:tc>
          <w:tcPr>
            <w:tcW w:w="1073" w:type="dxa"/>
            <w:vMerge w:val="continue"/>
          </w:tcPr>
          <w:p>
            <w:pPr>
              <w:pStyle w:val="125"/>
              <w:widowControl w:val="0"/>
              <w:snapToGrid w:val="0"/>
              <w:rPr>
                <w:rFonts w:ascii="Times New Roman" w:hAnsi="Times New Roman" w:cs="Times New Roman"/>
                <w:color w:val="auto"/>
                <w:sz w:val="21"/>
                <w:szCs w:val="21"/>
              </w:rPr>
            </w:pPr>
          </w:p>
        </w:tc>
        <w:tc>
          <w:tcPr>
            <w:tcW w:w="3937" w:type="dxa"/>
            <w:vMerge w:val="continue"/>
          </w:tcPr>
          <w:p>
            <w:pPr>
              <w:pStyle w:val="125"/>
              <w:widowControl w:val="0"/>
              <w:snapToGrid w:val="0"/>
              <w:rPr>
                <w:rFonts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798" w:type="dxa"/>
          </w:tcPr>
          <w:p>
            <w:pPr>
              <w:jc w:val="center"/>
              <w:rPr>
                <w:rFonts w:ascii="Times New Roman" w:eastAsia="宋体"/>
                <w:color w:val="auto"/>
                <w:sz w:val="21"/>
                <w:szCs w:val="18"/>
              </w:rPr>
            </w:pPr>
            <w:r>
              <w:rPr>
                <w:rFonts w:ascii="Times New Roman" w:eastAsia="宋体"/>
                <w:color w:val="auto"/>
                <w:sz w:val="21"/>
                <w:szCs w:val="18"/>
              </w:rPr>
              <w:t>4</w:t>
            </w:r>
          </w:p>
        </w:tc>
        <w:tc>
          <w:tcPr>
            <w:tcW w:w="1171" w:type="dxa"/>
          </w:tcPr>
          <w:p>
            <w:pPr>
              <w:jc w:val="center"/>
              <w:rPr>
                <w:rFonts w:ascii="Times New Roman" w:eastAsia="宋体"/>
                <w:color w:val="auto"/>
                <w:sz w:val="21"/>
                <w:szCs w:val="18"/>
              </w:rPr>
            </w:pPr>
            <w:r>
              <w:rPr>
                <w:rFonts w:ascii="Times New Roman" w:eastAsia="宋体"/>
                <w:color w:val="auto"/>
                <w:sz w:val="21"/>
                <w:szCs w:val="18"/>
              </w:rPr>
              <w:t>颗粒物</w:t>
            </w:r>
          </w:p>
        </w:tc>
        <w:tc>
          <w:tcPr>
            <w:tcW w:w="1218" w:type="dxa"/>
          </w:tcPr>
          <w:p>
            <w:pPr>
              <w:jc w:val="center"/>
              <w:rPr>
                <w:rFonts w:ascii="Times New Roman" w:eastAsia="宋体"/>
                <w:color w:val="auto"/>
                <w:sz w:val="21"/>
                <w:szCs w:val="18"/>
              </w:rPr>
            </w:pPr>
            <w:r>
              <w:rPr>
                <w:rFonts w:ascii="Times New Roman" w:eastAsia="宋体"/>
                <w:color w:val="auto"/>
                <w:sz w:val="21"/>
                <w:szCs w:val="18"/>
              </w:rPr>
              <w:t>1.0</w:t>
            </w:r>
          </w:p>
        </w:tc>
        <w:tc>
          <w:tcPr>
            <w:tcW w:w="1073" w:type="dxa"/>
            <w:vMerge w:val="continue"/>
          </w:tcPr>
          <w:p>
            <w:pPr>
              <w:pStyle w:val="125"/>
              <w:widowControl w:val="0"/>
              <w:snapToGrid w:val="0"/>
              <w:rPr>
                <w:rFonts w:ascii="Times New Roman" w:hAnsi="Times New Roman" w:cs="Times New Roman"/>
                <w:color w:val="auto"/>
                <w:sz w:val="21"/>
                <w:szCs w:val="21"/>
              </w:rPr>
            </w:pPr>
          </w:p>
        </w:tc>
        <w:tc>
          <w:tcPr>
            <w:tcW w:w="3937" w:type="dxa"/>
            <w:vMerge w:val="continue"/>
          </w:tcPr>
          <w:p>
            <w:pPr>
              <w:pStyle w:val="125"/>
              <w:widowControl w:val="0"/>
              <w:snapToGrid w:val="0"/>
              <w:rPr>
                <w:rFonts w:ascii="Times New Roman" w:hAnsi="Times New Roman" w:cs="Times New Roman"/>
                <w:color w:val="auto"/>
                <w:sz w:val="21"/>
                <w:szCs w:val="21"/>
              </w:rPr>
            </w:pPr>
          </w:p>
        </w:tc>
      </w:tr>
    </w:tbl>
    <w:p>
      <w:pPr>
        <w:spacing w:line="360" w:lineRule="auto"/>
        <w:ind w:firstLine="482"/>
        <w:rPr>
          <w:rFonts w:ascii="Times New Roman" w:eastAsia="宋体"/>
          <w:color w:val="auto"/>
        </w:rPr>
      </w:pPr>
      <w:bookmarkStart w:id="100" w:name="_Toc32708"/>
      <w:r>
        <w:rPr>
          <w:rFonts w:ascii="Times New Roman" w:eastAsia="宋体"/>
          <w:color w:val="auto"/>
        </w:rPr>
        <w:t>（2）施工噪声</w:t>
      </w:r>
      <w:bookmarkEnd w:id="99"/>
      <w:bookmarkEnd w:id="100"/>
    </w:p>
    <w:p>
      <w:pPr>
        <w:spacing w:line="360" w:lineRule="auto"/>
        <w:ind w:firstLine="482"/>
        <w:rPr>
          <w:rFonts w:ascii="Times New Roman" w:eastAsia="宋体"/>
          <w:color w:val="auto"/>
        </w:rPr>
      </w:pPr>
      <w:r>
        <w:rPr>
          <w:rFonts w:ascii="Times New Roman" w:eastAsia="宋体"/>
          <w:color w:val="auto"/>
        </w:rPr>
        <w:t>本项目施工期噪声排放执行《建筑施工场界环境噪声排放标准》（GB12523-2011）中表1排放限值，详见</w:t>
      </w:r>
      <w:r>
        <w:rPr>
          <w:rFonts w:hint="eastAsia" w:ascii="Times New Roman" w:eastAsia="宋体"/>
          <w:color w:val="auto"/>
        </w:rPr>
        <w:t>2.6-8</w:t>
      </w:r>
      <w:r>
        <w:rPr>
          <w:rFonts w:ascii="Times New Roman" w:eastAsia="宋体"/>
          <w:color w:val="auto"/>
        </w:rPr>
        <w:t>。</w:t>
      </w:r>
    </w:p>
    <w:p>
      <w:pPr>
        <w:pStyle w:val="17"/>
        <w:spacing w:beforeLines="50" w:line="0" w:lineRule="atLeast"/>
        <w:jc w:val="center"/>
        <w:rPr>
          <w:rFonts w:ascii="Times New Roman" w:hAnsi="Times New Roman" w:eastAsia="宋体" w:cs="Times New Roman"/>
          <w:b/>
          <w:bCs/>
          <w:color w:val="auto"/>
          <w:sz w:val="21"/>
          <w:szCs w:val="21"/>
        </w:rPr>
      </w:pPr>
      <w:bookmarkStart w:id="101" w:name="_Ref491073800"/>
      <w:r>
        <w:rPr>
          <w:rFonts w:ascii="Times New Roman" w:hAnsi="Times New Roman" w:eastAsia="宋体" w:cs="Times New Roman"/>
          <w:b/>
          <w:bCs/>
          <w:color w:val="auto"/>
          <w:sz w:val="21"/>
          <w:szCs w:val="21"/>
        </w:rPr>
        <w:t>表</w:t>
      </w:r>
      <w:bookmarkEnd w:id="101"/>
      <w:r>
        <w:rPr>
          <w:rFonts w:hint="eastAsia" w:ascii="Times New Roman" w:hAnsi="Times New Roman" w:eastAsia="宋体" w:cs="Times New Roman"/>
          <w:b/>
          <w:bCs/>
          <w:color w:val="auto"/>
          <w:sz w:val="21"/>
          <w:szCs w:val="21"/>
        </w:rPr>
        <w:t xml:space="preserve">2.6-8 </w:t>
      </w:r>
      <w:r>
        <w:rPr>
          <w:rFonts w:ascii="Times New Roman" w:hAnsi="Times New Roman" w:eastAsia="宋体" w:cs="Times New Roman"/>
          <w:b/>
          <w:bCs/>
          <w:color w:val="auto"/>
          <w:sz w:val="21"/>
          <w:szCs w:val="21"/>
        </w:rPr>
        <w:t>建筑施工场界环境噪声排放限值</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2198"/>
        <w:gridCol w:w="40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576" w:type="dxa"/>
            <w:tcBorders>
              <w:tl2br w:val="nil"/>
              <w:tr2bl w:val="nil"/>
            </w:tcBorders>
            <w:vAlign w:val="center"/>
          </w:tcPr>
          <w:p>
            <w:pPr>
              <w:rPr>
                <w:rFonts w:ascii="Times New Roman" w:eastAsia="宋体"/>
                <w:b/>
                <w:bCs/>
                <w:color w:val="auto"/>
                <w:sz w:val="21"/>
                <w:szCs w:val="18"/>
              </w:rPr>
            </w:pPr>
            <w:r>
              <w:rPr>
                <w:rFonts w:ascii="Times New Roman" w:eastAsia="宋体"/>
                <w:b/>
                <w:bCs/>
                <w:color w:val="auto"/>
                <w:sz w:val="21"/>
                <w:szCs w:val="18"/>
              </w:rPr>
              <w:t>昼间</w:t>
            </w:r>
          </w:p>
        </w:tc>
        <w:tc>
          <w:tcPr>
            <w:tcW w:w="2198" w:type="dxa"/>
            <w:tcBorders>
              <w:tl2br w:val="nil"/>
              <w:tr2bl w:val="nil"/>
            </w:tcBorders>
            <w:vAlign w:val="center"/>
          </w:tcPr>
          <w:p>
            <w:pPr>
              <w:rPr>
                <w:rFonts w:ascii="Times New Roman" w:eastAsia="宋体"/>
                <w:b/>
                <w:bCs/>
                <w:color w:val="auto"/>
                <w:sz w:val="21"/>
                <w:szCs w:val="18"/>
              </w:rPr>
            </w:pPr>
            <w:r>
              <w:rPr>
                <w:rFonts w:ascii="Times New Roman" w:eastAsia="宋体"/>
                <w:b/>
                <w:bCs/>
                <w:color w:val="auto"/>
                <w:sz w:val="21"/>
                <w:szCs w:val="18"/>
              </w:rPr>
              <w:t>夜间</w:t>
            </w:r>
          </w:p>
        </w:tc>
        <w:tc>
          <w:tcPr>
            <w:tcW w:w="4065" w:type="dxa"/>
            <w:tcBorders>
              <w:tl2br w:val="nil"/>
              <w:tr2bl w:val="nil"/>
            </w:tcBorders>
            <w:vAlign w:val="center"/>
          </w:tcPr>
          <w:p>
            <w:pPr>
              <w:rPr>
                <w:rFonts w:ascii="Times New Roman" w:eastAsia="宋体"/>
                <w:b/>
                <w:bCs/>
                <w:color w:val="auto"/>
                <w:sz w:val="21"/>
                <w:szCs w:val="18"/>
              </w:rPr>
            </w:pPr>
            <w:r>
              <w:rPr>
                <w:rFonts w:ascii="Times New Roman" w:eastAsia="宋体"/>
                <w:b/>
                <w:bCs/>
                <w:color w:val="auto"/>
                <w:sz w:val="21"/>
                <w:szCs w:val="18"/>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76" w:type="dxa"/>
            <w:tcBorders>
              <w:tl2br w:val="nil"/>
              <w:tr2bl w:val="nil"/>
            </w:tcBorders>
            <w:vAlign w:val="center"/>
          </w:tcPr>
          <w:p>
            <w:pPr>
              <w:rPr>
                <w:rFonts w:ascii="Times New Roman" w:eastAsia="宋体"/>
                <w:color w:val="auto"/>
                <w:sz w:val="21"/>
                <w:szCs w:val="18"/>
              </w:rPr>
            </w:pPr>
            <w:r>
              <w:rPr>
                <w:rFonts w:ascii="Times New Roman" w:eastAsia="宋体"/>
                <w:color w:val="auto"/>
                <w:sz w:val="21"/>
                <w:szCs w:val="18"/>
              </w:rPr>
              <w:t>70 dB（A）</w:t>
            </w:r>
          </w:p>
        </w:tc>
        <w:tc>
          <w:tcPr>
            <w:tcW w:w="2198" w:type="dxa"/>
            <w:tcBorders>
              <w:tl2br w:val="nil"/>
              <w:tr2bl w:val="nil"/>
            </w:tcBorders>
            <w:vAlign w:val="center"/>
          </w:tcPr>
          <w:p>
            <w:pPr>
              <w:rPr>
                <w:rFonts w:ascii="Times New Roman" w:eastAsia="宋体"/>
                <w:color w:val="auto"/>
                <w:sz w:val="21"/>
                <w:szCs w:val="18"/>
              </w:rPr>
            </w:pPr>
            <w:r>
              <w:rPr>
                <w:rFonts w:ascii="Times New Roman" w:eastAsia="宋体"/>
                <w:color w:val="auto"/>
                <w:sz w:val="21"/>
                <w:szCs w:val="18"/>
              </w:rPr>
              <w:t>55dB（A）</w:t>
            </w:r>
          </w:p>
        </w:tc>
        <w:tc>
          <w:tcPr>
            <w:tcW w:w="4065" w:type="dxa"/>
            <w:tcBorders>
              <w:tl2br w:val="nil"/>
              <w:tr2bl w:val="nil"/>
            </w:tcBorders>
            <w:vAlign w:val="center"/>
          </w:tcPr>
          <w:p>
            <w:pPr>
              <w:rPr>
                <w:rFonts w:ascii="Times New Roman" w:eastAsia="宋体"/>
                <w:color w:val="auto"/>
                <w:sz w:val="21"/>
                <w:szCs w:val="18"/>
              </w:rPr>
            </w:pPr>
            <w:r>
              <w:rPr>
                <w:rFonts w:ascii="Times New Roman" w:eastAsia="宋体"/>
                <w:color w:val="auto"/>
                <w:sz w:val="21"/>
                <w:szCs w:val="18"/>
              </w:rPr>
              <w:t>《建筑施工场界环境噪声排放标准》（GB12523-2011）表1排放限值</w:t>
            </w:r>
          </w:p>
        </w:tc>
      </w:tr>
    </w:tbl>
    <w:p>
      <w:pPr>
        <w:spacing w:line="360" w:lineRule="auto"/>
        <w:ind w:firstLine="482"/>
        <w:rPr>
          <w:rFonts w:ascii="Times New Roman" w:eastAsia="宋体"/>
          <w:color w:val="auto"/>
        </w:rPr>
      </w:pPr>
      <w:bookmarkStart w:id="102" w:name="_Toc14548"/>
      <w:bookmarkStart w:id="103" w:name="_Toc19734"/>
      <w:bookmarkStart w:id="104" w:name="_Toc434"/>
      <w:r>
        <w:rPr>
          <w:rFonts w:ascii="Times New Roman" w:eastAsia="宋体"/>
          <w:color w:val="auto"/>
        </w:rPr>
        <w:t>2</w:t>
      </w:r>
      <w:r>
        <w:rPr>
          <w:rFonts w:hint="eastAsia" w:ascii="Times New Roman" w:eastAsia="宋体"/>
          <w:color w:val="auto"/>
        </w:rPr>
        <w:t>、</w:t>
      </w:r>
      <w:r>
        <w:rPr>
          <w:rFonts w:ascii="Times New Roman" w:eastAsia="宋体"/>
          <w:color w:val="auto"/>
        </w:rPr>
        <w:t>运营期排放标准</w:t>
      </w:r>
      <w:bookmarkEnd w:id="102"/>
      <w:bookmarkEnd w:id="103"/>
      <w:bookmarkEnd w:id="104"/>
    </w:p>
    <w:p>
      <w:pPr>
        <w:spacing w:line="360" w:lineRule="auto"/>
        <w:ind w:firstLine="482"/>
        <w:rPr>
          <w:rFonts w:ascii="Times New Roman" w:eastAsia="宋体"/>
          <w:color w:val="auto"/>
        </w:rPr>
      </w:pPr>
      <w:bookmarkStart w:id="105" w:name="_Toc5390"/>
      <w:bookmarkStart w:id="106" w:name="_Toc1062"/>
      <w:r>
        <w:rPr>
          <w:rFonts w:ascii="Times New Roman" w:eastAsia="宋体"/>
          <w:color w:val="auto"/>
        </w:rPr>
        <w:t>（1）废气</w:t>
      </w:r>
      <w:bookmarkEnd w:id="105"/>
      <w:bookmarkEnd w:id="106"/>
    </w:p>
    <w:p>
      <w:pPr>
        <w:spacing w:line="360" w:lineRule="auto"/>
        <w:ind w:firstLine="482"/>
        <w:rPr>
          <w:rFonts w:ascii="Times New Roman" w:eastAsia="宋体"/>
          <w:color w:val="auto"/>
        </w:rPr>
      </w:pPr>
      <w:r>
        <w:rPr>
          <w:rFonts w:ascii="Times New Roman" w:eastAsia="宋体"/>
          <w:color w:val="auto"/>
        </w:rPr>
        <w:t>①恶臭气体</w:t>
      </w:r>
    </w:p>
    <w:p>
      <w:pPr>
        <w:pStyle w:val="14"/>
        <w:ind w:firstLine="486"/>
        <w:rPr>
          <w:rFonts w:ascii="Times New Roman"/>
          <w:color w:val="auto"/>
        </w:rPr>
      </w:pPr>
      <w:r>
        <w:rPr>
          <w:rFonts w:ascii="Times New Roman" w:eastAsia="宋体"/>
          <w:color w:val="auto"/>
        </w:rPr>
        <w:t>项目鸡舍养殖、</w:t>
      </w:r>
      <w:r>
        <w:rPr>
          <w:rFonts w:hint="eastAsia" w:ascii="Times New Roman" w:eastAsia="宋体"/>
          <w:color w:val="auto"/>
        </w:rPr>
        <w:t>污水储存</w:t>
      </w:r>
      <w:r>
        <w:rPr>
          <w:rFonts w:ascii="Times New Roman" w:eastAsia="宋体"/>
          <w:color w:val="auto"/>
        </w:rPr>
        <w:t>过程中产生恶臭气体，臭气浓度执行《畜禽养殖业污染物排放标准》（GB18596-2001）中集约化畜禽养殖业恶臭污染物排放标准，NH</w:t>
      </w:r>
      <w:r>
        <w:rPr>
          <w:rFonts w:ascii="Times New Roman" w:eastAsia="宋体"/>
          <w:color w:val="auto"/>
          <w:vertAlign w:val="subscript"/>
        </w:rPr>
        <w:t>3</w:t>
      </w:r>
      <w:r>
        <w:rPr>
          <w:rFonts w:ascii="Times New Roman" w:eastAsia="宋体"/>
          <w:color w:val="auto"/>
        </w:rPr>
        <w:t>、H</w:t>
      </w:r>
      <w:r>
        <w:rPr>
          <w:rFonts w:ascii="Times New Roman" w:eastAsia="宋体"/>
          <w:color w:val="auto"/>
          <w:vertAlign w:val="subscript"/>
        </w:rPr>
        <w:t>2</w:t>
      </w:r>
      <w:r>
        <w:rPr>
          <w:rFonts w:ascii="Times New Roman" w:eastAsia="宋体"/>
          <w:color w:val="auto"/>
        </w:rPr>
        <w:t>S参照执行《恶臭污染物排放标准》（GB14554-93）厂界标准值中的二级标准和表2中相关标准，详见</w:t>
      </w:r>
      <w:r>
        <w:rPr>
          <w:rFonts w:ascii="Times New Roman" w:eastAsia="宋体"/>
          <w:b/>
          <w:bCs/>
          <w:color w:val="auto"/>
          <w:sz w:val="21"/>
          <w:szCs w:val="21"/>
        </w:rPr>
        <w:t>表</w:t>
      </w:r>
      <w:r>
        <w:rPr>
          <w:rFonts w:hint="eastAsia" w:ascii="Times New Roman" w:eastAsia="宋体"/>
          <w:color w:val="auto"/>
        </w:rPr>
        <w:t>2.6-9</w:t>
      </w:r>
      <w:r>
        <w:rPr>
          <w:rFonts w:ascii="Times New Roman" w:eastAsia="宋体"/>
          <w:color w:val="auto"/>
        </w:rPr>
        <w:t>。</w:t>
      </w:r>
      <w:bookmarkStart w:id="107" w:name="_Ref485730352"/>
    </w:p>
    <w:p>
      <w:pPr>
        <w:pStyle w:val="17"/>
        <w:spacing w:beforeLines="50" w:line="0" w:lineRule="atLeast"/>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rPr>
        <w:t xml:space="preserve">2.6-9 </w:t>
      </w:r>
      <w:r>
        <w:rPr>
          <w:rFonts w:ascii="Times New Roman" w:hAnsi="Times New Roman" w:eastAsia="宋体" w:cs="Times New Roman"/>
          <w:b/>
          <w:bCs/>
          <w:color w:val="auto"/>
          <w:sz w:val="21"/>
          <w:szCs w:val="21"/>
        </w:rPr>
        <w:t>恶臭气体排放标</w:t>
      </w:r>
      <w:r>
        <w:rPr>
          <w:rFonts w:hint="eastAsia" w:ascii="Times New Roman" w:hAnsi="Times New Roman" w:eastAsia="宋体" w:cs="Times New Roman"/>
          <w:b/>
          <w:bCs/>
          <w:color w:val="auto"/>
          <w:sz w:val="21"/>
          <w:szCs w:val="21"/>
        </w:rPr>
        <w:t>准</w:t>
      </w:r>
    </w:p>
    <w:tbl>
      <w:tblPr>
        <w:tblStyle w:val="47"/>
        <w:tblW w:w="8658" w:type="dxa"/>
        <w:tblInd w:w="-7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4"/>
        <w:gridCol w:w="1275"/>
        <w:gridCol w:w="1515"/>
        <w:gridCol w:w="48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054" w:type="dxa"/>
            <w:vMerge w:val="restart"/>
            <w:tcBorders>
              <w:tl2br w:val="nil"/>
              <w:tr2bl w:val="nil"/>
            </w:tcBorders>
            <w:vAlign w:val="center"/>
          </w:tcPr>
          <w:p>
            <w:pPr>
              <w:pStyle w:val="373"/>
              <w:rPr>
                <w:b/>
                <w:bCs/>
                <w:color w:val="auto"/>
              </w:rPr>
            </w:pPr>
            <w:r>
              <w:rPr>
                <w:b/>
                <w:bCs/>
                <w:color w:val="auto"/>
              </w:rPr>
              <w:t>污染物</w:t>
            </w:r>
          </w:p>
        </w:tc>
        <w:tc>
          <w:tcPr>
            <w:tcW w:w="2790" w:type="dxa"/>
            <w:gridSpan w:val="2"/>
            <w:tcBorders>
              <w:tl2br w:val="nil"/>
              <w:tr2bl w:val="nil"/>
            </w:tcBorders>
            <w:vAlign w:val="center"/>
          </w:tcPr>
          <w:p>
            <w:pPr>
              <w:pStyle w:val="373"/>
              <w:rPr>
                <w:b/>
                <w:bCs/>
                <w:color w:val="auto"/>
              </w:rPr>
            </w:pPr>
            <w:r>
              <w:rPr>
                <w:b/>
                <w:bCs/>
                <w:color w:val="auto"/>
              </w:rPr>
              <w:t>无组织排放监控浓度限值</w:t>
            </w:r>
          </w:p>
        </w:tc>
        <w:tc>
          <w:tcPr>
            <w:tcW w:w="4814" w:type="dxa"/>
            <w:vMerge w:val="restart"/>
            <w:tcBorders>
              <w:tl2br w:val="nil"/>
              <w:tr2bl w:val="nil"/>
            </w:tcBorders>
            <w:vAlign w:val="center"/>
          </w:tcPr>
          <w:p>
            <w:pPr>
              <w:snapToGrid w:val="0"/>
              <w:spacing w:beforeLines="50"/>
              <w:jc w:val="center"/>
              <w:rPr>
                <w:rFonts w:ascii="Times New Roman" w:eastAsia="宋体"/>
                <w:b/>
                <w:bCs/>
                <w:color w:val="auto"/>
                <w:sz w:val="21"/>
                <w:szCs w:val="21"/>
              </w:rPr>
            </w:pPr>
            <w:r>
              <w:rPr>
                <w:rFonts w:ascii="Times New Roman" w:eastAsia="宋体"/>
                <w:b/>
                <w:bCs/>
                <w:color w:val="auto"/>
                <w:sz w:val="21"/>
                <w:szCs w:val="21"/>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1054" w:type="dxa"/>
            <w:vMerge w:val="continue"/>
            <w:tcBorders>
              <w:tl2br w:val="nil"/>
              <w:tr2bl w:val="nil"/>
            </w:tcBorders>
            <w:vAlign w:val="center"/>
          </w:tcPr>
          <w:p>
            <w:pPr>
              <w:pStyle w:val="373"/>
              <w:rPr>
                <w:color w:val="auto"/>
              </w:rPr>
            </w:pPr>
          </w:p>
        </w:tc>
        <w:tc>
          <w:tcPr>
            <w:tcW w:w="1275" w:type="dxa"/>
            <w:tcBorders>
              <w:tl2br w:val="nil"/>
              <w:tr2bl w:val="nil"/>
            </w:tcBorders>
            <w:vAlign w:val="center"/>
          </w:tcPr>
          <w:p>
            <w:pPr>
              <w:pStyle w:val="373"/>
              <w:rPr>
                <w:color w:val="auto"/>
              </w:rPr>
            </w:pPr>
            <w:r>
              <w:rPr>
                <w:color w:val="auto"/>
              </w:rPr>
              <w:t>监控点</w:t>
            </w:r>
          </w:p>
        </w:tc>
        <w:tc>
          <w:tcPr>
            <w:tcW w:w="1515" w:type="dxa"/>
            <w:tcBorders>
              <w:tl2br w:val="nil"/>
              <w:tr2bl w:val="nil"/>
            </w:tcBorders>
            <w:vAlign w:val="center"/>
          </w:tcPr>
          <w:p>
            <w:pPr>
              <w:pStyle w:val="373"/>
              <w:rPr>
                <w:color w:val="auto"/>
              </w:rPr>
            </w:pPr>
            <w:r>
              <w:rPr>
                <w:color w:val="auto"/>
              </w:rPr>
              <w:t>浓度</w:t>
            </w:r>
          </w:p>
        </w:tc>
        <w:tc>
          <w:tcPr>
            <w:tcW w:w="4814" w:type="dxa"/>
            <w:vMerge w:val="continue"/>
            <w:tcBorders>
              <w:tl2br w:val="nil"/>
              <w:tr2bl w:val="nil"/>
            </w:tcBorders>
            <w:vAlign w:val="center"/>
          </w:tcPr>
          <w:p>
            <w:pPr>
              <w:snapToGrid w:val="0"/>
              <w:spacing w:beforeLines="50"/>
              <w:jc w:val="center"/>
              <w:rPr>
                <w:rFonts w:ascii="Times New Roman" w:eastAsia="宋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21" w:hRule="atLeast"/>
        </w:trPr>
        <w:tc>
          <w:tcPr>
            <w:tcW w:w="105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臭气</w:t>
            </w:r>
          </w:p>
          <w:p>
            <w:pPr>
              <w:snapToGrid w:val="0"/>
              <w:jc w:val="center"/>
              <w:rPr>
                <w:rFonts w:ascii="Times New Roman" w:eastAsia="宋体"/>
                <w:color w:val="auto"/>
                <w:sz w:val="21"/>
                <w:szCs w:val="21"/>
              </w:rPr>
            </w:pPr>
            <w:r>
              <w:rPr>
                <w:rFonts w:ascii="Times New Roman" w:eastAsia="宋体"/>
                <w:color w:val="auto"/>
                <w:sz w:val="21"/>
                <w:szCs w:val="21"/>
              </w:rPr>
              <w:t>浓度</w:t>
            </w:r>
          </w:p>
        </w:tc>
        <w:tc>
          <w:tcPr>
            <w:tcW w:w="1275" w:type="dxa"/>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周界外浓度最高点</w:t>
            </w:r>
          </w:p>
        </w:tc>
        <w:tc>
          <w:tcPr>
            <w:tcW w:w="1515"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70</w:t>
            </w:r>
            <w:r>
              <w:rPr>
                <w:rFonts w:hint="eastAsia" w:ascii="Times New Roman" w:eastAsia="宋体"/>
                <w:color w:val="auto"/>
                <w:sz w:val="21"/>
                <w:szCs w:val="21"/>
              </w:rPr>
              <w:t>（无量纲）</w:t>
            </w:r>
          </w:p>
        </w:tc>
        <w:tc>
          <w:tcPr>
            <w:tcW w:w="4814" w:type="dxa"/>
            <w:tcBorders>
              <w:tl2br w:val="nil"/>
              <w:tr2bl w:val="nil"/>
            </w:tcBorders>
            <w:vAlign w:val="center"/>
          </w:tcPr>
          <w:p>
            <w:pPr>
              <w:snapToGrid w:val="0"/>
              <w:rPr>
                <w:rFonts w:ascii="Times New Roman" w:eastAsia="宋体"/>
                <w:bCs/>
                <w:color w:val="auto"/>
                <w:sz w:val="21"/>
                <w:szCs w:val="21"/>
              </w:rPr>
            </w:pPr>
            <w:r>
              <w:rPr>
                <w:rFonts w:ascii="Times New Roman" w:eastAsia="宋体"/>
                <w:bCs/>
                <w:color w:val="auto"/>
                <w:sz w:val="21"/>
                <w:szCs w:val="21"/>
              </w:rPr>
              <w:t>《畜禽养殖业污染物排放标准》（GB18596-2001）</w:t>
            </w:r>
            <w:r>
              <w:rPr>
                <w:rFonts w:hint="eastAsia" w:ascii="Times New Roman" w:eastAsia="宋体"/>
                <w:bCs/>
                <w:color w:val="auto"/>
                <w:sz w:val="21"/>
                <w:szCs w:val="21"/>
              </w:rPr>
              <w:t>中“集约化畜禽养殖业恶臭污染物”排放标准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05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NH</w:t>
            </w:r>
            <w:r>
              <w:rPr>
                <w:rFonts w:ascii="Times New Roman" w:eastAsia="宋体"/>
                <w:color w:val="auto"/>
                <w:sz w:val="21"/>
                <w:szCs w:val="21"/>
                <w:vertAlign w:val="subscript"/>
              </w:rPr>
              <w:t>3</w:t>
            </w:r>
          </w:p>
        </w:tc>
        <w:tc>
          <w:tcPr>
            <w:tcW w:w="1275" w:type="dxa"/>
            <w:vMerge w:val="continue"/>
            <w:tcBorders>
              <w:tl2br w:val="nil"/>
              <w:tr2bl w:val="nil"/>
            </w:tcBorders>
            <w:vAlign w:val="center"/>
          </w:tcPr>
          <w:p>
            <w:pPr>
              <w:snapToGrid w:val="0"/>
              <w:jc w:val="center"/>
              <w:rPr>
                <w:rFonts w:ascii="Times New Roman" w:eastAsia="宋体"/>
                <w:color w:val="auto"/>
                <w:sz w:val="21"/>
                <w:szCs w:val="21"/>
              </w:rPr>
            </w:pPr>
          </w:p>
        </w:tc>
        <w:tc>
          <w:tcPr>
            <w:tcW w:w="1515" w:type="dxa"/>
            <w:tcBorders>
              <w:tl2br w:val="nil"/>
              <w:tr2bl w:val="nil"/>
            </w:tcBorders>
            <w:vAlign w:val="center"/>
          </w:tcPr>
          <w:p>
            <w:pPr>
              <w:pStyle w:val="373"/>
              <w:rPr>
                <w:color w:val="auto"/>
              </w:rPr>
            </w:pPr>
            <w:r>
              <w:rPr>
                <w:color w:val="auto"/>
              </w:rPr>
              <w:t>1.5mg/m</w:t>
            </w:r>
            <w:r>
              <w:rPr>
                <w:color w:val="auto"/>
                <w:vertAlign w:val="superscript"/>
              </w:rPr>
              <w:t>3</w:t>
            </w:r>
          </w:p>
        </w:tc>
        <w:tc>
          <w:tcPr>
            <w:tcW w:w="4814" w:type="dxa"/>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《恶臭污染物排放标准》（GB14554-93</w:t>
            </w:r>
            <w:r>
              <w:rPr>
                <w:rFonts w:hint="eastAsia"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05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H</w:t>
            </w:r>
            <w:r>
              <w:rPr>
                <w:rFonts w:ascii="Times New Roman" w:eastAsia="宋体"/>
                <w:color w:val="auto"/>
                <w:sz w:val="21"/>
                <w:szCs w:val="21"/>
                <w:vertAlign w:val="subscript"/>
              </w:rPr>
              <w:t>2</w:t>
            </w:r>
            <w:r>
              <w:rPr>
                <w:rFonts w:ascii="Times New Roman" w:eastAsia="宋体"/>
                <w:color w:val="auto"/>
                <w:sz w:val="21"/>
                <w:szCs w:val="21"/>
              </w:rPr>
              <w:t>S</w:t>
            </w:r>
          </w:p>
        </w:tc>
        <w:tc>
          <w:tcPr>
            <w:tcW w:w="1275" w:type="dxa"/>
            <w:vMerge w:val="continue"/>
            <w:tcBorders>
              <w:tl2br w:val="nil"/>
              <w:tr2bl w:val="nil"/>
            </w:tcBorders>
            <w:vAlign w:val="center"/>
          </w:tcPr>
          <w:p>
            <w:pPr>
              <w:snapToGrid w:val="0"/>
              <w:jc w:val="center"/>
              <w:rPr>
                <w:rFonts w:ascii="Times New Roman" w:eastAsia="宋体"/>
                <w:color w:val="auto"/>
                <w:sz w:val="21"/>
                <w:szCs w:val="21"/>
              </w:rPr>
            </w:pPr>
          </w:p>
        </w:tc>
        <w:tc>
          <w:tcPr>
            <w:tcW w:w="1515" w:type="dxa"/>
            <w:tcBorders>
              <w:tl2br w:val="nil"/>
              <w:tr2bl w:val="nil"/>
            </w:tcBorders>
            <w:vAlign w:val="center"/>
          </w:tcPr>
          <w:p>
            <w:pPr>
              <w:pStyle w:val="373"/>
              <w:rPr>
                <w:color w:val="auto"/>
              </w:rPr>
            </w:pPr>
            <w:r>
              <w:rPr>
                <w:color w:val="auto"/>
              </w:rPr>
              <w:t>0.06mg/m</w:t>
            </w:r>
            <w:r>
              <w:rPr>
                <w:color w:val="auto"/>
                <w:vertAlign w:val="superscript"/>
              </w:rPr>
              <w:t>3</w:t>
            </w:r>
          </w:p>
        </w:tc>
        <w:tc>
          <w:tcPr>
            <w:tcW w:w="4814" w:type="dxa"/>
            <w:vMerge w:val="continue"/>
            <w:tcBorders>
              <w:tl2br w:val="nil"/>
              <w:tr2bl w:val="nil"/>
            </w:tcBorders>
            <w:vAlign w:val="center"/>
          </w:tcPr>
          <w:p>
            <w:pPr>
              <w:snapToGrid w:val="0"/>
              <w:jc w:val="center"/>
              <w:rPr>
                <w:rFonts w:ascii="Times New Roman" w:eastAsia="宋体"/>
                <w:color w:val="auto"/>
                <w:sz w:val="21"/>
                <w:szCs w:val="21"/>
              </w:rPr>
            </w:pPr>
          </w:p>
        </w:tc>
      </w:tr>
      <w:bookmarkEnd w:id="107"/>
    </w:tbl>
    <w:p>
      <w:pPr>
        <w:spacing w:line="360" w:lineRule="auto"/>
        <w:ind w:firstLine="482"/>
        <w:rPr>
          <w:rFonts w:ascii="Times New Roman" w:eastAsia="宋体"/>
          <w:color w:val="auto"/>
        </w:rPr>
      </w:pPr>
      <w:r>
        <w:rPr>
          <w:rFonts w:ascii="Times New Roman" w:eastAsia="宋体"/>
          <w:color w:val="auto"/>
        </w:rPr>
        <w:t>②</w:t>
      </w:r>
      <w:r>
        <w:rPr>
          <w:rFonts w:hint="eastAsia" w:ascii="Times New Roman" w:eastAsia="宋体"/>
          <w:color w:val="auto"/>
        </w:rPr>
        <w:t>生物质成型燃料锅炉</w:t>
      </w:r>
      <w:r>
        <w:rPr>
          <w:rFonts w:ascii="Times New Roman" w:eastAsia="宋体"/>
          <w:color w:val="auto"/>
        </w:rPr>
        <w:t>废气</w:t>
      </w:r>
    </w:p>
    <w:p>
      <w:pPr>
        <w:spacing w:line="360" w:lineRule="auto"/>
        <w:ind w:firstLine="484" w:firstLineChars="200"/>
        <w:rPr>
          <w:rFonts w:ascii="Times New Roman" w:eastAsia="宋体"/>
          <w:color w:val="auto"/>
        </w:rPr>
      </w:pPr>
      <w:r>
        <w:rPr>
          <w:rFonts w:ascii="Times New Roman" w:eastAsia="宋体"/>
          <w:color w:val="auto"/>
        </w:rPr>
        <w:t>项目</w:t>
      </w:r>
      <w:r>
        <w:rPr>
          <w:rFonts w:hint="eastAsia" w:ascii="Times New Roman" w:eastAsia="宋体"/>
          <w:color w:val="auto"/>
        </w:rPr>
        <w:t>成型燃料生物质锅炉烟气</w:t>
      </w:r>
      <w:r>
        <w:rPr>
          <w:rFonts w:ascii="Times New Roman" w:eastAsia="宋体"/>
          <w:color w:val="auto"/>
        </w:rPr>
        <w:t>执行《锅炉大气污染物排放标准》（GB13271-2014）表</w:t>
      </w:r>
      <w:r>
        <w:rPr>
          <w:rFonts w:hint="eastAsia" w:ascii="Times New Roman" w:eastAsia="宋体"/>
          <w:color w:val="auto"/>
        </w:rPr>
        <w:t>3</w:t>
      </w:r>
      <w:r>
        <w:rPr>
          <w:rFonts w:ascii="Times New Roman" w:eastAsia="宋体"/>
          <w:color w:val="auto"/>
        </w:rPr>
        <w:t>大气污染物特别排放限值中燃煤锅炉的标准，见表</w:t>
      </w:r>
      <w:r>
        <w:rPr>
          <w:rFonts w:hint="eastAsia" w:ascii="Times New Roman" w:eastAsia="宋体"/>
          <w:color w:val="auto"/>
        </w:rPr>
        <w:t>2.6-10</w:t>
      </w:r>
      <w:r>
        <w:rPr>
          <w:rFonts w:ascii="Times New Roman" w:eastAsia="宋体"/>
          <w:color w:val="auto"/>
        </w:rPr>
        <w:t>。</w:t>
      </w:r>
    </w:p>
    <w:p>
      <w:pPr>
        <w:pStyle w:val="17"/>
        <w:spacing w:beforeLines="50" w:line="0" w:lineRule="atLeast"/>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rPr>
        <w:t>2.6-10生物质成型燃料锅炉</w:t>
      </w:r>
      <w:r>
        <w:rPr>
          <w:rFonts w:ascii="Times New Roman" w:hAnsi="Times New Roman" w:eastAsia="宋体" w:cs="Times New Roman"/>
          <w:b/>
          <w:bCs/>
          <w:color w:val="auto"/>
          <w:sz w:val="21"/>
          <w:szCs w:val="21"/>
        </w:rPr>
        <w:t>大气污染物排放标准单位：mg/m</w:t>
      </w:r>
      <w:r>
        <w:rPr>
          <w:rFonts w:ascii="Times New Roman" w:hAnsi="Times New Roman" w:eastAsia="宋体" w:cs="Times New Roman"/>
          <w:b/>
          <w:bCs/>
          <w:color w:val="auto"/>
          <w:sz w:val="21"/>
          <w:szCs w:val="21"/>
          <w:vertAlign w:val="superscript"/>
        </w:rPr>
        <w:t>3</w:t>
      </w:r>
    </w:p>
    <w:tbl>
      <w:tblPr>
        <w:tblStyle w:val="47"/>
        <w:tblW w:w="86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97"/>
        <w:gridCol w:w="1150"/>
        <w:gridCol w:w="1391"/>
        <w:gridCol w:w="1570"/>
        <w:gridCol w:w="28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97" w:type="dxa"/>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污染物项目</w:t>
            </w:r>
          </w:p>
        </w:tc>
        <w:tc>
          <w:tcPr>
            <w:tcW w:w="1150" w:type="dxa"/>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限值</w:t>
            </w:r>
          </w:p>
        </w:tc>
        <w:tc>
          <w:tcPr>
            <w:tcW w:w="1391" w:type="dxa"/>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排气筒高度（m）</w:t>
            </w:r>
          </w:p>
        </w:tc>
        <w:tc>
          <w:tcPr>
            <w:tcW w:w="1570" w:type="dxa"/>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污染物排放</w:t>
            </w:r>
          </w:p>
          <w:p>
            <w:pPr>
              <w:snapToGrid w:val="0"/>
              <w:jc w:val="center"/>
              <w:rPr>
                <w:rFonts w:ascii="Times New Roman" w:eastAsia="宋体"/>
                <w:b/>
                <w:bCs/>
                <w:color w:val="auto"/>
                <w:sz w:val="21"/>
                <w:szCs w:val="21"/>
              </w:rPr>
            </w:pPr>
            <w:r>
              <w:rPr>
                <w:rFonts w:ascii="Times New Roman" w:eastAsia="宋体"/>
                <w:b/>
                <w:bCs/>
                <w:color w:val="auto"/>
                <w:sz w:val="21"/>
                <w:szCs w:val="21"/>
              </w:rPr>
              <w:t>监控位置</w:t>
            </w:r>
          </w:p>
        </w:tc>
        <w:tc>
          <w:tcPr>
            <w:tcW w:w="2809" w:type="dxa"/>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697"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颗粒物</w:t>
            </w:r>
          </w:p>
        </w:tc>
        <w:tc>
          <w:tcPr>
            <w:tcW w:w="1150"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r>
              <w:rPr>
                <w:rFonts w:ascii="Times New Roman" w:eastAsia="宋体"/>
                <w:color w:val="auto"/>
                <w:sz w:val="21"/>
                <w:szCs w:val="21"/>
              </w:rPr>
              <w:t>0</w:t>
            </w:r>
          </w:p>
        </w:tc>
        <w:tc>
          <w:tcPr>
            <w:tcW w:w="1391" w:type="dxa"/>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r>
              <w:rPr>
                <w:rFonts w:ascii="Times New Roman" w:eastAsia="宋体"/>
                <w:color w:val="auto"/>
                <w:sz w:val="21"/>
                <w:szCs w:val="21"/>
              </w:rPr>
              <w:t>m</w:t>
            </w:r>
          </w:p>
        </w:tc>
        <w:tc>
          <w:tcPr>
            <w:tcW w:w="1570" w:type="dxa"/>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排气筒</w:t>
            </w:r>
            <w:r>
              <w:rPr>
                <w:rFonts w:ascii="Times New Roman" w:eastAsia="宋体"/>
                <w:color w:val="auto"/>
                <w:sz w:val="21"/>
                <w:szCs w:val="21"/>
              </w:rPr>
              <w:t>或烟道</w:t>
            </w:r>
          </w:p>
        </w:tc>
        <w:tc>
          <w:tcPr>
            <w:tcW w:w="2809" w:type="dxa"/>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《锅炉大气污染物排放标准》（GB13271-2014）</w:t>
            </w:r>
            <w:r>
              <w:rPr>
                <w:rFonts w:hint="eastAsia" w:ascii="Times New Roman" w:eastAsia="宋体"/>
                <w:color w:val="auto"/>
                <w:sz w:val="21"/>
                <w:szCs w:val="21"/>
              </w:rPr>
              <w:t>表3大气污染物特别排放限值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697"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SO</w:t>
            </w:r>
            <w:r>
              <w:rPr>
                <w:rFonts w:ascii="Times New Roman" w:eastAsia="宋体"/>
                <w:color w:val="auto"/>
                <w:sz w:val="21"/>
                <w:szCs w:val="21"/>
                <w:vertAlign w:val="subscript"/>
              </w:rPr>
              <w:t>2</w:t>
            </w:r>
          </w:p>
        </w:tc>
        <w:tc>
          <w:tcPr>
            <w:tcW w:w="1150"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r>
              <w:rPr>
                <w:rFonts w:ascii="Times New Roman" w:eastAsia="宋体"/>
                <w:color w:val="auto"/>
                <w:sz w:val="21"/>
                <w:szCs w:val="21"/>
              </w:rPr>
              <w:t>00</w:t>
            </w:r>
          </w:p>
        </w:tc>
        <w:tc>
          <w:tcPr>
            <w:tcW w:w="1391" w:type="dxa"/>
            <w:vMerge w:val="continue"/>
            <w:tcBorders>
              <w:tl2br w:val="nil"/>
              <w:tr2bl w:val="nil"/>
            </w:tcBorders>
            <w:vAlign w:val="center"/>
          </w:tcPr>
          <w:p>
            <w:pPr>
              <w:snapToGrid w:val="0"/>
              <w:jc w:val="center"/>
              <w:rPr>
                <w:rFonts w:ascii="Times New Roman" w:eastAsia="宋体"/>
                <w:color w:val="auto"/>
                <w:sz w:val="21"/>
                <w:szCs w:val="21"/>
              </w:rPr>
            </w:pPr>
          </w:p>
        </w:tc>
        <w:tc>
          <w:tcPr>
            <w:tcW w:w="1570" w:type="dxa"/>
            <w:vMerge w:val="continue"/>
            <w:tcBorders>
              <w:tl2br w:val="nil"/>
              <w:tr2bl w:val="nil"/>
            </w:tcBorders>
            <w:vAlign w:val="center"/>
          </w:tcPr>
          <w:p>
            <w:pPr>
              <w:snapToGrid w:val="0"/>
              <w:jc w:val="center"/>
              <w:rPr>
                <w:rFonts w:ascii="Times New Roman" w:eastAsia="宋体"/>
                <w:color w:val="auto"/>
                <w:sz w:val="21"/>
                <w:szCs w:val="21"/>
              </w:rPr>
            </w:pPr>
          </w:p>
        </w:tc>
        <w:tc>
          <w:tcPr>
            <w:tcW w:w="2809" w:type="dxa"/>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697"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NO</w:t>
            </w:r>
            <w:r>
              <w:rPr>
                <w:rFonts w:ascii="Times New Roman" w:eastAsia="宋体"/>
                <w:color w:val="auto"/>
                <w:sz w:val="21"/>
                <w:szCs w:val="21"/>
                <w:vertAlign w:val="subscript"/>
              </w:rPr>
              <w:t>x</w:t>
            </w:r>
          </w:p>
        </w:tc>
        <w:tc>
          <w:tcPr>
            <w:tcW w:w="1150"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r>
              <w:rPr>
                <w:rFonts w:ascii="Times New Roman" w:eastAsia="宋体"/>
                <w:color w:val="auto"/>
                <w:sz w:val="21"/>
                <w:szCs w:val="21"/>
              </w:rPr>
              <w:t>00</w:t>
            </w:r>
          </w:p>
        </w:tc>
        <w:tc>
          <w:tcPr>
            <w:tcW w:w="1391" w:type="dxa"/>
            <w:vMerge w:val="continue"/>
            <w:tcBorders>
              <w:tl2br w:val="nil"/>
              <w:tr2bl w:val="nil"/>
            </w:tcBorders>
            <w:vAlign w:val="center"/>
          </w:tcPr>
          <w:p>
            <w:pPr>
              <w:snapToGrid w:val="0"/>
              <w:jc w:val="center"/>
              <w:rPr>
                <w:rFonts w:ascii="Times New Roman" w:eastAsia="宋体"/>
                <w:color w:val="auto"/>
                <w:sz w:val="21"/>
                <w:szCs w:val="21"/>
              </w:rPr>
            </w:pPr>
          </w:p>
        </w:tc>
        <w:tc>
          <w:tcPr>
            <w:tcW w:w="1570" w:type="dxa"/>
            <w:vMerge w:val="continue"/>
            <w:tcBorders>
              <w:tl2br w:val="nil"/>
              <w:tr2bl w:val="nil"/>
            </w:tcBorders>
            <w:vAlign w:val="center"/>
          </w:tcPr>
          <w:p>
            <w:pPr>
              <w:snapToGrid w:val="0"/>
              <w:jc w:val="center"/>
              <w:rPr>
                <w:rFonts w:ascii="Times New Roman" w:eastAsia="宋体"/>
                <w:color w:val="auto"/>
                <w:sz w:val="21"/>
                <w:szCs w:val="21"/>
              </w:rPr>
            </w:pPr>
          </w:p>
        </w:tc>
        <w:tc>
          <w:tcPr>
            <w:tcW w:w="2809" w:type="dxa"/>
            <w:vMerge w:val="continue"/>
            <w:tcBorders>
              <w:tl2br w:val="nil"/>
              <w:tr2bl w:val="nil"/>
            </w:tcBorders>
            <w:vAlign w:val="center"/>
          </w:tcPr>
          <w:p>
            <w:pPr>
              <w:snapToGrid w:val="0"/>
              <w:jc w:val="center"/>
              <w:rPr>
                <w:rFonts w:ascii="Times New Roman" w:eastAsia="宋体"/>
                <w:color w:val="auto"/>
                <w:sz w:val="21"/>
                <w:szCs w:val="21"/>
              </w:rPr>
            </w:pPr>
          </w:p>
        </w:tc>
      </w:tr>
    </w:tbl>
    <w:p>
      <w:pPr>
        <w:spacing w:line="360" w:lineRule="auto"/>
        <w:ind w:firstLine="482"/>
        <w:rPr>
          <w:rFonts w:ascii="Times New Roman" w:eastAsia="宋体"/>
          <w:color w:val="auto"/>
        </w:rPr>
      </w:pPr>
      <w:r>
        <w:rPr>
          <w:rFonts w:ascii="Times New Roman" w:eastAsia="宋体"/>
          <w:color w:val="auto"/>
        </w:rPr>
        <w:t>③食堂油烟</w:t>
      </w:r>
    </w:p>
    <w:p>
      <w:pPr>
        <w:spacing w:line="360" w:lineRule="auto"/>
        <w:ind w:firstLine="484" w:firstLineChars="200"/>
        <w:rPr>
          <w:rFonts w:ascii="Times New Roman" w:eastAsia="宋体"/>
          <w:color w:val="auto"/>
        </w:rPr>
      </w:pPr>
      <w:r>
        <w:rPr>
          <w:rFonts w:hint="eastAsia" w:ascii="Times New Roman" w:eastAsia="宋体"/>
          <w:color w:val="auto"/>
        </w:rPr>
        <w:t>本</w:t>
      </w:r>
      <w:r>
        <w:rPr>
          <w:rFonts w:ascii="Times New Roman" w:eastAsia="宋体"/>
          <w:color w:val="auto"/>
        </w:rPr>
        <w:t>项目食堂设置</w:t>
      </w:r>
      <w:r>
        <w:rPr>
          <w:rFonts w:hint="eastAsia" w:ascii="Times New Roman" w:eastAsia="宋体"/>
          <w:color w:val="auto"/>
        </w:rPr>
        <w:t>1</w:t>
      </w:r>
      <w:r>
        <w:rPr>
          <w:rFonts w:ascii="Times New Roman" w:eastAsia="宋体"/>
          <w:color w:val="auto"/>
        </w:rPr>
        <w:t>个灶头，属于</w:t>
      </w:r>
      <w:r>
        <w:rPr>
          <w:rFonts w:hint="eastAsia" w:ascii="Times New Roman" w:eastAsia="宋体"/>
          <w:color w:val="auto"/>
        </w:rPr>
        <w:t>小</w:t>
      </w:r>
      <w:r>
        <w:rPr>
          <w:rFonts w:ascii="Times New Roman" w:eastAsia="宋体"/>
          <w:color w:val="auto"/>
        </w:rPr>
        <w:t>型，外排油烟</w:t>
      </w:r>
      <w:r>
        <w:rPr>
          <w:rFonts w:hint="eastAsia" w:ascii="Times New Roman" w:eastAsia="宋体"/>
          <w:color w:val="auto"/>
        </w:rPr>
        <w:t>废气</w:t>
      </w:r>
      <w:r>
        <w:rPr>
          <w:rFonts w:ascii="Times New Roman" w:eastAsia="宋体"/>
          <w:color w:val="auto"/>
        </w:rPr>
        <w:t>执行《饮食业油烟排放标准（试行）》（GB18483-2001）中</w:t>
      </w:r>
      <w:r>
        <w:rPr>
          <w:rFonts w:hint="eastAsia" w:ascii="Times New Roman" w:eastAsia="宋体"/>
          <w:color w:val="auto"/>
        </w:rPr>
        <w:t>小型</w:t>
      </w:r>
      <w:r>
        <w:rPr>
          <w:rFonts w:ascii="Times New Roman" w:eastAsia="宋体"/>
          <w:color w:val="auto"/>
        </w:rPr>
        <w:t>规定的油烟最高允许排放浓度2.0mg/m</w:t>
      </w:r>
      <w:r>
        <w:rPr>
          <w:rFonts w:ascii="Times New Roman" w:eastAsia="宋体"/>
          <w:color w:val="auto"/>
          <w:vertAlign w:val="superscript"/>
        </w:rPr>
        <w:t>3</w:t>
      </w:r>
      <w:r>
        <w:rPr>
          <w:rFonts w:ascii="Times New Roman" w:eastAsia="宋体"/>
          <w:color w:val="auto"/>
        </w:rPr>
        <w:t>的限值要求，详见表</w:t>
      </w:r>
      <w:r>
        <w:rPr>
          <w:rFonts w:hint="eastAsia" w:ascii="Times New Roman" w:eastAsia="宋体"/>
          <w:color w:val="auto"/>
        </w:rPr>
        <w:t>2.6-11</w:t>
      </w:r>
      <w:r>
        <w:rPr>
          <w:rFonts w:ascii="Times New Roman" w:eastAsia="宋体"/>
          <w:color w:val="auto"/>
        </w:rPr>
        <w:t>。</w:t>
      </w:r>
    </w:p>
    <w:p>
      <w:pPr>
        <w:pStyle w:val="17"/>
        <w:spacing w:beforeLines="50" w:line="0" w:lineRule="atLeast"/>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rPr>
        <w:t>2.6-11</w:t>
      </w:r>
      <w:r>
        <w:rPr>
          <w:rFonts w:ascii="Times New Roman" w:hAnsi="Times New Roman" w:eastAsia="宋体" w:cs="Times New Roman"/>
          <w:b/>
          <w:bCs/>
          <w:color w:val="auto"/>
          <w:sz w:val="21"/>
          <w:szCs w:val="21"/>
        </w:rPr>
        <w:t>油烟最高允许排放浓度和油烟净化设施最低去除效率</w:t>
      </w:r>
    </w:p>
    <w:tbl>
      <w:tblPr>
        <w:tblStyle w:val="47"/>
        <w:tblW w:w="849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25"/>
        <w:gridCol w:w="1857"/>
        <w:gridCol w:w="1857"/>
        <w:gridCol w:w="18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25" w:type="dxa"/>
            <w:tcBorders>
              <w:tl2br w:val="nil"/>
              <w:tr2bl w:val="nil"/>
            </w:tcBorders>
            <w:vAlign w:val="center"/>
          </w:tcPr>
          <w:p>
            <w:pPr>
              <w:pStyle w:val="247"/>
              <w:jc w:val="center"/>
              <w:rPr>
                <w:rFonts w:ascii="Times New Roman" w:eastAsia="宋体"/>
                <w:b/>
                <w:bCs/>
                <w:color w:val="auto"/>
                <w:sz w:val="21"/>
                <w:szCs w:val="21"/>
              </w:rPr>
            </w:pPr>
            <w:r>
              <w:rPr>
                <w:rFonts w:ascii="Times New Roman" w:eastAsia="宋体"/>
                <w:b/>
                <w:bCs/>
                <w:color w:val="auto"/>
                <w:sz w:val="21"/>
                <w:szCs w:val="21"/>
              </w:rPr>
              <w:t>规模</w:t>
            </w:r>
          </w:p>
        </w:tc>
        <w:tc>
          <w:tcPr>
            <w:tcW w:w="1857" w:type="dxa"/>
            <w:tcBorders>
              <w:tl2br w:val="nil"/>
              <w:tr2bl w:val="nil"/>
            </w:tcBorders>
            <w:vAlign w:val="center"/>
          </w:tcPr>
          <w:p>
            <w:pPr>
              <w:pStyle w:val="247"/>
              <w:jc w:val="center"/>
              <w:rPr>
                <w:rFonts w:ascii="Times New Roman" w:eastAsia="宋体"/>
                <w:b/>
                <w:bCs/>
                <w:color w:val="auto"/>
                <w:sz w:val="21"/>
                <w:szCs w:val="21"/>
              </w:rPr>
            </w:pPr>
            <w:r>
              <w:rPr>
                <w:rFonts w:ascii="Times New Roman" w:eastAsia="宋体"/>
                <w:b/>
                <w:bCs/>
                <w:color w:val="auto"/>
                <w:sz w:val="21"/>
                <w:szCs w:val="21"/>
              </w:rPr>
              <w:t>小型</w:t>
            </w:r>
          </w:p>
        </w:tc>
        <w:tc>
          <w:tcPr>
            <w:tcW w:w="1857" w:type="dxa"/>
            <w:tcBorders>
              <w:tl2br w:val="nil"/>
              <w:tr2bl w:val="nil"/>
            </w:tcBorders>
            <w:vAlign w:val="center"/>
          </w:tcPr>
          <w:p>
            <w:pPr>
              <w:pStyle w:val="247"/>
              <w:jc w:val="center"/>
              <w:rPr>
                <w:rFonts w:ascii="Times New Roman" w:eastAsia="宋体"/>
                <w:b/>
                <w:bCs/>
                <w:color w:val="auto"/>
                <w:sz w:val="21"/>
                <w:szCs w:val="21"/>
              </w:rPr>
            </w:pPr>
            <w:r>
              <w:rPr>
                <w:rFonts w:ascii="Times New Roman" w:eastAsia="宋体"/>
                <w:b/>
                <w:bCs/>
                <w:color w:val="auto"/>
                <w:sz w:val="21"/>
                <w:szCs w:val="21"/>
              </w:rPr>
              <w:t>中型</w:t>
            </w:r>
          </w:p>
        </w:tc>
        <w:tc>
          <w:tcPr>
            <w:tcW w:w="1858" w:type="dxa"/>
            <w:tcBorders>
              <w:tl2br w:val="nil"/>
              <w:tr2bl w:val="nil"/>
            </w:tcBorders>
            <w:vAlign w:val="center"/>
          </w:tcPr>
          <w:p>
            <w:pPr>
              <w:pStyle w:val="247"/>
              <w:jc w:val="center"/>
              <w:rPr>
                <w:rFonts w:ascii="Times New Roman" w:eastAsia="宋体"/>
                <w:b/>
                <w:bCs/>
                <w:color w:val="auto"/>
                <w:sz w:val="21"/>
                <w:szCs w:val="21"/>
              </w:rPr>
            </w:pPr>
            <w:r>
              <w:rPr>
                <w:rFonts w:ascii="Times New Roman" w:eastAsia="宋体"/>
                <w:b/>
                <w:bCs/>
                <w:color w:val="auto"/>
                <w:sz w:val="21"/>
                <w:szCs w:val="21"/>
              </w:rPr>
              <w:t>大型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25" w:type="dxa"/>
            <w:tcBorders>
              <w:tl2br w:val="nil"/>
              <w:tr2bl w:val="nil"/>
            </w:tcBorders>
            <w:vAlign w:val="center"/>
          </w:tcPr>
          <w:p>
            <w:pPr>
              <w:pStyle w:val="247"/>
              <w:jc w:val="center"/>
              <w:rPr>
                <w:rFonts w:ascii="Times New Roman" w:eastAsia="宋体"/>
                <w:color w:val="auto"/>
                <w:sz w:val="21"/>
                <w:szCs w:val="21"/>
              </w:rPr>
            </w:pPr>
            <w:r>
              <w:rPr>
                <w:rFonts w:ascii="Times New Roman" w:eastAsia="宋体"/>
                <w:color w:val="auto"/>
                <w:sz w:val="21"/>
                <w:szCs w:val="21"/>
              </w:rPr>
              <w:t>最高允许排放浓度(mg/m</w:t>
            </w:r>
            <w:r>
              <w:rPr>
                <w:rFonts w:ascii="Times New Roman" w:eastAsia="宋体"/>
                <w:color w:val="auto"/>
                <w:sz w:val="21"/>
                <w:szCs w:val="21"/>
                <w:vertAlign w:val="superscript"/>
              </w:rPr>
              <w:t>3</w:t>
            </w:r>
            <w:r>
              <w:rPr>
                <w:rFonts w:ascii="Times New Roman" w:eastAsia="宋体"/>
                <w:color w:val="auto"/>
                <w:sz w:val="21"/>
                <w:szCs w:val="21"/>
              </w:rPr>
              <w:t>)</w:t>
            </w:r>
          </w:p>
        </w:tc>
        <w:tc>
          <w:tcPr>
            <w:tcW w:w="5572" w:type="dxa"/>
            <w:gridSpan w:val="3"/>
            <w:tcBorders>
              <w:tl2br w:val="nil"/>
              <w:tr2bl w:val="nil"/>
            </w:tcBorders>
            <w:vAlign w:val="center"/>
          </w:tcPr>
          <w:p>
            <w:pPr>
              <w:pStyle w:val="247"/>
              <w:jc w:val="center"/>
              <w:rPr>
                <w:rFonts w:ascii="Times New Roman" w:eastAsia="宋体"/>
                <w:color w:val="auto"/>
                <w:sz w:val="21"/>
                <w:szCs w:val="21"/>
              </w:rPr>
            </w:pPr>
            <w:r>
              <w:rPr>
                <w:rFonts w:ascii="Times New Roman" w:eastAsia="宋体"/>
                <w:color w:val="auto"/>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25" w:type="dxa"/>
            <w:tcBorders>
              <w:tl2br w:val="nil"/>
              <w:tr2bl w:val="nil"/>
            </w:tcBorders>
            <w:vAlign w:val="center"/>
          </w:tcPr>
          <w:p>
            <w:pPr>
              <w:pStyle w:val="247"/>
              <w:jc w:val="center"/>
              <w:rPr>
                <w:rFonts w:ascii="Times New Roman" w:eastAsia="宋体"/>
                <w:color w:val="auto"/>
                <w:sz w:val="21"/>
                <w:szCs w:val="21"/>
              </w:rPr>
            </w:pPr>
            <w:r>
              <w:rPr>
                <w:rFonts w:ascii="Times New Roman" w:eastAsia="宋体"/>
                <w:color w:val="auto"/>
                <w:sz w:val="21"/>
                <w:szCs w:val="21"/>
              </w:rPr>
              <w:t>净化设施最低去除率（%）</w:t>
            </w:r>
          </w:p>
        </w:tc>
        <w:tc>
          <w:tcPr>
            <w:tcW w:w="1857" w:type="dxa"/>
            <w:tcBorders>
              <w:tl2br w:val="nil"/>
              <w:tr2bl w:val="nil"/>
            </w:tcBorders>
            <w:vAlign w:val="center"/>
          </w:tcPr>
          <w:p>
            <w:pPr>
              <w:pStyle w:val="247"/>
              <w:jc w:val="center"/>
              <w:rPr>
                <w:rFonts w:ascii="Times New Roman" w:eastAsia="宋体"/>
                <w:color w:val="auto"/>
                <w:sz w:val="21"/>
                <w:szCs w:val="21"/>
              </w:rPr>
            </w:pPr>
            <w:r>
              <w:rPr>
                <w:rFonts w:ascii="Times New Roman" w:eastAsia="宋体"/>
                <w:color w:val="auto"/>
                <w:sz w:val="21"/>
                <w:szCs w:val="21"/>
              </w:rPr>
              <w:t>60</w:t>
            </w:r>
          </w:p>
        </w:tc>
        <w:tc>
          <w:tcPr>
            <w:tcW w:w="1857" w:type="dxa"/>
            <w:tcBorders>
              <w:tl2br w:val="nil"/>
              <w:tr2bl w:val="nil"/>
            </w:tcBorders>
            <w:vAlign w:val="center"/>
          </w:tcPr>
          <w:p>
            <w:pPr>
              <w:pStyle w:val="247"/>
              <w:jc w:val="center"/>
              <w:rPr>
                <w:rFonts w:ascii="Times New Roman" w:eastAsia="宋体"/>
                <w:color w:val="auto"/>
                <w:sz w:val="21"/>
                <w:szCs w:val="21"/>
              </w:rPr>
            </w:pPr>
            <w:r>
              <w:rPr>
                <w:rFonts w:ascii="Times New Roman" w:eastAsia="宋体"/>
                <w:color w:val="auto"/>
                <w:sz w:val="21"/>
                <w:szCs w:val="21"/>
              </w:rPr>
              <w:t>75</w:t>
            </w:r>
          </w:p>
        </w:tc>
        <w:tc>
          <w:tcPr>
            <w:tcW w:w="1858" w:type="dxa"/>
            <w:tcBorders>
              <w:tl2br w:val="nil"/>
              <w:tr2bl w:val="nil"/>
            </w:tcBorders>
            <w:vAlign w:val="center"/>
          </w:tcPr>
          <w:p>
            <w:pPr>
              <w:pStyle w:val="247"/>
              <w:jc w:val="center"/>
              <w:rPr>
                <w:rFonts w:ascii="Times New Roman" w:eastAsia="宋体"/>
                <w:color w:val="auto"/>
                <w:sz w:val="21"/>
                <w:szCs w:val="21"/>
              </w:rPr>
            </w:pPr>
            <w:r>
              <w:rPr>
                <w:rFonts w:ascii="Times New Roman" w:eastAsia="宋体"/>
                <w:color w:val="auto"/>
                <w:sz w:val="21"/>
                <w:szCs w:val="21"/>
              </w:rPr>
              <w:t>85</w:t>
            </w:r>
          </w:p>
        </w:tc>
      </w:tr>
    </w:tbl>
    <w:p>
      <w:pPr>
        <w:spacing w:line="360" w:lineRule="auto"/>
        <w:ind w:firstLine="482"/>
        <w:rPr>
          <w:rFonts w:ascii="Times New Roman" w:eastAsia="宋体"/>
          <w:color w:val="auto"/>
        </w:rPr>
      </w:pPr>
      <w:bookmarkStart w:id="108" w:name="_Toc22927"/>
      <w:bookmarkStart w:id="109" w:name="_Toc22912"/>
      <w:r>
        <w:rPr>
          <w:rFonts w:ascii="Times New Roman" w:eastAsia="宋体"/>
          <w:color w:val="auto"/>
        </w:rPr>
        <w:t>（2）废水</w:t>
      </w:r>
      <w:bookmarkEnd w:id="108"/>
      <w:bookmarkEnd w:id="109"/>
    </w:p>
    <w:p>
      <w:pPr>
        <w:pStyle w:val="14"/>
        <w:ind w:firstLine="486"/>
        <w:rPr>
          <w:rFonts w:ascii="Times New Roman" w:eastAsia="宋体"/>
          <w:color w:val="auto"/>
        </w:rPr>
      </w:pPr>
      <w:r>
        <w:rPr>
          <w:rFonts w:hint="eastAsia" w:ascii="Times New Roman" w:eastAsia="宋体"/>
          <w:color w:val="auto"/>
        </w:rPr>
        <w:t>本</w:t>
      </w:r>
      <w:r>
        <w:rPr>
          <w:rFonts w:ascii="Times New Roman" w:eastAsia="宋体"/>
          <w:color w:val="auto"/>
        </w:rPr>
        <w:t>项目鸡粪采用干清粪</w:t>
      </w:r>
      <w:r>
        <w:rPr>
          <w:rFonts w:hint="eastAsia" w:ascii="Times New Roman" w:eastAsia="宋体"/>
          <w:color w:val="auto"/>
        </w:rPr>
        <w:t>，生产废水为冲洗废水和除臭废水，</w:t>
      </w:r>
      <w:r>
        <w:rPr>
          <w:rFonts w:ascii="Times New Roman" w:eastAsia="宋体"/>
          <w:color w:val="auto"/>
        </w:rPr>
        <w:t>生活污水</w:t>
      </w:r>
      <w:r>
        <w:rPr>
          <w:rFonts w:hint="eastAsia" w:ascii="Times New Roman" w:eastAsia="宋体"/>
          <w:color w:val="auto"/>
        </w:rPr>
        <w:t>经化粪池预处理后与生产废水暂存于厂内沉淀池，后委托湖南春雨生物科技有限公司定期用密闭槽罐车运往公司新华养殖场污水处理站集中处理，达标后用于</w:t>
      </w:r>
      <w:r>
        <w:rPr>
          <w:rFonts w:hint="eastAsia" w:ascii="Times New Roman" w:eastAsia="宋体"/>
          <w:color w:val="auto"/>
          <w:lang w:eastAsia="zh-CN"/>
        </w:rPr>
        <w:t>农林施肥</w:t>
      </w:r>
      <w:r>
        <w:rPr>
          <w:rFonts w:ascii="Times New Roman" w:eastAsia="宋体"/>
          <w:color w:val="auto"/>
        </w:rPr>
        <w:t>。</w:t>
      </w:r>
      <w:bookmarkStart w:id="110" w:name="_Ref485733239"/>
    </w:p>
    <w:bookmarkEnd w:id="110"/>
    <w:p>
      <w:pPr>
        <w:pStyle w:val="14"/>
        <w:ind w:firstLine="486"/>
        <w:rPr>
          <w:rFonts w:ascii="Times New Roman" w:eastAsia="宋体"/>
          <w:color w:val="auto"/>
          <w:lang w:val="zh-CN"/>
        </w:rPr>
      </w:pPr>
      <w:r>
        <w:rPr>
          <w:rFonts w:hint="eastAsia" w:ascii="Times New Roman" w:eastAsia="宋体"/>
          <w:color w:val="auto"/>
          <w:lang w:val="zh-CN"/>
        </w:rPr>
        <w:t>根据《岳阳湘佳牧业有限公司新华养殖场建设项目》环境影响报告书及其批复内容可知，岳阳湘佳牧业有限公司新华养殖场建设项目污水处理站尾水水质执行《污水综合排放标准》（GB</w:t>
      </w:r>
      <w:r>
        <w:rPr>
          <w:rFonts w:hint="eastAsia" w:ascii="Times New Roman" w:eastAsia="宋体"/>
          <w:color w:val="auto"/>
        </w:rPr>
        <w:t>8978</w:t>
      </w:r>
      <w:r>
        <w:rPr>
          <w:rFonts w:hint="eastAsia" w:ascii="Times New Roman" w:eastAsia="宋体"/>
          <w:color w:val="auto"/>
          <w:lang w:val="zh-CN"/>
        </w:rPr>
        <w:t>-199</w:t>
      </w:r>
      <w:r>
        <w:rPr>
          <w:rFonts w:hint="eastAsia" w:ascii="Times New Roman" w:eastAsia="宋体"/>
          <w:color w:val="auto"/>
        </w:rPr>
        <w:t>6</w:t>
      </w:r>
      <w:r>
        <w:rPr>
          <w:rFonts w:hint="eastAsia" w:ascii="Times New Roman" w:eastAsia="宋体"/>
          <w:color w:val="auto"/>
          <w:lang w:val="zh-CN"/>
        </w:rPr>
        <w:t>）表</w:t>
      </w:r>
      <w:r>
        <w:rPr>
          <w:rFonts w:hint="eastAsia" w:ascii="Times New Roman" w:eastAsia="宋体"/>
          <w:color w:val="auto"/>
        </w:rPr>
        <w:t>4</w:t>
      </w:r>
      <w:r>
        <w:rPr>
          <w:rFonts w:hint="eastAsia" w:ascii="Times New Roman" w:eastAsia="宋体"/>
          <w:color w:val="auto"/>
          <w:lang w:val="zh-CN"/>
        </w:rPr>
        <w:t>中的一级标准后</w:t>
      </w:r>
      <w:r>
        <w:rPr>
          <w:rFonts w:hint="eastAsia" w:ascii="Times New Roman" w:hAnsi="Times New Roman" w:eastAsia="宋体"/>
          <w:color w:val="auto"/>
          <w:lang w:val="zh-CN"/>
        </w:rPr>
        <w:t>入排东侧</w:t>
      </w:r>
      <w:r>
        <w:rPr>
          <w:rFonts w:hint="eastAsia" w:ascii="Times New Roman" w:eastAsia="宋体"/>
          <w:color w:val="auto"/>
          <w:lang w:val="en-US" w:eastAsia="zh-CN"/>
        </w:rPr>
        <w:t>已硬化</w:t>
      </w:r>
      <w:r>
        <w:rPr>
          <w:rFonts w:hint="eastAsia" w:ascii="Times New Roman" w:hAnsi="Times New Roman" w:eastAsia="宋体"/>
          <w:color w:val="auto"/>
          <w:lang w:val="zh-CN"/>
        </w:rPr>
        <w:t>水塘</w:t>
      </w:r>
      <w:r>
        <w:rPr>
          <w:rFonts w:hint="eastAsia" w:ascii="Times New Roman" w:eastAsia="宋体"/>
          <w:color w:val="auto"/>
          <w:lang w:val="zh-CN"/>
        </w:rPr>
        <w:t>，经过进一步沉淀后用于周围</w:t>
      </w:r>
      <w:r>
        <w:rPr>
          <w:rFonts w:hint="eastAsia" w:ascii="Times New Roman" w:eastAsia="宋体"/>
          <w:color w:val="auto"/>
          <w:lang w:val="en-US" w:eastAsia="zh-CN"/>
        </w:rPr>
        <w:t>农林施肥</w:t>
      </w:r>
      <w:r>
        <w:rPr>
          <w:rFonts w:hint="eastAsia" w:ascii="Times New Roman" w:eastAsia="宋体"/>
          <w:color w:val="auto"/>
          <w:lang w:val="zh-CN"/>
        </w:rPr>
        <w:t>。</w:t>
      </w:r>
    </w:p>
    <w:p>
      <w:pPr>
        <w:pStyle w:val="422"/>
        <w:rPr>
          <w:rFonts w:eastAsia="宋体"/>
          <w:b/>
          <w:bCs/>
          <w:color w:val="auto"/>
          <w:kern w:val="2"/>
          <w:sz w:val="21"/>
          <w:szCs w:val="21"/>
        </w:rPr>
      </w:pPr>
      <w:r>
        <w:rPr>
          <w:rFonts w:eastAsia="宋体"/>
          <w:b/>
          <w:bCs/>
          <w:color w:val="auto"/>
          <w:kern w:val="2"/>
          <w:sz w:val="21"/>
          <w:szCs w:val="21"/>
        </w:rPr>
        <w:t>表</w:t>
      </w:r>
      <w:r>
        <w:rPr>
          <w:rFonts w:hint="eastAsia" w:eastAsia="宋体"/>
          <w:b/>
          <w:bCs/>
          <w:color w:val="auto"/>
          <w:kern w:val="2"/>
          <w:sz w:val="21"/>
          <w:szCs w:val="21"/>
        </w:rPr>
        <w:t>2.6-12废水处理后各污染物限值</w:t>
      </w:r>
      <w:r>
        <w:rPr>
          <w:rFonts w:eastAsia="宋体"/>
          <w:b/>
          <w:bCs/>
          <w:color w:val="auto"/>
          <w:kern w:val="2"/>
          <w:sz w:val="21"/>
          <w:szCs w:val="21"/>
        </w:rPr>
        <w:t>（mg/L，pH除外）</w:t>
      </w:r>
    </w:p>
    <w:tbl>
      <w:tblPr>
        <w:tblStyle w:val="47"/>
        <w:tblW w:w="839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01"/>
        <w:gridCol w:w="1916"/>
        <w:gridCol w:w="1474"/>
        <w:gridCol w:w="858"/>
        <w:gridCol w:w="1651"/>
        <w:gridCol w:w="16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01"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序号</w:t>
            </w:r>
          </w:p>
        </w:tc>
        <w:tc>
          <w:tcPr>
            <w:tcW w:w="1916"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项目</w:t>
            </w:r>
          </w:p>
        </w:tc>
        <w:tc>
          <w:tcPr>
            <w:tcW w:w="1474"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标准值</w:t>
            </w:r>
          </w:p>
        </w:tc>
        <w:tc>
          <w:tcPr>
            <w:tcW w:w="858"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序号</w:t>
            </w:r>
          </w:p>
        </w:tc>
        <w:tc>
          <w:tcPr>
            <w:tcW w:w="1651"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项目</w:t>
            </w:r>
          </w:p>
        </w:tc>
        <w:tc>
          <w:tcPr>
            <w:tcW w:w="1697"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标准值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801"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1</w:t>
            </w:r>
          </w:p>
        </w:tc>
        <w:tc>
          <w:tcPr>
            <w:tcW w:w="1916" w:type="dxa"/>
            <w:tcBorders>
              <w:tl2br w:val="nil"/>
              <w:tr2bl w:val="nil"/>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pH 值</w:t>
            </w:r>
          </w:p>
        </w:tc>
        <w:tc>
          <w:tcPr>
            <w:tcW w:w="1474"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6-9</w:t>
            </w:r>
          </w:p>
        </w:tc>
        <w:tc>
          <w:tcPr>
            <w:tcW w:w="858"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5</w:t>
            </w:r>
          </w:p>
        </w:tc>
        <w:tc>
          <w:tcPr>
            <w:tcW w:w="1651" w:type="dxa"/>
            <w:tcBorders>
              <w:tl2br w:val="nil"/>
              <w:tr2bl w:val="nil"/>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氨氮</w:t>
            </w:r>
          </w:p>
        </w:tc>
        <w:tc>
          <w:tcPr>
            <w:tcW w:w="1697"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801"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2</w:t>
            </w:r>
          </w:p>
        </w:tc>
        <w:tc>
          <w:tcPr>
            <w:tcW w:w="1916" w:type="dxa"/>
            <w:tcBorders>
              <w:tl2br w:val="nil"/>
              <w:tr2bl w:val="nil"/>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悬浮物</w:t>
            </w:r>
          </w:p>
        </w:tc>
        <w:tc>
          <w:tcPr>
            <w:tcW w:w="1474"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≤70</w:t>
            </w:r>
          </w:p>
        </w:tc>
        <w:tc>
          <w:tcPr>
            <w:tcW w:w="858"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8</w:t>
            </w:r>
          </w:p>
        </w:tc>
        <w:tc>
          <w:tcPr>
            <w:tcW w:w="1651" w:type="dxa"/>
            <w:tcBorders>
              <w:tl2br w:val="nil"/>
              <w:tr2bl w:val="nil"/>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动植物油</w:t>
            </w:r>
          </w:p>
        </w:tc>
        <w:tc>
          <w:tcPr>
            <w:tcW w:w="1697"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801"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3</w:t>
            </w:r>
          </w:p>
        </w:tc>
        <w:tc>
          <w:tcPr>
            <w:tcW w:w="1916" w:type="dxa"/>
            <w:tcBorders>
              <w:tl2br w:val="nil"/>
              <w:tr2bl w:val="nil"/>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化学需氧量</w:t>
            </w:r>
          </w:p>
        </w:tc>
        <w:tc>
          <w:tcPr>
            <w:tcW w:w="1474" w:type="dxa"/>
            <w:tcBorders>
              <w:tl2br w:val="nil"/>
              <w:tr2bl w:val="nil"/>
            </w:tcBorders>
            <w:vAlign w:val="center"/>
          </w:tcPr>
          <w:p>
            <w:pPr>
              <w:pStyle w:val="387"/>
              <w:spacing w:after="0"/>
              <w:ind w:firstLine="0"/>
              <w:jc w:val="center"/>
              <w:rPr>
                <w:rFonts w:hint="default" w:ascii="Times New Roman" w:hAnsi="Times New Roman" w:eastAsia="宋体"/>
                <w:color w:val="auto"/>
                <w:kern w:val="2"/>
                <w:sz w:val="21"/>
                <w:szCs w:val="21"/>
                <w:lang w:val="en-US" w:eastAsia="zh-CN"/>
              </w:rPr>
            </w:pPr>
            <w:r>
              <w:rPr>
                <w:rFonts w:hint="eastAsia" w:ascii="Times New Roman" w:hAnsi="Times New Roman" w:eastAsia="宋体"/>
                <w:color w:val="auto"/>
                <w:kern w:val="2"/>
                <w:sz w:val="21"/>
                <w:szCs w:val="21"/>
              </w:rPr>
              <w:t>≤</w:t>
            </w:r>
            <w:r>
              <w:rPr>
                <w:rFonts w:hint="eastAsia" w:ascii="Times New Roman" w:hAnsi="Times New Roman" w:eastAsia="宋体"/>
                <w:color w:val="auto"/>
                <w:kern w:val="2"/>
                <w:sz w:val="21"/>
                <w:szCs w:val="21"/>
                <w:lang w:val="en-US" w:eastAsia="zh-CN"/>
              </w:rPr>
              <w:t>100</w:t>
            </w:r>
          </w:p>
        </w:tc>
        <w:tc>
          <w:tcPr>
            <w:tcW w:w="858"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9</w:t>
            </w:r>
          </w:p>
        </w:tc>
        <w:tc>
          <w:tcPr>
            <w:tcW w:w="1651"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粪大肠菌群</w:t>
            </w:r>
          </w:p>
        </w:tc>
        <w:tc>
          <w:tcPr>
            <w:tcW w:w="1697"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≤500个/L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18" w:hRule="atLeast"/>
          <w:jc w:val="center"/>
        </w:trPr>
        <w:tc>
          <w:tcPr>
            <w:tcW w:w="801"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4</w:t>
            </w:r>
          </w:p>
        </w:tc>
        <w:tc>
          <w:tcPr>
            <w:tcW w:w="1916" w:type="dxa"/>
            <w:tcBorders>
              <w:tl2br w:val="nil"/>
              <w:tr2bl w:val="nil"/>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五日生化需氧量</w:t>
            </w:r>
          </w:p>
        </w:tc>
        <w:tc>
          <w:tcPr>
            <w:tcW w:w="1474" w:type="dxa"/>
            <w:tcBorders>
              <w:tl2br w:val="nil"/>
              <w:tr2bl w:val="nil"/>
            </w:tcBorders>
            <w:vAlign w:val="center"/>
          </w:tcPr>
          <w:p>
            <w:pPr>
              <w:pStyle w:val="387"/>
              <w:spacing w:after="0"/>
              <w:ind w:firstLine="0"/>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rPr>
              <w:t>≤20</w:t>
            </w:r>
          </w:p>
        </w:tc>
        <w:tc>
          <w:tcPr>
            <w:tcW w:w="858" w:type="dxa"/>
            <w:tcBorders>
              <w:tl2br w:val="nil"/>
              <w:tr2bl w:val="nil"/>
            </w:tcBorders>
            <w:vAlign w:val="center"/>
          </w:tcPr>
          <w:p>
            <w:pPr>
              <w:pStyle w:val="387"/>
              <w:spacing w:after="0"/>
              <w:jc w:val="both"/>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w:t>
            </w:r>
          </w:p>
        </w:tc>
        <w:tc>
          <w:tcPr>
            <w:tcW w:w="1651"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w:t>
            </w:r>
          </w:p>
        </w:tc>
        <w:tc>
          <w:tcPr>
            <w:tcW w:w="1697" w:type="dxa"/>
            <w:tcBorders>
              <w:tl2br w:val="nil"/>
              <w:tr2bl w:val="nil"/>
            </w:tcBorders>
            <w:vAlign w:val="center"/>
          </w:tcPr>
          <w:p>
            <w:pPr>
              <w:pStyle w:val="387"/>
              <w:spacing w:after="0"/>
              <w:ind w:firstLine="0"/>
              <w:jc w:val="center"/>
              <w:rPr>
                <w:rFonts w:ascii="Times New Roman" w:hAnsi="Times New Roman" w:eastAsia="宋体" w:cs="宋体"/>
                <w:color w:val="auto"/>
                <w:kern w:val="2"/>
                <w:sz w:val="21"/>
                <w:szCs w:val="21"/>
              </w:rPr>
            </w:pPr>
            <w:r>
              <w:rPr>
                <w:rFonts w:hint="eastAsia" w:ascii="Times New Roman" w:hAnsi="Times New Roman" w:eastAsia="宋体" w:cs="宋体"/>
                <w:color w:val="auto"/>
                <w:kern w:val="2"/>
                <w:sz w:val="21"/>
                <w:szCs w:val="21"/>
              </w:rPr>
              <w:t>/</w:t>
            </w:r>
          </w:p>
        </w:tc>
      </w:tr>
    </w:tbl>
    <w:p>
      <w:pPr>
        <w:spacing w:line="360" w:lineRule="auto"/>
        <w:ind w:firstLine="482"/>
        <w:rPr>
          <w:rFonts w:ascii="Times New Roman" w:eastAsia="宋体"/>
          <w:color w:val="auto"/>
        </w:rPr>
      </w:pPr>
      <w:bookmarkStart w:id="111" w:name="_Toc8965"/>
      <w:bookmarkStart w:id="112" w:name="_Toc26244"/>
      <w:r>
        <w:rPr>
          <w:rFonts w:ascii="Times New Roman" w:eastAsia="宋体"/>
          <w:color w:val="auto"/>
        </w:rPr>
        <w:t>（3）噪声</w:t>
      </w:r>
      <w:bookmarkEnd w:id="111"/>
      <w:bookmarkEnd w:id="112"/>
    </w:p>
    <w:p>
      <w:pPr>
        <w:spacing w:line="360" w:lineRule="auto"/>
        <w:ind w:firstLine="484" w:firstLineChars="200"/>
        <w:rPr>
          <w:rFonts w:ascii="Times New Roman" w:eastAsia="宋体"/>
          <w:color w:val="auto"/>
          <w:szCs w:val="24"/>
        </w:rPr>
      </w:pPr>
      <w:r>
        <w:rPr>
          <w:rFonts w:ascii="Times New Roman" w:eastAsia="宋体"/>
          <w:color w:val="auto"/>
          <w:szCs w:val="24"/>
        </w:rPr>
        <w:t>项目厂界噪声排放执行《工业企业厂界环境噪声排放标准》</w:t>
      </w:r>
      <w:r>
        <w:rPr>
          <w:rFonts w:ascii="Times New Roman" w:eastAsia="宋体"/>
          <w:color w:val="auto"/>
        </w:rPr>
        <w:t>（GB12348-</w:t>
      </w:r>
    </w:p>
    <w:p>
      <w:pPr>
        <w:spacing w:line="360" w:lineRule="auto"/>
        <w:rPr>
          <w:rFonts w:ascii="Times New Roman" w:eastAsia="宋体"/>
          <w:b/>
          <w:bCs/>
          <w:color w:val="auto"/>
        </w:rPr>
      </w:pPr>
      <w:r>
        <w:rPr>
          <w:rFonts w:ascii="Times New Roman" w:eastAsia="宋体"/>
          <w:color w:val="auto"/>
        </w:rPr>
        <w:t>2008）中</w:t>
      </w:r>
      <w:r>
        <w:rPr>
          <w:rFonts w:hint="eastAsia" w:ascii="Times New Roman" w:eastAsia="宋体"/>
          <w:color w:val="auto"/>
        </w:rPr>
        <w:t>2</w:t>
      </w:r>
      <w:r>
        <w:rPr>
          <w:rFonts w:ascii="Times New Roman" w:eastAsia="宋体"/>
          <w:color w:val="auto"/>
        </w:rPr>
        <w:t>类标准，详见</w:t>
      </w:r>
      <w:r>
        <w:rPr>
          <w:rFonts w:hint="eastAsia" w:ascii="Times New Roman" w:eastAsia="宋体"/>
          <w:color w:val="auto"/>
        </w:rPr>
        <w:t>2.6-</w:t>
      </w:r>
      <w:r>
        <w:rPr>
          <w:rFonts w:ascii="Times New Roman" w:eastAsia="宋体"/>
          <w:color w:val="auto"/>
        </w:rPr>
        <w:t>1</w:t>
      </w:r>
      <w:r>
        <w:rPr>
          <w:rFonts w:hint="eastAsia" w:ascii="Times New Roman" w:eastAsia="宋体"/>
          <w:color w:val="auto"/>
        </w:rPr>
        <w:t>3</w:t>
      </w:r>
      <w:r>
        <w:rPr>
          <w:rFonts w:ascii="Times New Roman" w:eastAsia="宋体"/>
          <w:color w:val="auto"/>
        </w:rPr>
        <w:t>。</w:t>
      </w:r>
    </w:p>
    <w:p>
      <w:pPr>
        <w:pStyle w:val="17"/>
        <w:spacing w:beforeLines="50" w:line="0" w:lineRule="atLeast"/>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rPr>
        <w:t>2.6-</w:t>
      </w:r>
      <w:r>
        <w:rPr>
          <w:rFonts w:ascii="Times New Roman" w:hAnsi="Times New Roman" w:eastAsia="宋体" w:cs="Times New Roman"/>
          <w:b/>
          <w:bCs/>
          <w:color w:val="auto"/>
          <w:sz w:val="21"/>
          <w:szCs w:val="21"/>
        </w:rPr>
        <w:t>1</w:t>
      </w:r>
      <w:r>
        <w:rPr>
          <w:rFonts w:hint="eastAsia" w:ascii="Times New Roman" w:hAnsi="Times New Roman" w:eastAsia="宋体" w:cs="Times New Roman"/>
          <w:b/>
          <w:bCs/>
          <w:color w:val="auto"/>
          <w:sz w:val="21"/>
          <w:szCs w:val="21"/>
        </w:rPr>
        <w:t>3</w:t>
      </w:r>
      <w:r>
        <w:rPr>
          <w:rFonts w:ascii="Times New Roman" w:hAnsi="Times New Roman" w:eastAsia="宋体" w:cs="Times New Roman"/>
          <w:b/>
          <w:bCs/>
          <w:color w:val="auto"/>
          <w:sz w:val="21"/>
          <w:szCs w:val="21"/>
        </w:rPr>
        <w:t>工业企业厂界环境噪声排放标准单位：dB(A)</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39"/>
        <w:gridCol w:w="2837"/>
        <w:gridCol w:w="28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39" w:type="dxa"/>
            <w:tcBorders>
              <w:tl2br w:val="nil"/>
              <w:tr2bl w:val="nil"/>
            </w:tcBorders>
            <w:vAlign w:val="center"/>
          </w:tcPr>
          <w:p>
            <w:pPr>
              <w:pStyle w:val="373"/>
              <w:widowControl w:val="0"/>
              <w:rPr>
                <w:b/>
                <w:color w:val="auto"/>
              </w:rPr>
            </w:pPr>
            <w:r>
              <w:rPr>
                <w:b/>
                <w:color w:val="auto"/>
              </w:rPr>
              <w:t>标准类别</w:t>
            </w:r>
          </w:p>
        </w:tc>
        <w:tc>
          <w:tcPr>
            <w:tcW w:w="2837" w:type="dxa"/>
            <w:tcBorders>
              <w:tl2br w:val="nil"/>
              <w:tr2bl w:val="nil"/>
            </w:tcBorders>
            <w:vAlign w:val="center"/>
          </w:tcPr>
          <w:p>
            <w:pPr>
              <w:pStyle w:val="373"/>
              <w:widowControl w:val="0"/>
              <w:rPr>
                <w:b/>
                <w:color w:val="auto"/>
              </w:rPr>
            </w:pPr>
            <w:r>
              <w:rPr>
                <w:b/>
                <w:color w:val="auto"/>
              </w:rPr>
              <w:t>昼间</w:t>
            </w:r>
          </w:p>
        </w:tc>
        <w:tc>
          <w:tcPr>
            <w:tcW w:w="2840" w:type="dxa"/>
            <w:tcBorders>
              <w:tl2br w:val="nil"/>
              <w:tr2bl w:val="nil"/>
            </w:tcBorders>
            <w:vAlign w:val="center"/>
          </w:tcPr>
          <w:p>
            <w:pPr>
              <w:pStyle w:val="373"/>
              <w:widowControl w:val="0"/>
              <w:rPr>
                <w:b/>
                <w:color w:val="auto"/>
              </w:rPr>
            </w:pPr>
            <w:r>
              <w:rPr>
                <w:b/>
                <w:color w:val="auto"/>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39" w:type="dxa"/>
            <w:tcBorders>
              <w:tl2br w:val="nil"/>
              <w:tr2bl w:val="nil"/>
            </w:tcBorders>
            <w:vAlign w:val="center"/>
          </w:tcPr>
          <w:p>
            <w:pPr>
              <w:pStyle w:val="373"/>
              <w:widowControl w:val="0"/>
              <w:rPr>
                <w:color w:val="auto"/>
              </w:rPr>
            </w:pPr>
            <w:r>
              <w:rPr>
                <w:rFonts w:hint="eastAsia"/>
                <w:color w:val="auto"/>
              </w:rPr>
              <w:t>2</w:t>
            </w:r>
            <w:r>
              <w:rPr>
                <w:color w:val="auto"/>
              </w:rPr>
              <w:t>类</w:t>
            </w:r>
          </w:p>
        </w:tc>
        <w:tc>
          <w:tcPr>
            <w:tcW w:w="2837" w:type="dxa"/>
            <w:tcBorders>
              <w:tl2br w:val="nil"/>
              <w:tr2bl w:val="nil"/>
            </w:tcBorders>
            <w:vAlign w:val="center"/>
          </w:tcPr>
          <w:p>
            <w:pPr>
              <w:pStyle w:val="373"/>
              <w:widowControl w:val="0"/>
              <w:rPr>
                <w:color w:val="auto"/>
              </w:rPr>
            </w:pPr>
            <w:r>
              <w:rPr>
                <w:rFonts w:hint="eastAsia"/>
                <w:color w:val="auto"/>
              </w:rPr>
              <w:t>60</w:t>
            </w:r>
          </w:p>
        </w:tc>
        <w:tc>
          <w:tcPr>
            <w:tcW w:w="2840" w:type="dxa"/>
            <w:tcBorders>
              <w:tl2br w:val="nil"/>
              <w:tr2bl w:val="nil"/>
            </w:tcBorders>
            <w:vAlign w:val="center"/>
          </w:tcPr>
          <w:p>
            <w:pPr>
              <w:pStyle w:val="373"/>
              <w:widowControl w:val="0"/>
              <w:rPr>
                <w:color w:val="auto"/>
              </w:rPr>
            </w:pPr>
            <w:r>
              <w:rPr>
                <w:rFonts w:hint="eastAsia"/>
                <w:color w:val="auto"/>
              </w:rPr>
              <w:t>50</w:t>
            </w:r>
          </w:p>
        </w:tc>
      </w:tr>
    </w:tbl>
    <w:p>
      <w:pPr>
        <w:spacing w:line="360" w:lineRule="auto"/>
        <w:ind w:firstLine="482"/>
        <w:rPr>
          <w:rFonts w:ascii="Times New Roman" w:eastAsia="宋体"/>
          <w:color w:val="auto"/>
        </w:rPr>
      </w:pPr>
      <w:bookmarkStart w:id="113" w:name="_Toc2730"/>
      <w:bookmarkStart w:id="114" w:name="_Toc24878"/>
      <w:r>
        <w:rPr>
          <w:rFonts w:ascii="Times New Roman" w:eastAsia="宋体"/>
          <w:color w:val="auto"/>
        </w:rPr>
        <w:t>（4）固废</w:t>
      </w:r>
      <w:bookmarkEnd w:id="113"/>
      <w:bookmarkEnd w:id="114"/>
    </w:p>
    <w:p>
      <w:pPr>
        <w:spacing w:line="360" w:lineRule="auto"/>
        <w:ind w:firstLine="482"/>
        <w:rPr>
          <w:rFonts w:ascii="Times New Roman" w:eastAsia="宋体"/>
          <w:color w:val="auto"/>
          <w:szCs w:val="22"/>
        </w:rPr>
      </w:pPr>
      <w:r>
        <w:rPr>
          <w:rFonts w:hint="eastAsia" w:ascii="Times New Roman" w:eastAsia="宋体"/>
          <w:color w:val="auto"/>
          <w:szCs w:val="22"/>
        </w:rPr>
        <w:t>本项目产生的固体废物主要为鸡粪、病死鸡、</w:t>
      </w:r>
      <w:r>
        <w:rPr>
          <w:rFonts w:ascii="Times New Roman" w:eastAsia="宋体"/>
          <w:color w:val="auto"/>
          <w:szCs w:val="22"/>
        </w:rPr>
        <w:t>生活垃圾</w:t>
      </w:r>
      <w:r>
        <w:rPr>
          <w:rFonts w:hint="eastAsia" w:ascii="Times New Roman" w:eastAsia="宋体"/>
          <w:color w:val="auto"/>
          <w:szCs w:val="22"/>
        </w:rPr>
        <w:t>、污泥、锅炉灰渣、物料包装袋、废布袋及除尘灰、医疗废物</w:t>
      </w:r>
      <w:r>
        <w:rPr>
          <w:rFonts w:hint="eastAsia" w:ascii="Times New Roman" w:eastAsia="宋体"/>
          <w:color w:val="auto"/>
          <w:szCs w:val="22"/>
          <w:lang w:eastAsia="zh-CN"/>
        </w:rPr>
        <w:t>、废机油</w:t>
      </w:r>
      <w:r>
        <w:rPr>
          <w:rFonts w:hint="eastAsia" w:ascii="Times New Roman" w:eastAsia="宋体"/>
          <w:color w:val="auto"/>
          <w:szCs w:val="22"/>
        </w:rPr>
        <w:t>等。</w:t>
      </w:r>
      <w:r>
        <w:rPr>
          <w:rFonts w:ascii="Times New Roman" w:eastAsia="宋体"/>
          <w:color w:val="auto"/>
          <w:szCs w:val="22"/>
        </w:rPr>
        <w:t>养殖场固废无害化标准执行《畜禽养殖业污染物排放标准》（GB18596-2001）中表6标准</w:t>
      </w:r>
      <w:r>
        <w:rPr>
          <w:rFonts w:hint="eastAsia" w:ascii="Times New Roman" w:eastAsia="宋体"/>
          <w:color w:val="auto"/>
          <w:szCs w:val="22"/>
        </w:rPr>
        <w:t>；</w:t>
      </w:r>
      <w:r>
        <w:rPr>
          <w:rFonts w:ascii="Times New Roman" w:eastAsia="宋体"/>
          <w:color w:val="auto"/>
          <w:szCs w:val="22"/>
        </w:rPr>
        <w:t>鸡粪执行《粪便无害化卫生</w:t>
      </w:r>
      <w:r>
        <w:rPr>
          <w:rFonts w:hint="eastAsia" w:ascii="Times New Roman" w:eastAsia="宋体"/>
          <w:color w:val="auto"/>
          <w:szCs w:val="22"/>
        </w:rPr>
        <w:t>要求</w:t>
      </w:r>
      <w:r>
        <w:rPr>
          <w:rFonts w:ascii="Times New Roman" w:eastAsia="宋体"/>
          <w:color w:val="auto"/>
          <w:szCs w:val="22"/>
        </w:rPr>
        <w:t>》（GB7959-20</w:t>
      </w:r>
      <w:r>
        <w:rPr>
          <w:rFonts w:hint="eastAsia" w:ascii="Times New Roman" w:eastAsia="宋体"/>
          <w:color w:val="auto"/>
          <w:szCs w:val="22"/>
        </w:rPr>
        <w:t>12</w:t>
      </w:r>
      <w:r>
        <w:rPr>
          <w:rFonts w:ascii="Times New Roman" w:eastAsia="宋体"/>
          <w:color w:val="auto"/>
          <w:szCs w:val="22"/>
        </w:rPr>
        <w:t>）</w:t>
      </w:r>
      <w:r>
        <w:rPr>
          <w:rFonts w:hint="eastAsia" w:ascii="Times New Roman" w:eastAsia="宋体"/>
          <w:color w:val="auto"/>
          <w:szCs w:val="22"/>
        </w:rPr>
        <w:t>；</w:t>
      </w:r>
      <w:r>
        <w:rPr>
          <w:rFonts w:ascii="Times New Roman" w:eastAsia="宋体"/>
          <w:color w:val="auto"/>
          <w:szCs w:val="22"/>
        </w:rPr>
        <w:t>病死鸡参照执行《畜禽养殖业污染防治技术规范》（HJ/T81-2001）和《畜禽病害尸及其产品无害化处理规程》（GB16548-2006），其他一般固废执行《一般工业固体废物贮存和填埋污染控制标准》（GB 18599-2020）规定，危险废物执行《危险废物贮存污染控制标准》（GB 18597-2023）相关要求</w:t>
      </w:r>
      <w:bookmarkEnd w:id="60"/>
      <w:bookmarkStart w:id="115" w:name="_Toc26090"/>
      <w:bookmarkStart w:id="116" w:name="_Toc15120"/>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117" w:name="_Toc26915"/>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7</w:t>
      </w:r>
      <w:r>
        <w:rPr>
          <w:rFonts w:ascii="Times New Roman" w:hAnsi="Times New Roman" w:eastAsia="宋体"/>
          <w:color w:val="auto"/>
          <w:kern w:val="2"/>
          <w:sz w:val="28"/>
          <w:szCs w:val="28"/>
        </w:rPr>
        <w:t>评价</w:t>
      </w:r>
      <w:r>
        <w:rPr>
          <w:rFonts w:hint="eastAsia" w:ascii="Times New Roman" w:hAnsi="Times New Roman" w:eastAsia="宋体"/>
          <w:color w:val="auto"/>
          <w:kern w:val="2"/>
          <w:sz w:val="28"/>
          <w:szCs w:val="28"/>
        </w:rPr>
        <w:t>工作</w:t>
      </w:r>
      <w:r>
        <w:rPr>
          <w:rFonts w:ascii="Times New Roman" w:hAnsi="Times New Roman" w:eastAsia="宋体"/>
          <w:color w:val="auto"/>
          <w:kern w:val="2"/>
          <w:sz w:val="28"/>
          <w:szCs w:val="28"/>
        </w:rPr>
        <w:t>等级</w:t>
      </w:r>
      <w:bookmarkEnd w:id="117"/>
    </w:p>
    <w:p>
      <w:pPr>
        <w:pStyle w:val="4"/>
        <w:spacing w:before="0" w:after="0" w:line="360" w:lineRule="auto"/>
        <w:rPr>
          <w:rFonts w:ascii="Times New Roman" w:eastAsia="宋体"/>
          <w:b/>
          <w:bCs/>
          <w:color w:val="auto"/>
          <w:kern w:val="2"/>
          <w:sz w:val="24"/>
          <w:lang w:val="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7.</w:t>
      </w:r>
      <w:r>
        <w:rPr>
          <w:rFonts w:ascii="Times New Roman" w:eastAsia="宋体"/>
          <w:b/>
          <w:bCs/>
          <w:color w:val="auto"/>
          <w:kern w:val="2"/>
          <w:sz w:val="24"/>
        </w:rPr>
        <w:t>1</w:t>
      </w:r>
      <w:r>
        <w:rPr>
          <w:rFonts w:ascii="Times New Roman" w:eastAsia="宋体"/>
          <w:b/>
          <w:bCs/>
          <w:color w:val="auto"/>
          <w:kern w:val="2"/>
          <w:sz w:val="24"/>
          <w:lang w:val="zh-CN"/>
        </w:rPr>
        <w:t>大气环境</w:t>
      </w:r>
      <w:r>
        <w:rPr>
          <w:rFonts w:hint="eastAsia" w:ascii="Times New Roman" w:eastAsia="宋体"/>
          <w:b/>
          <w:bCs/>
          <w:color w:val="auto"/>
          <w:kern w:val="2"/>
          <w:sz w:val="24"/>
          <w:lang w:val="zh-CN"/>
        </w:rPr>
        <w:t>评价等级</w:t>
      </w:r>
    </w:p>
    <w:p>
      <w:pPr>
        <w:spacing w:line="360" w:lineRule="auto"/>
        <w:ind w:firstLine="482"/>
        <w:rPr>
          <w:rFonts w:ascii="Times New Roman" w:eastAsia="宋体"/>
          <w:color w:val="auto"/>
        </w:rPr>
      </w:pPr>
      <w:bookmarkStart w:id="118" w:name="_Toc20010"/>
      <w:bookmarkStart w:id="119" w:name="_Toc14785"/>
      <w:r>
        <w:rPr>
          <w:rFonts w:hint="eastAsia" w:ascii="Times New Roman" w:eastAsia="宋体"/>
          <w:color w:val="auto"/>
          <w:lang w:val="zh-CN"/>
        </w:rPr>
        <w:t>（</w:t>
      </w:r>
      <w:r>
        <w:rPr>
          <w:rFonts w:hint="eastAsia" w:ascii="Times New Roman" w:eastAsia="宋体"/>
          <w:color w:val="auto"/>
        </w:rPr>
        <w:t>1</w:t>
      </w:r>
      <w:r>
        <w:rPr>
          <w:rFonts w:hint="eastAsia" w:ascii="Times New Roman" w:eastAsia="宋体"/>
          <w:color w:val="auto"/>
          <w:lang w:val="zh-CN"/>
        </w:rPr>
        <w:t>）</w:t>
      </w:r>
      <w:r>
        <w:rPr>
          <w:rFonts w:hint="eastAsia" w:ascii="Times New Roman" w:eastAsia="宋体"/>
          <w:color w:val="auto"/>
        </w:rPr>
        <w:t>Pmax及D10%的确定</w:t>
      </w:r>
      <w:bookmarkEnd w:id="118"/>
      <w:bookmarkEnd w:id="119"/>
    </w:p>
    <w:p>
      <w:pPr>
        <w:spacing w:line="360" w:lineRule="auto"/>
        <w:ind w:firstLine="482"/>
        <w:rPr>
          <w:rFonts w:ascii="Times New Roman" w:eastAsia="宋体"/>
          <w:color w:val="auto"/>
        </w:rPr>
      </w:pPr>
      <w:r>
        <w:rPr>
          <w:rFonts w:ascii="Times New Roman" w:eastAsia="宋体"/>
          <w:color w:val="auto"/>
        </w:rPr>
        <w:t>根据《环境影响评价技术导则大气环境》（HJ2.2-2018）有关规定，选择推荐模式中的估算模式对项目的大气环境评价工作进行分级。结合项目的初步工程分析结果，选择正常排放的主要污染物及排放参数，采用估算模式计算污染物的最大影响程度和最远影响范围，然后按评价工作分级判据进行分级。</w:t>
      </w:r>
    </w:p>
    <w:p>
      <w:pPr>
        <w:spacing w:line="360" w:lineRule="auto"/>
        <w:ind w:firstLine="482"/>
        <w:rPr>
          <w:rFonts w:ascii="Times New Roman" w:eastAsia="宋体"/>
          <w:color w:val="auto"/>
        </w:rPr>
      </w:pPr>
      <w:r>
        <w:rPr>
          <w:rFonts w:ascii="Times New Roman" w:eastAsia="宋体"/>
          <w:color w:val="auto"/>
        </w:rPr>
        <w:t>根据项目的初步工程分析、项目特点、建设项目所在地环境特点可知，拟建项目大气污染物主要为NH</w:t>
      </w:r>
      <w:r>
        <w:rPr>
          <w:rFonts w:ascii="Times New Roman" w:eastAsia="宋体"/>
          <w:color w:val="auto"/>
          <w:vertAlign w:val="subscript"/>
        </w:rPr>
        <w:t>3</w:t>
      </w:r>
      <w:r>
        <w:rPr>
          <w:rFonts w:ascii="Times New Roman" w:eastAsia="宋体"/>
          <w:color w:val="auto"/>
        </w:rPr>
        <w:t>、H</w:t>
      </w:r>
      <w:r>
        <w:rPr>
          <w:rFonts w:ascii="Times New Roman" w:eastAsia="宋体"/>
          <w:color w:val="auto"/>
          <w:vertAlign w:val="subscript"/>
        </w:rPr>
        <w:t>2</w:t>
      </w:r>
      <w:r>
        <w:rPr>
          <w:rFonts w:ascii="Times New Roman" w:eastAsia="宋体"/>
          <w:color w:val="auto"/>
        </w:rPr>
        <w:t>S、SO</w:t>
      </w:r>
      <w:r>
        <w:rPr>
          <w:rFonts w:ascii="Times New Roman" w:eastAsia="宋体"/>
          <w:color w:val="auto"/>
          <w:vertAlign w:val="subscript"/>
        </w:rPr>
        <w:t>2</w:t>
      </w:r>
      <w:r>
        <w:rPr>
          <w:rFonts w:ascii="Times New Roman" w:eastAsia="宋体"/>
          <w:color w:val="auto"/>
        </w:rPr>
        <w:t>、NO</w:t>
      </w:r>
      <w:r>
        <w:rPr>
          <w:rFonts w:ascii="Times New Roman" w:eastAsia="宋体"/>
          <w:color w:val="auto"/>
          <w:vertAlign w:val="subscript"/>
        </w:rPr>
        <w:t>x</w:t>
      </w:r>
      <w:r>
        <w:rPr>
          <w:rFonts w:ascii="Times New Roman" w:eastAsia="宋体"/>
          <w:color w:val="auto"/>
        </w:rPr>
        <w:t>、颗粒物等气体，分别计算每种污染物的最大地面浓度占标率Pi（第i个污染物），其中Pi定义为：</w:t>
      </w:r>
    </w:p>
    <w:p>
      <w:pPr>
        <w:spacing w:line="360" w:lineRule="auto"/>
        <w:ind w:firstLine="482"/>
        <w:jc w:val="center"/>
        <w:rPr>
          <w:rFonts w:ascii="Times New Roman" w:eastAsia="宋体"/>
          <w:color w:val="auto"/>
        </w:rPr>
      </w:pPr>
      <w:r>
        <w:rPr>
          <w:rFonts w:ascii="Times New Roman" w:eastAsia="宋体"/>
          <w:color w:val="auto"/>
        </w:rPr>
        <w:object>
          <v:shape id="_x0000_i1025" o:spt="75" type="#_x0000_t75" style="height:41.5pt;width:96pt;" o:ole="t" filled="f" o:preferrelative="t" stroked="f" coordsize="21600,21600">
            <v:path/>
            <v:fill on="f" focussize="0,0"/>
            <v:stroke on="f" joinstyle="miter"/>
            <v:imagedata r:id="rId21" o:title=""/>
            <o:lock v:ext="edit" aspectratio="t"/>
            <w10:wrap type="none"/>
            <w10:anchorlock/>
          </v:shape>
          <o:OLEObject Type="Embed" ProgID="Equation.3" ShapeID="_x0000_i1025" DrawAspect="Content" ObjectID="_1468075725" r:id="rId20">
            <o:LockedField>false</o:LockedField>
          </o:OLEObject>
        </w:object>
      </w:r>
    </w:p>
    <w:p>
      <w:pPr>
        <w:spacing w:line="360" w:lineRule="auto"/>
        <w:ind w:firstLine="484" w:firstLineChars="200"/>
        <w:rPr>
          <w:rFonts w:ascii="Times New Roman" w:eastAsia="宋体"/>
          <w:color w:val="auto"/>
        </w:rPr>
      </w:pPr>
      <w:r>
        <w:rPr>
          <w:rFonts w:ascii="Times New Roman" w:eastAsia="宋体"/>
          <w:color w:val="auto"/>
        </w:rPr>
        <w:t>式中：Pi</w:t>
      </w:r>
      <w:r>
        <w:rPr>
          <w:rFonts w:hint="eastAsia" w:ascii="Times New Roman" w:eastAsia="宋体"/>
          <w:color w:val="auto"/>
        </w:rPr>
        <w:t>—</w:t>
      </w:r>
      <w:r>
        <w:rPr>
          <w:rFonts w:ascii="Times New Roman" w:eastAsia="宋体"/>
          <w:color w:val="auto"/>
        </w:rPr>
        <w:t>第i个污染物的最大地面</w:t>
      </w:r>
      <w:r>
        <w:rPr>
          <w:rFonts w:hint="eastAsia" w:ascii="Times New Roman" w:eastAsia="宋体"/>
          <w:color w:val="auto"/>
        </w:rPr>
        <w:t>空气质量</w:t>
      </w:r>
      <w:r>
        <w:rPr>
          <w:rFonts w:ascii="Times New Roman" w:eastAsia="宋体"/>
          <w:color w:val="auto"/>
        </w:rPr>
        <w:t>浓度占标率，%；</w:t>
      </w:r>
    </w:p>
    <w:p>
      <w:pPr>
        <w:spacing w:line="360" w:lineRule="auto"/>
        <w:ind w:firstLine="420"/>
        <w:rPr>
          <w:rFonts w:ascii="Times New Roman" w:eastAsia="宋体"/>
          <w:color w:val="auto"/>
        </w:rPr>
      </w:pPr>
      <w:r>
        <w:rPr>
          <w:rFonts w:ascii="Times New Roman" w:eastAsia="宋体"/>
          <w:color w:val="auto"/>
        </w:rPr>
        <w:t>Ci</w:t>
      </w:r>
      <w:r>
        <w:rPr>
          <w:rFonts w:hint="eastAsia" w:ascii="Times New Roman" w:eastAsia="宋体"/>
          <w:color w:val="auto"/>
        </w:rPr>
        <w:t>—</w:t>
      </w:r>
      <w:r>
        <w:rPr>
          <w:rFonts w:ascii="Times New Roman" w:eastAsia="宋体"/>
          <w:color w:val="auto"/>
        </w:rPr>
        <w:t>采用估算模式计算出的第i个污染物的最大</w:t>
      </w:r>
      <w:r>
        <w:rPr>
          <w:rFonts w:hint="eastAsia" w:ascii="Times New Roman" w:eastAsia="宋体"/>
          <w:color w:val="auto"/>
        </w:rPr>
        <w:t>1h</w:t>
      </w:r>
      <w:r>
        <w:rPr>
          <w:rFonts w:ascii="Times New Roman" w:eastAsia="宋体"/>
          <w:color w:val="auto"/>
        </w:rPr>
        <w:t>地面</w:t>
      </w:r>
      <w:r>
        <w:rPr>
          <w:rFonts w:hint="eastAsia" w:ascii="Times New Roman" w:eastAsia="宋体"/>
          <w:color w:val="auto"/>
        </w:rPr>
        <w:t>空气质量</w:t>
      </w:r>
      <w:r>
        <w:rPr>
          <w:rFonts w:ascii="Times New Roman" w:eastAsia="宋体"/>
          <w:color w:val="auto"/>
        </w:rPr>
        <w:t>浓度</w:t>
      </w:r>
      <w:r>
        <w:rPr>
          <w:rFonts w:hint="eastAsia" w:ascii="Times New Roman" w:eastAsia="宋体"/>
          <w:color w:val="auto"/>
        </w:rPr>
        <w:t>，ug</w:t>
      </w:r>
      <w:r>
        <w:rPr>
          <w:rFonts w:ascii="Times New Roman" w:eastAsia="宋体"/>
          <w:color w:val="auto"/>
        </w:rPr>
        <w:t>/m</w:t>
      </w:r>
      <w:r>
        <w:rPr>
          <w:rFonts w:ascii="Times New Roman" w:eastAsia="宋体"/>
          <w:color w:val="auto"/>
          <w:vertAlign w:val="superscript"/>
        </w:rPr>
        <w:t>3</w:t>
      </w:r>
      <w:r>
        <w:rPr>
          <w:rFonts w:ascii="Times New Roman" w:eastAsia="宋体"/>
          <w:color w:val="auto"/>
        </w:rPr>
        <w:t>；</w:t>
      </w:r>
    </w:p>
    <w:p>
      <w:pPr>
        <w:spacing w:line="360" w:lineRule="auto"/>
        <w:ind w:firstLine="420"/>
        <w:rPr>
          <w:rFonts w:ascii="Times New Roman" w:eastAsia="宋体"/>
          <w:color w:val="auto"/>
        </w:rPr>
      </w:pPr>
      <w:r>
        <w:rPr>
          <w:rFonts w:ascii="Times New Roman" w:eastAsia="宋体"/>
          <w:color w:val="auto"/>
        </w:rPr>
        <w:t>C</w:t>
      </w:r>
      <w:r>
        <w:rPr>
          <w:rFonts w:ascii="Times New Roman" w:eastAsia="宋体"/>
          <w:color w:val="auto"/>
          <w:vertAlign w:val="subscript"/>
        </w:rPr>
        <w:t>0i</w:t>
      </w:r>
      <w:r>
        <w:rPr>
          <w:rFonts w:hint="eastAsia" w:ascii="Times New Roman" w:eastAsia="宋体"/>
          <w:color w:val="auto"/>
        </w:rPr>
        <w:t>—</w:t>
      </w:r>
      <w:r>
        <w:rPr>
          <w:rFonts w:ascii="Times New Roman" w:eastAsia="宋体"/>
          <w:color w:val="auto"/>
        </w:rPr>
        <w:t>第i个污染物的环境空气质量浓度标准</w:t>
      </w:r>
      <w:r>
        <w:rPr>
          <w:rFonts w:hint="eastAsia" w:ascii="Times New Roman" w:eastAsia="宋体"/>
          <w:color w:val="auto"/>
        </w:rPr>
        <w:t>，ug</w:t>
      </w:r>
      <w:r>
        <w:rPr>
          <w:rFonts w:ascii="Times New Roman" w:eastAsia="宋体"/>
          <w:color w:val="auto"/>
        </w:rPr>
        <w:t>/m</w:t>
      </w:r>
      <w:r>
        <w:rPr>
          <w:rFonts w:ascii="Times New Roman" w:eastAsia="宋体"/>
          <w:color w:val="auto"/>
          <w:vertAlign w:val="superscript"/>
        </w:rPr>
        <w:t>3</w:t>
      </w:r>
      <w:r>
        <w:rPr>
          <w:rFonts w:ascii="Times New Roman" w:eastAsia="宋体"/>
          <w:color w:val="auto"/>
        </w:rPr>
        <w:t>；一般选用GB3095中1h平均质量浓度的二级浓度限值；对该标准中未包含的污染物，采用《环境影响评价技术导则大气环境》（HJ2.2-2018）附录D表D.1其他污染物空气质量浓度参考值1h平均质量浓度限值。对仅有8h平均质量浓度限值、日平均质量浓度限值或年平均质量浓度限值的，可分别按2倍、3倍、6倍折算为1h平均质量浓度限值。</w:t>
      </w:r>
    </w:p>
    <w:p>
      <w:pPr>
        <w:spacing w:line="360" w:lineRule="auto"/>
        <w:ind w:firstLine="484" w:firstLineChars="200"/>
        <w:rPr>
          <w:rFonts w:ascii="Times New Roman" w:eastAsia="宋体"/>
          <w:color w:val="auto"/>
        </w:rPr>
      </w:pPr>
      <w:r>
        <w:rPr>
          <w:rFonts w:ascii="Times New Roman" w:eastAsia="宋体"/>
          <w:color w:val="auto"/>
        </w:rPr>
        <w:t>由于《环境空气质量标准》(GB3095-2012)及其修改单中的二级标准中未包含NH</w:t>
      </w:r>
      <w:r>
        <w:rPr>
          <w:rFonts w:ascii="Times New Roman" w:eastAsia="宋体"/>
          <w:color w:val="auto"/>
          <w:vertAlign w:val="subscript"/>
        </w:rPr>
        <w:t>3</w:t>
      </w:r>
      <w:r>
        <w:rPr>
          <w:rFonts w:ascii="Times New Roman" w:eastAsia="宋体"/>
          <w:color w:val="auto"/>
        </w:rPr>
        <w:t>、H</w:t>
      </w:r>
      <w:r>
        <w:rPr>
          <w:rFonts w:ascii="Times New Roman" w:eastAsia="宋体"/>
          <w:color w:val="auto"/>
          <w:vertAlign w:val="subscript"/>
        </w:rPr>
        <w:t>2</w:t>
      </w:r>
      <w:r>
        <w:rPr>
          <w:rFonts w:ascii="Times New Roman" w:eastAsia="宋体"/>
          <w:color w:val="auto"/>
        </w:rPr>
        <w:t>S，故参照《</w:t>
      </w:r>
      <w:r>
        <w:rPr>
          <w:rFonts w:hint="eastAsia" w:ascii="Times New Roman" w:eastAsia="宋体"/>
          <w:color w:val="auto"/>
        </w:rPr>
        <w:t>环境影响评价技术导则大气环境</w:t>
      </w:r>
      <w:r>
        <w:rPr>
          <w:rFonts w:ascii="Times New Roman" w:eastAsia="宋体"/>
          <w:color w:val="auto"/>
        </w:rPr>
        <w:t>》（</w:t>
      </w:r>
      <w:r>
        <w:rPr>
          <w:rFonts w:hint="eastAsia" w:ascii="Times New Roman" w:eastAsia="宋体"/>
          <w:color w:val="auto"/>
        </w:rPr>
        <w:t>HJ2.2-2018</w:t>
      </w:r>
      <w:r>
        <w:rPr>
          <w:rFonts w:ascii="Times New Roman" w:eastAsia="宋体"/>
          <w:color w:val="auto"/>
        </w:rPr>
        <w:t>）</w:t>
      </w:r>
      <w:r>
        <w:rPr>
          <w:rFonts w:hint="eastAsia" w:ascii="Times New Roman" w:eastAsia="宋体"/>
          <w:color w:val="auto"/>
        </w:rPr>
        <w:t>附录D</w:t>
      </w:r>
      <w:r>
        <w:rPr>
          <w:rFonts w:ascii="Times New Roman" w:eastAsia="宋体"/>
          <w:color w:val="auto"/>
        </w:rPr>
        <w:t>。评价工作等级按</w:t>
      </w:r>
      <w:r>
        <w:rPr>
          <w:rFonts w:hint="eastAsia" w:ascii="Times New Roman" w:eastAsia="宋体"/>
          <w:color w:val="auto"/>
        </w:rPr>
        <w:t>2.7-</w:t>
      </w:r>
      <w:r>
        <w:rPr>
          <w:rFonts w:ascii="Times New Roman" w:eastAsia="宋体"/>
          <w:color w:val="auto"/>
        </w:rPr>
        <w:t>1的分级数据进行划分，最大地面</w:t>
      </w:r>
      <w:r>
        <w:rPr>
          <w:rFonts w:hint="eastAsia" w:ascii="Times New Roman" w:eastAsia="宋体"/>
          <w:color w:val="auto"/>
        </w:rPr>
        <w:t>空气质量</w:t>
      </w:r>
      <w:r>
        <w:rPr>
          <w:rFonts w:ascii="Times New Roman" w:eastAsia="宋体"/>
          <w:color w:val="auto"/>
        </w:rPr>
        <w:t>浓度占标率Pi按上述公式计算，如污染物数量大于1，取Pi中最大者（P</w:t>
      </w:r>
      <w:r>
        <w:rPr>
          <w:rFonts w:ascii="Times New Roman" w:eastAsia="宋体"/>
          <w:color w:val="auto"/>
          <w:vertAlign w:val="subscript"/>
        </w:rPr>
        <w:t>max</w:t>
      </w:r>
      <w:r>
        <w:rPr>
          <w:rFonts w:ascii="Times New Roman" w:eastAsia="宋体"/>
          <w:color w:val="auto"/>
        </w:rPr>
        <w:t>）值。</w:t>
      </w:r>
    </w:p>
    <w:p>
      <w:pPr>
        <w:spacing w:line="360" w:lineRule="auto"/>
        <w:ind w:firstLine="482"/>
        <w:rPr>
          <w:rFonts w:ascii="Times New Roman" w:eastAsia="宋体"/>
          <w:color w:val="auto"/>
        </w:rPr>
      </w:pPr>
      <w:bookmarkStart w:id="120" w:name="_Toc3775"/>
      <w:bookmarkStart w:id="121" w:name="_Toc29432"/>
      <w:r>
        <w:rPr>
          <w:rFonts w:hint="eastAsia" w:ascii="Times New Roman" w:eastAsia="宋体"/>
          <w:color w:val="auto"/>
        </w:rPr>
        <w:t>（2）评价工作级别划分依据</w:t>
      </w:r>
      <w:bookmarkEnd w:id="120"/>
      <w:bookmarkEnd w:id="121"/>
    </w:p>
    <w:p>
      <w:pPr>
        <w:pStyle w:val="17"/>
        <w:spacing w:beforeLines="50" w:line="0" w:lineRule="atLeast"/>
        <w:jc w:val="center"/>
        <w:rPr>
          <w:rFonts w:ascii="Times New Roman" w:hAnsi="Times New Roman" w:eastAsia="宋体" w:cs="Times New Roman"/>
          <w:color w:val="auto"/>
          <w:sz w:val="21"/>
        </w:rPr>
      </w:pPr>
      <w:bookmarkStart w:id="122" w:name="_Ref485735280"/>
      <w:r>
        <w:rPr>
          <w:rFonts w:ascii="Times New Roman" w:hAnsi="Times New Roman" w:eastAsia="宋体" w:cs="Times New Roman"/>
          <w:b/>
          <w:bCs/>
          <w:color w:val="auto"/>
          <w:sz w:val="21"/>
        </w:rPr>
        <w:t>表</w:t>
      </w:r>
      <w:bookmarkEnd w:id="122"/>
      <w:r>
        <w:rPr>
          <w:rFonts w:hint="eastAsia" w:ascii="Times New Roman" w:hAnsi="Times New Roman" w:eastAsia="宋体" w:cs="Times New Roman"/>
          <w:b/>
          <w:bCs/>
          <w:color w:val="auto"/>
          <w:sz w:val="21"/>
        </w:rPr>
        <w:t>2.7-</w:t>
      </w:r>
      <w:r>
        <w:rPr>
          <w:rFonts w:ascii="Times New Roman" w:hAnsi="Times New Roman" w:eastAsia="宋体" w:cs="Times New Roman"/>
          <w:b/>
          <w:bCs/>
          <w:color w:val="auto"/>
          <w:sz w:val="21"/>
        </w:rPr>
        <w:t>1评价工作等级表</w:t>
      </w:r>
    </w:p>
    <w:tbl>
      <w:tblPr>
        <w:tblStyle w:val="4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073"/>
        <w:gridCol w:w="54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4"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评价工作等级</w:t>
            </w:r>
          </w:p>
        </w:tc>
        <w:tc>
          <w:tcPr>
            <w:tcW w:w="3195"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评价工作分级判据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一级</w:t>
            </w:r>
          </w:p>
        </w:tc>
        <w:tc>
          <w:tcPr>
            <w:tcW w:w="3195"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P</w:t>
            </w:r>
            <w:r>
              <w:rPr>
                <w:rFonts w:ascii="Times New Roman" w:eastAsia="宋体"/>
                <w:color w:val="auto"/>
                <w:sz w:val="21"/>
                <w:szCs w:val="21"/>
                <w:vertAlign w:val="subscript"/>
              </w:rPr>
              <w:t>max</w:t>
            </w:r>
            <w:r>
              <w:rPr>
                <w:rFonts w:ascii="Times New Roman" w:eastAsia="宋体"/>
                <w:color w:val="auto"/>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二级</w:t>
            </w:r>
          </w:p>
        </w:tc>
        <w:tc>
          <w:tcPr>
            <w:tcW w:w="3195"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w:t>
            </w:r>
            <w:r>
              <w:rPr>
                <w:rFonts w:ascii="Times New Roman" w:eastAsia="宋体" w:cs="Arial"/>
                <w:color w:val="auto"/>
                <w:sz w:val="21"/>
                <w:szCs w:val="21"/>
              </w:rPr>
              <w:t>≤</w:t>
            </w:r>
            <w:r>
              <w:rPr>
                <w:rFonts w:ascii="Times New Roman" w:eastAsia="宋体"/>
                <w:color w:val="auto"/>
                <w:sz w:val="21"/>
                <w:szCs w:val="21"/>
              </w:rPr>
              <w:t>P</w:t>
            </w:r>
            <w:r>
              <w:rPr>
                <w:rFonts w:ascii="Times New Roman" w:eastAsia="宋体"/>
                <w:color w:val="auto"/>
                <w:sz w:val="21"/>
                <w:szCs w:val="21"/>
                <w:vertAlign w:val="subscript"/>
              </w:rPr>
              <w:t>max</w:t>
            </w:r>
            <w:r>
              <w:rPr>
                <w:rFonts w:hint="eastAsia" w:ascii="Times New Roman" w:eastAsia="宋体"/>
                <w:color w:val="auto"/>
                <w:sz w:val="21"/>
                <w:szCs w:val="21"/>
              </w:rPr>
              <w:t>&lt;</w:t>
            </w:r>
            <w:r>
              <w:rPr>
                <w:rFonts w:ascii="Times New Roman" w:eastAsia="宋体"/>
                <w:color w:val="auto"/>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三级</w:t>
            </w:r>
          </w:p>
        </w:tc>
        <w:tc>
          <w:tcPr>
            <w:tcW w:w="3195"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P</w:t>
            </w:r>
            <w:r>
              <w:rPr>
                <w:rFonts w:ascii="Times New Roman" w:eastAsia="宋体"/>
                <w:color w:val="auto"/>
                <w:sz w:val="21"/>
                <w:szCs w:val="21"/>
                <w:vertAlign w:val="subscript"/>
              </w:rPr>
              <w:t>max</w:t>
            </w:r>
            <w:r>
              <w:rPr>
                <w:rFonts w:hint="eastAsia" w:ascii="Times New Roman" w:eastAsia="宋体"/>
                <w:color w:val="auto"/>
                <w:sz w:val="21"/>
                <w:szCs w:val="21"/>
              </w:rPr>
              <w:t>&lt;</w:t>
            </w:r>
            <w:r>
              <w:rPr>
                <w:rFonts w:ascii="Times New Roman" w:eastAsia="宋体"/>
                <w:color w:val="auto"/>
                <w:sz w:val="21"/>
                <w:szCs w:val="21"/>
              </w:rPr>
              <w:t>1%</w:t>
            </w:r>
          </w:p>
        </w:tc>
      </w:tr>
    </w:tbl>
    <w:p>
      <w:pPr>
        <w:spacing w:line="360" w:lineRule="auto"/>
        <w:ind w:firstLine="482"/>
        <w:rPr>
          <w:rFonts w:ascii="Times New Roman" w:eastAsia="宋体"/>
          <w:color w:val="auto"/>
        </w:rPr>
      </w:pPr>
      <w:r>
        <w:rPr>
          <w:rFonts w:ascii="Times New Roman" w:eastAsia="宋体"/>
          <w:color w:val="auto"/>
        </w:rPr>
        <w:t>本项目大气评价因子及标准见表</w:t>
      </w:r>
      <w:r>
        <w:rPr>
          <w:rFonts w:hint="eastAsia" w:ascii="Times New Roman" w:eastAsia="宋体"/>
          <w:color w:val="auto"/>
        </w:rPr>
        <w:t>2.7-</w:t>
      </w:r>
      <w:r>
        <w:rPr>
          <w:rFonts w:ascii="Times New Roman" w:eastAsia="宋体"/>
          <w:color w:val="auto"/>
        </w:rPr>
        <w:t>2。</w:t>
      </w:r>
    </w:p>
    <w:p>
      <w:pPr>
        <w:pStyle w:val="17"/>
        <w:spacing w:beforeLines="50" w:line="0" w:lineRule="atLeast"/>
        <w:jc w:val="center"/>
        <w:rPr>
          <w:rFonts w:ascii="Times New Roman" w:hAnsi="Times New Roman" w:eastAsia="宋体" w:cs="Times New Roman"/>
          <w:b/>
          <w:bCs/>
          <w:color w:val="auto"/>
          <w:sz w:val="21"/>
        </w:rPr>
      </w:pPr>
      <w:r>
        <w:rPr>
          <w:rFonts w:ascii="Times New Roman" w:hAnsi="Times New Roman" w:eastAsia="宋体" w:cs="Times New Roman"/>
          <w:b/>
          <w:bCs/>
          <w:color w:val="auto"/>
          <w:sz w:val="21"/>
        </w:rPr>
        <w:t>表</w:t>
      </w:r>
      <w:r>
        <w:rPr>
          <w:rFonts w:hint="eastAsia" w:ascii="Times New Roman" w:hAnsi="Times New Roman" w:eastAsia="宋体" w:cs="Times New Roman"/>
          <w:b/>
          <w:bCs/>
          <w:color w:val="auto"/>
          <w:sz w:val="21"/>
        </w:rPr>
        <w:t>2.7-</w:t>
      </w:r>
      <w:r>
        <w:rPr>
          <w:rFonts w:ascii="Times New Roman" w:hAnsi="Times New Roman" w:eastAsia="宋体" w:cs="Times New Roman"/>
          <w:b/>
          <w:bCs/>
          <w:color w:val="auto"/>
          <w:sz w:val="21"/>
        </w:rPr>
        <w:t>2评价因子和评价标准表</w:t>
      </w:r>
    </w:p>
    <w:tbl>
      <w:tblPr>
        <w:tblStyle w:val="47"/>
        <w:tblW w:w="502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92"/>
        <w:gridCol w:w="1966"/>
        <w:gridCol w:w="1868"/>
        <w:gridCol w:w="30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988"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评价因子</w:t>
            </w:r>
          </w:p>
        </w:tc>
        <w:tc>
          <w:tcPr>
            <w:tcW w:w="1148"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平均时段</w:t>
            </w:r>
          </w:p>
        </w:tc>
        <w:tc>
          <w:tcPr>
            <w:tcW w:w="1091"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标准值</w:t>
            </w:r>
          </w:p>
          <w:p>
            <w:pPr>
              <w:snapToGrid w:val="0"/>
              <w:jc w:val="center"/>
              <w:rPr>
                <w:rFonts w:ascii="Times New Roman" w:eastAsia="宋体"/>
                <w:b/>
                <w:bCs/>
                <w:color w:val="auto"/>
                <w:sz w:val="21"/>
                <w:szCs w:val="21"/>
              </w:rPr>
            </w:pPr>
            <w:r>
              <w:rPr>
                <w:rFonts w:ascii="Times New Roman" w:eastAsia="宋体"/>
                <w:b/>
                <w:bCs/>
                <w:color w:val="auto"/>
                <w:sz w:val="21"/>
                <w:szCs w:val="21"/>
              </w:rPr>
              <w:t>（μg/m</w:t>
            </w:r>
            <w:r>
              <w:rPr>
                <w:rFonts w:ascii="Times New Roman" w:eastAsia="宋体"/>
                <w:b/>
                <w:bCs/>
                <w:color w:val="auto"/>
                <w:sz w:val="21"/>
                <w:szCs w:val="21"/>
                <w:vertAlign w:val="superscript"/>
              </w:rPr>
              <w:t xml:space="preserve"> 3 </w:t>
            </w:r>
            <w:r>
              <w:rPr>
                <w:rFonts w:ascii="Times New Roman" w:eastAsia="宋体"/>
                <w:b/>
                <w:bCs/>
                <w:color w:val="auto"/>
                <w:sz w:val="21"/>
                <w:szCs w:val="21"/>
              </w:rPr>
              <w:t>)</w:t>
            </w:r>
          </w:p>
        </w:tc>
        <w:tc>
          <w:tcPr>
            <w:tcW w:w="1771"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88"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SO</w:t>
            </w:r>
            <w:r>
              <w:rPr>
                <w:rFonts w:ascii="Times New Roman" w:eastAsia="宋体"/>
                <w:color w:val="auto"/>
                <w:sz w:val="21"/>
                <w:szCs w:val="21"/>
                <w:vertAlign w:val="subscript"/>
              </w:rPr>
              <w:t>2</w:t>
            </w:r>
          </w:p>
        </w:tc>
        <w:tc>
          <w:tcPr>
            <w:tcW w:w="1148"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1h平均</w:t>
            </w:r>
          </w:p>
        </w:tc>
        <w:tc>
          <w:tcPr>
            <w:tcW w:w="1091"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500</w:t>
            </w:r>
          </w:p>
        </w:tc>
        <w:tc>
          <w:tcPr>
            <w:tcW w:w="1771" w:type="pct"/>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《环境空气质量标准》</w:t>
            </w:r>
          </w:p>
          <w:p>
            <w:pPr>
              <w:jc w:val="center"/>
              <w:rPr>
                <w:rFonts w:ascii="Times New Roman" w:eastAsia="宋体"/>
                <w:color w:val="auto"/>
                <w:sz w:val="21"/>
                <w:szCs w:val="21"/>
              </w:rPr>
            </w:pPr>
            <w:r>
              <w:rPr>
                <w:rFonts w:ascii="Times New Roman" w:eastAsia="宋体"/>
                <w:color w:val="auto"/>
                <w:sz w:val="21"/>
                <w:szCs w:val="21"/>
              </w:rPr>
              <w:t>（GB3095-2012）二级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88"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NOx</w:t>
            </w:r>
          </w:p>
        </w:tc>
        <w:tc>
          <w:tcPr>
            <w:tcW w:w="1148"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1h平均</w:t>
            </w:r>
          </w:p>
        </w:tc>
        <w:tc>
          <w:tcPr>
            <w:tcW w:w="1091"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250</w:t>
            </w:r>
          </w:p>
        </w:tc>
        <w:tc>
          <w:tcPr>
            <w:tcW w:w="1771" w:type="pct"/>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88"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颗粒物</w:t>
            </w:r>
          </w:p>
        </w:tc>
        <w:tc>
          <w:tcPr>
            <w:tcW w:w="1148"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日</w:t>
            </w:r>
            <w:r>
              <w:rPr>
                <w:rFonts w:ascii="Times New Roman" w:eastAsia="宋体"/>
                <w:color w:val="auto"/>
                <w:sz w:val="21"/>
                <w:szCs w:val="21"/>
              </w:rPr>
              <w:t>平均</w:t>
            </w:r>
          </w:p>
        </w:tc>
        <w:tc>
          <w:tcPr>
            <w:tcW w:w="1091"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150</w:t>
            </w:r>
          </w:p>
        </w:tc>
        <w:tc>
          <w:tcPr>
            <w:tcW w:w="1771" w:type="pct"/>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88"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NH</w:t>
            </w:r>
            <w:r>
              <w:rPr>
                <w:rFonts w:ascii="Times New Roman" w:eastAsia="宋体"/>
                <w:color w:val="auto"/>
                <w:sz w:val="21"/>
                <w:szCs w:val="21"/>
                <w:vertAlign w:val="subscript"/>
              </w:rPr>
              <w:t>3</w:t>
            </w:r>
          </w:p>
        </w:tc>
        <w:tc>
          <w:tcPr>
            <w:tcW w:w="1148" w:type="pct"/>
            <w:tcBorders>
              <w:tl2br w:val="nil"/>
              <w:tr2bl w:val="nil"/>
            </w:tcBorders>
            <w:vAlign w:val="center"/>
          </w:tcPr>
          <w:p>
            <w:pPr>
              <w:pStyle w:val="373"/>
              <w:rPr>
                <w:color w:val="auto"/>
              </w:rPr>
            </w:pPr>
            <w:r>
              <w:rPr>
                <w:rFonts w:hint="eastAsia"/>
                <w:color w:val="auto"/>
              </w:rPr>
              <w:t>1h平均</w:t>
            </w:r>
          </w:p>
        </w:tc>
        <w:tc>
          <w:tcPr>
            <w:tcW w:w="1091"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200</w:t>
            </w:r>
          </w:p>
        </w:tc>
        <w:tc>
          <w:tcPr>
            <w:tcW w:w="1771" w:type="pct"/>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r>
              <w:rPr>
                <w:rFonts w:hint="eastAsia" w:ascii="Times New Roman" w:eastAsia="宋体"/>
                <w:color w:val="auto"/>
                <w:sz w:val="21"/>
                <w:szCs w:val="21"/>
              </w:rPr>
              <w:t>环境影响评价技术导则大气环境</w:t>
            </w:r>
            <w:r>
              <w:rPr>
                <w:rFonts w:ascii="Times New Roman" w:eastAsia="宋体"/>
                <w:color w:val="auto"/>
                <w:sz w:val="21"/>
                <w:szCs w:val="21"/>
              </w:rPr>
              <w:t>》（</w:t>
            </w:r>
            <w:r>
              <w:rPr>
                <w:rFonts w:hint="eastAsia" w:ascii="Times New Roman" w:eastAsia="宋体"/>
                <w:color w:val="auto"/>
                <w:sz w:val="21"/>
                <w:szCs w:val="21"/>
              </w:rPr>
              <w:t>HJ2.2</w:t>
            </w:r>
            <w:r>
              <w:rPr>
                <w:rFonts w:ascii="Times New Roman" w:eastAsia="宋体"/>
                <w:color w:val="auto"/>
                <w:sz w:val="21"/>
                <w:szCs w:val="21"/>
              </w:rPr>
              <w:t>-</w:t>
            </w:r>
            <w:r>
              <w:rPr>
                <w:rFonts w:hint="eastAsia" w:ascii="Times New Roman" w:eastAsia="宋体"/>
                <w:color w:val="auto"/>
                <w:sz w:val="21"/>
                <w:szCs w:val="21"/>
              </w:rPr>
              <w:t>2018</w:t>
            </w:r>
            <w:r>
              <w:rPr>
                <w:rFonts w:ascii="Times New Roman" w:eastAsia="宋体"/>
                <w:color w:val="auto"/>
                <w:sz w:val="21"/>
                <w:szCs w:val="21"/>
              </w:rPr>
              <w:t>）</w:t>
            </w:r>
            <w:r>
              <w:rPr>
                <w:rFonts w:hint="eastAsia" w:ascii="Times New Roman" w:eastAsia="宋体"/>
                <w:color w:val="auto"/>
                <w:sz w:val="21"/>
                <w:szCs w:val="21"/>
              </w:rPr>
              <w:t>附录D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88"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H</w:t>
            </w:r>
            <w:r>
              <w:rPr>
                <w:rFonts w:ascii="Times New Roman" w:eastAsia="宋体"/>
                <w:color w:val="auto"/>
                <w:sz w:val="21"/>
                <w:szCs w:val="21"/>
                <w:vertAlign w:val="subscript"/>
              </w:rPr>
              <w:t>2</w:t>
            </w:r>
            <w:r>
              <w:rPr>
                <w:rFonts w:ascii="Times New Roman" w:eastAsia="宋体"/>
                <w:color w:val="auto"/>
                <w:sz w:val="21"/>
                <w:szCs w:val="21"/>
              </w:rPr>
              <w:t>S</w:t>
            </w:r>
          </w:p>
        </w:tc>
        <w:tc>
          <w:tcPr>
            <w:tcW w:w="1148" w:type="pct"/>
            <w:tcBorders>
              <w:tl2br w:val="nil"/>
              <w:tr2bl w:val="nil"/>
            </w:tcBorders>
            <w:vAlign w:val="center"/>
          </w:tcPr>
          <w:p>
            <w:pPr>
              <w:pStyle w:val="373"/>
              <w:rPr>
                <w:color w:val="auto"/>
              </w:rPr>
            </w:pPr>
            <w:r>
              <w:rPr>
                <w:rFonts w:hint="eastAsia"/>
                <w:color w:val="auto"/>
              </w:rPr>
              <w:t>1h平均</w:t>
            </w:r>
          </w:p>
        </w:tc>
        <w:tc>
          <w:tcPr>
            <w:tcW w:w="1091"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10</w:t>
            </w:r>
          </w:p>
        </w:tc>
        <w:tc>
          <w:tcPr>
            <w:tcW w:w="1771" w:type="pct"/>
            <w:vMerge w:val="continue"/>
            <w:tcBorders>
              <w:tl2br w:val="nil"/>
              <w:tr2bl w:val="nil"/>
            </w:tcBorders>
            <w:vAlign w:val="center"/>
          </w:tcPr>
          <w:p>
            <w:pPr>
              <w:jc w:val="center"/>
              <w:rPr>
                <w:rFonts w:ascii="Times New Roman" w:eastAsia="宋体"/>
                <w:color w:val="auto"/>
                <w:sz w:val="21"/>
                <w:szCs w:val="21"/>
              </w:rPr>
            </w:pPr>
          </w:p>
        </w:tc>
      </w:tr>
    </w:tbl>
    <w:p>
      <w:pPr>
        <w:spacing w:line="360" w:lineRule="auto"/>
        <w:ind w:firstLine="484" w:firstLineChars="200"/>
        <w:rPr>
          <w:rFonts w:ascii="Times New Roman" w:eastAsia="宋体"/>
          <w:color w:val="auto"/>
          <w:szCs w:val="24"/>
        </w:rPr>
      </w:pPr>
      <w:r>
        <w:rPr>
          <w:rFonts w:ascii="Times New Roman" w:eastAsia="宋体"/>
          <w:color w:val="auto"/>
          <w:szCs w:val="24"/>
        </w:rPr>
        <w:t>估算</w:t>
      </w:r>
      <w:r>
        <w:rPr>
          <w:rFonts w:hint="eastAsia" w:ascii="Times New Roman" w:eastAsia="宋体"/>
          <w:color w:val="auto"/>
          <w:szCs w:val="24"/>
        </w:rPr>
        <w:t>模型</w:t>
      </w:r>
      <w:r>
        <w:rPr>
          <w:rFonts w:ascii="Times New Roman" w:eastAsia="宋体"/>
          <w:color w:val="auto"/>
          <w:szCs w:val="24"/>
        </w:rPr>
        <w:t>所用参数见表</w:t>
      </w:r>
      <w:r>
        <w:rPr>
          <w:rFonts w:hint="eastAsia" w:ascii="Times New Roman" w:eastAsia="宋体"/>
          <w:color w:val="auto"/>
          <w:szCs w:val="24"/>
        </w:rPr>
        <w:t>2.7-</w:t>
      </w:r>
      <w:r>
        <w:rPr>
          <w:rFonts w:ascii="Times New Roman" w:eastAsia="宋体"/>
          <w:color w:val="auto"/>
          <w:szCs w:val="24"/>
        </w:rPr>
        <w:t>3。</w:t>
      </w:r>
    </w:p>
    <w:p>
      <w:pPr>
        <w:pStyle w:val="17"/>
        <w:jc w:val="center"/>
        <w:rPr>
          <w:rFonts w:ascii="Times New Roman" w:hAnsi="Times New Roman" w:eastAsia="宋体" w:cs="Times New Roman"/>
          <w:b/>
          <w:bCs/>
          <w:color w:val="auto"/>
          <w:sz w:val="21"/>
        </w:rPr>
      </w:pPr>
      <w:r>
        <w:rPr>
          <w:rFonts w:ascii="Times New Roman" w:hAnsi="Times New Roman" w:eastAsia="宋体" w:cs="Times New Roman"/>
          <w:b/>
          <w:bCs/>
          <w:color w:val="auto"/>
          <w:sz w:val="21"/>
        </w:rPr>
        <w:t>表</w:t>
      </w:r>
      <w:r>
        <w:rPr>
          <w:rFonts w:hint="eastAsia" w:ascii="Times New Roman" w:hAnsi="Times New Roman" w:eastAsia="宋体" w:cs="Times New Roman"/>
          <w:b/>
          <w:bCs/>
          <w:color w:val="auto"/>
          <w:sz w:val="21"/>
        </w:rPr>
        <w:t>2.7-</w:t>
      </w:r>
      <w:r>
        <w:rPr>
          <w:rFonts w:ascii="Times New Roman" w:hAnsi="Times New Roman" w:eastAsia="宋体" w:cs="Times New Roman"/>
          <w:b/>
          <w:bCs/>
          <w:color w:val="auto"/>
          <w:sz w:val="21"/>
        </w:rPr>
        <w:t>3估算模型参数表</w:t>
      </w:r>
    </w:p>
    <w:tbl>
      <w:tblPr>
        <w:tblStyle w:val="47"/>
        <w:tblW w:w="861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98"/>
        <w:gridCol w:w="2912"/>
        <w:gridCol w:w="29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5710" w:type="dxa"/>
            <w:gridSpan w:val="2"/>
            <w:tcBorders>
              <w:tl2br w:val="nil"/>
              <w:tr2bl w:val="nil"/>
            </w:tcBorders>
            <w:vAlign w:val="center"/>
          </w:tcPr>
          <w:p>
            <w:pPr>
              <w:pStyle w:val="14"/>
              <w:spacing w:line="240" w:lineRule="auto"/>
              <w:ind w:firstLine="427"/>
              <w:jc w:val="center"/>
              <w:rPr>
                <w:rFonts w:ascii="Times New Roman" w:eastAsia="宋体"/>
                <w:b/>
                <w:bCs/>
                <w:color w:val="auto"/>
                <w:sz w:val="21"/>
                <w:szCs w:val="21"/>
              </w:rPr>
            </w:pPr>
            <w:r>
              <w:rPr>
                <w:rFonts w:ascii="Times New Roman" w:eastAsia="宋体"/>
                <w:b/>
                <w:bCs/>
                <w:color w:val="auto"/>
                <w:sz w:val="21"/>
                <w:szCs w:val="21"/>
              </w:rPr>
              <w:t>参数</w:t>
            </w:r>
          </w:p>
        </w:tc>
        <w:tc>
          <w:tcPr>
            <w:tcW w:w="2909" w:type="dxa"/>
            <w:tcBorders>
              <w:tl2br w:val="nil"/>
              <w:tr2bl w:val="nil"/>
            </w:tcBorders>
            <w:vAlign w:val="center"/>
          </w:tcPr>
          <w:p>
            <w:pPr>
              <w:pStyle w:val="14"/>
              <w:spacing w:line="240" w:lineRule="auto"/>
              <w:ind w:firstLine="0" w:firstLineChars="0"/>
              <w:jc w:val="center"/>
              <w:rPr>
                <w:rFonts w:ascii="Times New Roman" w:eastAsia="宋体"/>
                <w:b/>
                <w:bCs/>
                <w:color w:val="auto"/>
                <w:sz w:val="21"/>
                <w:szCs w:val="21"/>
              </w:rPr>
            </w:pPr>
            <w:r>
              <w:rPr>
                <w:rFonts w:ascii="Times New Roman" w:eastAsia="宋体"/>
                <w:b/>
                <w:bCs/>
                <w:color w:val="auto"/>
                <w:sz w:val="21"/>
                <w:szCs w:val="21"/>
              </w:rPr>
              <w:t>取值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vMerge w:val="restar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城市/农村选项</w:t>
            </w:r>
          </w:p>
        </w:tc>
        <w:tc>
          <w:tcPr>
            <w:tcW w:w="2912"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城市/农村</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农村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vMerge w:val="continue"/>
            <w:tcBorders>
              <w:tl2br w:val="nil"/>
              <w:tr2bl w:val="nil"/>
            </w:tcBorders>
            <w:vAlign w:val="center"/>
          </w:tcPr>
          <w:p>
            <w:pPr>
              <w:pStyle w:val="14"/>
              <w:spacing w:line="240" w:lineRule="auto"/>
              <w:ind w:firstLine="426"/>
              <w:jc w:val="center"/>
              <w:rPr>
                <w:rFonts w:ascii="Times New Roman" w:eastAsia="宋体"/>
                <w:color w:val="auto"/>
                <w:sz w:val="21"/>
                <w:szCs w:val="21"/>
              </w:rPr>
            </w:pPr>
          </w:p>
        </w:tc>
        <w:tc>
          <w:tcPr>
            <w:tcW w:w="2912"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人口数（城市选项时）</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5710" w:type="dxa"/>
            <w:gridSpan w:val="2"/>
            <w:tcBorders>
              <w:tl2br w:val="nil"/>
              <w:tr2bl w:val="nil"/>
            </w:tcBorders>
            <w:vAlign w:val="center"/>
          </w:tcPr>
          <w:p>
            <w:pPr>
              <w:pStyle w:val="14"/>
              <w:spacing w:line="240" w:lineRule="auto"/>
              <w:ind w:firstLine="426"/>
              <w:jc w:val="center"/>
              <w:rPr>
                <w:rFonts w:ascii="Times New Roman" w:eastAsia="宋体"/>
                <w:color w:val="auto"/>
                <w:sz w:val="21"/>
                <w:szCs w:val="21"/>
              </w:rPr>
            </w:pPr>
            <w:r>
              <w:rPr>
                <w:rFonts w:ascii="Times New Roman" w:eastAsia="宋体"/>
                <w:color w:val="auto"/>
                <w:sz w:val="21"/>
                <w:szCs w:val="21"/>
              </w:rPr>
              <w:t>最高环境温度/℃</w:t>
            </w:r>
          </w:p>
        </w:tc>
        <w:tc>
          <w:tcPr>
            <w:tcW w:w="2909" w:type="dxa"/>
            <w:tcBorders>
              <w:tl2br w:val="nil"/>
              <w:tr2bl w:val="nil"/>
            </w:tcBorders>
            <w:vAlign w:val="center"/>
          </w:tcPr>
          <w:p>
            <w:pPr>
              <w:pStyle w:val="387"/>
              <w:ind w:firstLine="0"/>
              <w:jc w:val="center"/>
              <w:rPr>
                <w:rFonts w:ascii="Times New Roman" w:hAnsi="Times New Roman" w:eastAsia="宋体"/>
                <w:color w:val="auto"/>
                <w:kern w:val="2"/>
                <w:sz w:val="21"/>
                <w:szCs w:val="21"/>
              </w:rPr>
            </w:pPr>
            <w:r>
              <w:rPr>
                <w:rFonts w:ascii="Times New Roman" w:hAnsi="Times New Roman" w:eastAsia="宋体"/>
                <w:color w:val="auto"/>
                <w:kern w:val="2"/>
                <w:sz w:val="21"/>
                <w:szCs w:val="21"/>
              </w:rPr>
              <w:t>40.3 °C</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5710" w:type="dxa"/>
            <w:gridSpan w:val="2"/>
            <w:tcBorders>
              <w:tl2br w:val="nil"/>
              <w:tr2bl w:val="nil"/>
            </w:tcBorders>
            <w:vAlign w:val="center"/>
          </w:tcPr>
          <w:p>
            <w:pPr>
              <w:pStyle w:val="14"/>
              <w:spacing w:line="240" w:lineRule="auto"/>
              <w:ind w:firstLine="426"/>
              <w:jc w:val="center"/>
              <w:rPr>
                <w:rFonts w:ascii="Times New Roman" w:eastAsia="宋体"/>
                <w:color w:val="auto"/>
                <w:sz w:val="21"/>
                <w:szCs w:val="21"/>
              </w:rPr>
            </w:pPr>
            <w:r>
              <w:rPr>
                <w:rFonts w:ascii="Times New Roman" w:eastAsia="宋体"/>
                <w:color w:val="auto"/>
                <w:sz w:val="21"/>
                <w:szCs w:val="21"/>
              </w:rPr>
              <w:t>最低环境温度/℃</w:t>
            </w:r>
          </w:p>
        </w:tc>
        <w:tc>
          <w:tcPr>
            <w:tcW w:w="2909" w:type="dxa"/>
            <w:tcBorders>
              <w:tl2br w:val="nil"/>
              <w:tr2bl w:val="nil"/>
            </w:tcBorders>
            <w:vAlign w:val="center"/>
          </w:tcPr>
          <w:p>
            <w:pPr>
              <w:pStyle w:val="387"/>
              <w:ind w:firstLine="0"/>
              <w:jc w:val="center"/>
              <w:rPr>
                <w:rFonts w:ascii="Times New Roman" w:hAnsi="Times New Roman" w:eastAsia="宋体"/>
                <w:color w:val="auto"/>
                <w:kern w:val="2"/>
                <w:sz w:val="21"/>
                <w:szCs w:val="21"/>
              </w:rPr>
            </w:pPr>
            <w:r>
              <w:rPr>
                <w:rFonts w:ascii="Times New Roman" w:hAnsi="Times New Roman" w:eastAsia="宋体"/>
                <w:color w:val="auto"/>
                <w:kern w:val="2"/>
                <w:sz w:val="21"/>
                <w:szCs w:val="21"/>
              </w:rPr>
              <w:t>-11.8 °C</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710" w:type="dxa"/>
            <w:gridSpan w:val="2"/>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土地利用类型</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农用地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710" w:type="dxa"/>
            <w:gridSpan w:val="2"/>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区域湿度条件</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潮湿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vMerge w:val="restar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是否考虑地形</w:t>
            </w:r>
          </w:p>
        </w:tc>
        <w:tc>
          <w:tcPr>
            <w:tcW w:w="2912"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考虑地形</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sym w:font="Wingdings" w:char="00FE"/>
            </w:r>
            <w:r>
              <w:rPr>
                <w:rFonts w:ascii="Times New Roman" w:eastAsia="宋体"/>
                <w:color w:val="auto"/>
                <w:sz w:val="21"/>
                <w:szCs w:val="21"/>
              </w:rPr>
              <w:t>是</w:t>
            </w:r>
            <w:r>
              <w:rPr>
                <w:rFonts w:ascii="Times New Roman" w:eastAsia="宋体"/>
                <w:color w:val="auto"/>
                <w:sz w:val="21"/>
                <w:szCs w:val="21"/>
              </w:rPr>
              <w:sym w:font="Wingdings" w:char="00A8"/>
            </w:r>
            <w:r>
              <w:rPr>
                <w:rFonts w:ascii="Times New Roman" w:eastAsia="宋体"/>
                <w:color w:val="auto"/>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vMerge w:val="continue"/>
            <w:tcBorders>
              <w:tl2br w:val="nil"/>
              <w:tr2bl w:val="nil"/>
            </w:tcBorders>
            <w:vAlign w:val="center"/>
          </w:tcPr>
          <w:p>
            <w:pPr>
              <w:pStyle w:val="14"/>
              <w:spacing w:line="240" w:lineRule="auto"/>
              <w:ind w:firstLine="426"/>
              <w:jc w:val="center"/>
              <w:rPr>
                <w:rFonts w:ascii="Times New Roman" w:eastAsia="宋体"/>
                <w:color w:val="auto"/>
                <w:sz w:val="21"/>
                <w:szCs w:val="21"/>
              </w:rPr>
            </w:pPr>
          </w:p>
        </w:tc>
        <w:tc>
          <w:tcPr>
            <w:tcW w:w="2912"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地形数据分辨率/m</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hint="eastAsia" w:ascii="Times New Roman" w:eastAsia="宋体"/>
                <w:color w:val="auto"/>
                <w:sz w:val="21"/>
                <w:szCs w:val="21"/>
              </w:rPr>
              <w:t>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vMerge w:val="restar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是否考虑岸线熏烟</w:t>
            </w:r>
          </w:p>
        </w:tc>
        <w:tc>
          <w:tcPr>
            <w:tcW w:w="2912"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考虑岸线熏烟</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sym w:font="Wingdings" w:char="00A8"/>
            </w:r>
            <w:r>
              <w:rPr>
                <w:rFonts w:ascii="Times New Roman" w:eastAsia="宋体"/>
                <w:color w:val="auto"/>
                <w:sz w:val="21"/>
                <w:szCs w:val="21"/>
              </w:rPr>
              <w:t>是</w:t>
            </w:r>
            <w:r>
              <w:rPr>
                <w:rFonts w:ascii="Times New Roman" w:eastAsia="宋体"/>
                <w:color w:val="auto"/>
                <w:sz w:val="21"/>
                <w:szCs w:val="21"/>
              </w:rPr>
              <w:sym w:font="Wingdings" w:char="00FE"/>
            </w:r>
            <w:r>
              <w:rPr>
                <w:rFonts w:ascii="Times New Roman" w:eastAsia="宋体"/>
                <w:color w:val="auto"/>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vMerge w:val="continue"/>
            <w:tcBorders>
              <w:tl2br w:val="nil"/>
              <w:tr2bl w:val="nil"/>
            </w:tcBorders>
            <w:vAlign w:val="center"/>
          </w:tcPr>
          <w:p>
            <w:pPr>
              <w:pStyle w:val="14"/>
              <w:spacing w:line="240" w:lineRule="auto"/>
              <w:ind w:firstLine="426"/>
              <w:jc w:val="center"/>
              <w:rPr>
                <w:rFonts w:ascii="Times New Roman" w:eastAsia="宋体"/>
                <w:color w:val="auto"/>
                <w:sz w:val="21"/>
                <w:szCs w:val="21"/>
              </w:rPr>
            </w:pPr>
          </w:p>
        </w:tc>
        <w:tc>
          <w:tcPr>
            <w:tcW w:w="2912"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岸线距离/km</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798" w:type="dxa"/>
            <w:vMerge w:val="continue"/>
            <w:tcBorders>
              <w:tl2br w:val="nil"/>
              <w:tr2bl w:val="nil"/>
            </w:tcBorders>
            <w:vAlign w:val="center"/>
          </w:tcPr>
          <w:p>
            <w:pPr>
              <w:pStyle w:val="14"/>
              <w:spacing w:line="240" w:lineRule="auto"/>
              <w:ind w:firstLine="426"/>
              <w:jc w:val="center"/>
              <w:rPr>
                <w:rFonts w:ascii="Times New Roman" w:eastAsia="宋体"/>
                <w:color w:val="auto"/>
                <w:sz w:val="21"/>
                <w:szCs w:val="21"/>
              </w:rPr>
            </w:pPr>
          </w:p>
        </w:tc>
        <w:tc>
          <w:tcPr>
            <w:tcW w:w="2912"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岸线方向/°</w:t>
            </w:r>
          </w:p>
        </w:tc>
        <w:tc>
          <w:tcPr>
            <w:tcW w:w="2909" w:type="dxa"/>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w:t>
            </w:r>
          </w:p>
        </w:tc>
      </w:tr>
    </w:tbl>
    <w:p>
      <w:pPr>
        <w:spacing w:line="360" w:lineRule="auto"/>
        <w:ind w:firstLine="484" w:firstLineChars="200"/>
        <w:rPr>
          <w:rFonts w:ascii="Times New Roman" w:eastAsia="宋体"/>
          <w:color w:val="auto"/>
          <w:szCs w:val="24"/>
        </w:rPr>
      </w:pPr>
      <w:r>
        <w:rPr>
          <w:rFonts w:ascii="Times New Roman" w:eastAsia="宋体"/>
          <w:color w:val="auto"/>
          <w:szCs w:val="24"/>
        </w:rPr>
        <w:t>本项目</w:t>
      </w:r>
      <w:r>
        <w:rPr>
          <w:rFonts w:hint="eastAsia" w:ascii="Times New Roman" w:eastAsia="宋体"/>
          <w:color w:val="auto"/>
          <w:szCs w:val="24"/>
        </w:rPr>
        <w:t>点</w:t>
      </w:r>
      <w:r>
        <w:rPr>
          <w:rFonts w:ascii="Times New Roman" w:eastAsia="宋体"/>
          <w:color w:val="auto"/>
          <w:szCs w:val="24"/>
        </w:rPr>
        <w:t>源为</w:t>
      </w:r>
      <w:r>
        <w:rPr>
          <w:rFonts w:hint="eastAsia" w:ascii="Times New Roman" w:eastAsia="宋体"/>
          <w:color w:val="auto"/>
          <w:szCs w:val="24"/>
        </w:rPr>
        <w:t>2台生物质锅炉</w:t>
      </w:r>
      <w:r>
        <w:rPr>
          <w:rFonts w:hint="eastAsia" w:ascii="Times New Roman" w:eastAsia="宋体"/>
          <w:color w:val="auto"/>
          <w:szCs w:val="24"/>
          <w:lang w:val="en-US" w:eastAsia="zh-CN"/>
        </w:rPr>
        <w:t>排气筒（DA001）</w:t>
      </w:r>
      <w:r>
        <w:rPr>
          <w:rFonts w:ascii="Times New Roman" w:eastAsia="宋体"/>
          <w:color w:val="auto"/>
          <w:szCs w:val="24"/>
        </w:rPr>
        <w:t>，参数见表</w:t>
      </w:r>
      <w:r>
        <w:rPr>
          <w:rFonts w:hint="eastAsia" w:ascii="Times New Roman" w:eastAsia="宋体"/>
          <w:color w:val="auto"/>
          <w:szCs w:val="24"/>
        </w:rPr>
        <w:t>2.7-4</w:t>
      </w:r>
      <w:r>
        <w:rPr>
          <w:rFonts w:ascii="Times New Roman" w:eastAsia="宋体"/>
          <w:color w:val="auto"/>
          <w:szCs w:val="24"/>
        </w:rPr>
        <w:t>。</w:t>
      </w:r>
      <w:r>
        <w:rPr>
          <w:rFonts w:hint="eastAsia" w:ascii="Times New Roman" w:eastAsia="宋体"/>
          <w:color w:val="auto"/>
          <w:szCs w:val="24"/>
        </w:rPr>
        <w:t xml:space="preserve"> </w:t>
      </w:r>
    </w:p>
    <w:p>
      <w:pPr>
        <w:pStyle w:val="17"/>
        <w:spacing w:beforeLines="50" w:line="0" w:lineRule="atLeast"/>
        <w:jc w:val="center"/>
        <w:rPr>
          <w:rFonts w:ascii="Times New Roman" w:hAnsi="Times New Roman" w:eastAsia="宋体" w:cs="Times New Roman"/>
          <w:b/>
          <w:bCs/>
          <w:color w:val="auto"/>
          <w:sz w:val="21"/>
          <w:u w:val="single"/>
        </w:rPr>
      </w:pPr>
      <w:r>
        <w:rPr>
          <w:rFonts w:ascii="Times New Roman" w:hAnsi="Times New Roman" w:eastAsia="宋体" w:cs="Times New Roman"/>
          <w:b/>
          <w:bCs/>
          <w:color w:val="auto"/>
          <w:sz w:val="21"/>
          <w:u w:val="single"/>
        </w:rPr>
        <w:t>表</w:t>
      </w:r>
      <w:r>
        <w:rPr>
          <w:rFonts w:hint="eastAsia" w:ascii="Times New Roman" w:hAnsi="Times New Roman" w:eastAsia="宋体" w:cs="Times New Roman"/>
          <w:b/>
          <w:bCs/>
          <w:color w:val="auto"/>
          <w:sz w:val="21"/>
          <w:u w:val="single"/>
        </w:rPr>
        <w:t>2.7-</w:t>
      </w:r>
      <w:r>
        <w:rPr>
          <w:rFonts w:ascii="Times New Roman" w:hAnsi="Times New Roman" w:eastAsia="宋体" w:cs="Times New Roman"/>
          <w:b/>
          <w:bCs/>
          <w:color w:val="auto"/>
          <w:sz w:val="21"/>
          <w:u w:val="single"/>
        </w:rPr>
        <w:t>4本项目点源参数表</w:t>
      </w:r>
    </w:p>
    <w:tbl>
      <w:tblPr>
        <w:tblStyle w:val="47"/>
        <w:tblW w:w="86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5"/>
        <w:gridCol w:w="784"/>
        <w:gridCol w:w="707"/>
        <w:gridCol w:w="894"/>
        <w:gridCol w:w="644"/>
        <w:gridCol w:w="706"/>
        <w:gridCol w:w="506"/>
        <w:gridCol w:w="490"/>
        <w:gridCol w:w="782"/>
        <w:gridCol w:w="732"/>
        <w:gridCol w:w="907"/>
        <w:gridCol w:w="8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49" w:hRule="atLeast"/>
        </w:trPr>
        <w:tc>
          <w:tcPr>
            <w:tcW w:w="655" w:type="dxa"/>
            <w:vMerge w:val="restart"/>
            <w:tcBorders>
              <w:tl2br w:val="nil"/>
              <w:tr2bl w:val="nil"/>
            </w:tcBorders>
            <w:vAlign w:val="center"/>
          </w:tcPr>
          <w:p>
            <w:pPr>
              <w:snapToGrid w:val="0"/>
              <w:jc w:val="center"/>
              <w:rPr>
                <w:rFonts w:ascii="Times New Roman" w:eastAsia="宋体"/>
                <w:b/>
                <w:bCs/>
                <w:color w:val="auto"/>
                <w:sz w:val="21"/>
                <w:szCs w:val="21"/>
                <w:u w:val="single"/>
              </w:rPr>
            </w:pPr>
            <w:bookmarkStart w:id="123" w:name="OLE_LINK1" w:colFirst="0" w:colLast="11"/>
            <w:r>
              <w:rPr>
                <w:rFonts w:ascii="Times New Roman" w:eastAsia="宋体"/>
                <w:b/>
                <w:bCs/>
                <w:color w:val="auto"/>
                <w:kern w:val="2"/>
                <w:sz w:val="21"/>
                <w:szCs w:val="21"/>
                <w:u w:val="single"/>
              </w:rPr>
              <w:t>名称</w:t>
            </w:r>
          </w:p>
        </w:tc>
        <w:tc>
          <w:tcPr>
            <w:tcW w:w="1491" w:type="dxa"/>
            <w:gridSpan w:val="2"/>
            <w:tcBorders>
              <w:tl2br w:val="nil"/>
              <w:tr2bl w:val="nil"/>
            </w:tcBorders>
            <w:vAlign w:val="center"/>
          </w:tcPr>
          <w:p>
            <w:pPr>
              <w:snapToGrid w:val="0"/>
              <w:jc w:val="center"/>
              <w:rPr>
                <w:rFonts w:ascii="Times New Roman" w:eastAsia="宋体"/>
                <w:b/>
                <w:bCs/>
                <w:color w:val="auto"/>
                <w:kern w:val="2"/>
                <w:sz w:val="21"/>
                <w:szCs w:val="21"/>
                <w:u w:val="single"/>
              </w:rPr>
            </w:pPr>
            <w:r>
              <w:rPr>
                <w:rFonts w:ascii="Times New Roman" w:eastAsia="宋体"/>
                <w:b/>
                <w:bCs/>
                <w:color w:val="auto"/>
                <w:kern w:val="2"/>
                <w:sz w:val="21"/>
                <w:szCs w:val="21"/>
                <w:u w:val="single"/>
              </w:rPr>
              <w:t>排气筒底部中心坐标/</w:t>
            </w:r>
            <w:r>
              <w:rPr>
                <w:rFonts w:hint="eastAsia" w:ascii="Times New Roman" w:eastAsia="宋体"/>
                <w:b/>
                <w:bCs/>
                <w:color w:val="auto"/>
                <w:kern w:val="2"/>
                <w:sz w:val="21"/>
                <w:szCs w:val="21"/>
                <w:u w:val="single"/>
              </w:rPr>
              <w:t>°</w:t>
            </w:r>
          </w:p>
        </w:tc>
        <w:tc>
          <w:tcPr>
            <w:tcW w:w="894"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排气筒底部海拔高度</w:t>
            </w:r>
          </w:p>
        </w:tc>
        <w:tc>
          <w:tcPr>
            <w:tcW w:w="644"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排气筒高度</w:t>
            </w:r>
          </w:p>
        </w:tc>
        <w:tc>
          <w:tcPr>
            <w:tcW w:w="706"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排气筒出口内径</w:t>
            </w:r>
          </w:p>
        </w:tc>
        <w:tc>
          <w:tcPr>
            <w:tcW w:w="506"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烟气流速</w:t>
            </w:r>
          </w:p>
        </w:tc>
        <w:tc>
          <w:tcPr>
            <w:tcW w:w="490"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烟气温度</w:t>
            </w:r>
          </w:p>
        </w:tc>
        <w:tc>
          <w:tcPr>
            <w:tcW w:w="782"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年排放小时数</w:t>
            </w:r>
          </w:p>
        </w:tc>
        <w:tc>
          <w:tcPr>
            <w:tcW w:w="732"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排放工况</w:t>
            </w:r>
          </w:p>
        </w:tc>
        <w:tc>
          <w:tcPr>
            <w:tcW w:w="1774" w:type="dxa"/>
            <w:gridSpan w:val="2"/>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污染物排放速率/kg/h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655"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784" w:type="dxa"/>
            <w:tcBorders>
              <w:tl2br w:val="nil"/>
              <w:tr2bl w:val="nil"/>
            </w:tcBorders>
            <w:vAlign w:val="center"/>
          </w:tcPr>
          <w:p>
            <w:pPr>
              <w:snapToGrid w:val="0"/>
              <w:jc w:val="center"/>
              <w:rPr>
                <w:rFonts w:ascii="Times New Roman" w:eastAsia="宋体"/>
                <w:b/>
                <w:bCs/>
                <w:color w:val="auto"/>
                <w:sz w:val="21"/>
                <w:szCs w:val="21"/>
                <w:u w:val="single"/>
              </w:rPr>
            </w:pPr>
            <w:r>
              <w:rPr>
                <w:rFonts w:hint="eastAsia" w:ascii="Times New Roman" w:eastAsia="宋体"/>
                <w:b/>
                <w:bCs/>
                <w:color w:val="auto"/>
                <w:kern w:val="2"/>
                <w:sz w:val="21"/>
                <w:szCs w:val="21"/>
                <w:u w:val="single"/>
              </w:rPr>
              <w:t>E</w:t>
            </w:r>
          </w:p>
        </w:tc>
        <w:tc>
          <w:tcPr>
            <w:tcW w:w="707" w:type="dxa"/>
            <w:tcBorders>
              <w:tl2br w:val="nil"/>
              <w:tr2bl w:val="nil"/>
            </w:tcBorders>
            <w:vAlign w:val="center"/>
          </w:tcPr>
          <w:p>
            <w:pPr>
              <w:snapToGrid w:val="0"/>
              <w:jc w:val="center"/>
              <w:rPr>
                <w:rFonts w:ascii="Times New Roman" w:eastAsia="宋体"/>
                <w:b/>
                <w:bCs/>
                <w:color w:val="auto"/>
                <w:sz w:val="21"/>
                <w:szCs w:val="21"/>
                <w:u w:val="single"/>
              </w:rPr>
            </w:pPr>
            <w:r>
              <w:rPr>
                <w:rFonts w:hint="eastAsia" w:ascii="Times New Roman" w:eastAsia="宋体"/>
                <w:b/>
                <w:bCs/>
                <w:color w:val="auto"/>
                <w:kern w:val="2"/>
                <w:sz w:val="21"/>
                <w:szCs w:val="21"/>
                <w:u w:val="single"/>
              </w:rPr>
              <w:t>N</w:t>
            </w:r>
          </w:p>
        </w:tc>
        <w:tc>
          <w:tcPr>
            <w:tcW w:w="894"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644"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706"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506"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490"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782"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732" w:type="dxa"/>
            <w:vMerge w:val="continue"/>
            <w:tcBorders>
              <w:tl2br w:val="nil"/>
              <w:tr2bl w:val="nil"/>
            </w:tcBorders>
            <w:vAlign w:val="center"/>
          </w:tcPr>
          <w:p>
            <w:pPr>
              <w:snapToGrid w:val="0"/>
              <w:jc w:val="center"/>
              <w:rPr>
                <w:rFonts w:ascii="Times New Roman" w:eastAsia="宋体"/>
                <w:b/>
                <w:bCs/>
                <w:color w:val="auto"/>
                <w:sz w:val="21"/>
                <w:szCs w:val="21"/>
                <w:u w:val="single"/>
              </w:rPr>
            </w:pPr>
          </w:p>
        </w:tc>
        <w:tc>
          <w:tcPr>
            <w:tcW w:w="1774" w:type="dxa"/>
            <w:gridSpan w:val="2"/>
            <w:vMerge w:val="continue"/>
            <w:tcBorders>
              <w:tl2br w:val="nil"/>
              <w:tr2bl w:val="nil"/>
            </w:tcBorders>
            <w:vAlign w:val="center"/>
          </w:tcPr>
          <w:p>
            <w:pPr>
              <w:snapToGrid w:val="0"/>
              <w:jc w:val="center"/>
              <w:rPr>
                <w:rFonts w:ascii="Times New Roman" w:eastAsia="宋体"/>
                <w:b/>
                <w:bCs/>
                <w:color w:val="auto"/>
                <w:sz w:val="21"/>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655"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DA001</w:t>
            </w:r>
          </w:p>
        </w:tc>
        <w:tc>
          <w:tcPr>
            <w:tcW w:w="784"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ascii="Times New Roman" w:eastAsia="宋体"/>
                <w:color w:val="auto"/>
                <w:sz w:val="21"/>
                <w:szCs w:val="21"/>
                <w:u w:val="single"/>
              </w:rPr>
              <w:t>113.177036</w:t>
            </w:r>
          </w:p>
        </w:tc>
        <w:tc>
          <w:tcPr>
            <w:tcW w:w="707"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ascii="Times New Roman" w:eastAsia="宋体"/>
                <w:color w:val="auto"/>
                <w:sz w:val="21"/>
                <w:szCs w:val="21"/>
                <w:u w:val="single"/>
              </w:rPr>
              <w:t>29.095265</w:t>
            </w:r>
          </w:p>
        </w:tc>
        <w:tc>
          <w:tcPr>
            <w:tcW w:w="894"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70m</w:t>
            </w:r>
          </w:p>
        </w:tc>
        <w:tc>
          <w:tcPr>
            <w:tcW w:w="644"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30m</w:t>
            </w:r>
          </w:p>
        </w:tc>
        <w:tc>
          <w:tcPr>
            <w:tcW w:w="706"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lang w:val="en-US" w:eastAsia="zh-CN"/>
              </w:rPr>
              <w:t>0.4</w:t>
            </w:r>
            <w:r>
              <w:rPr>
                <w:rFonts w:ascii="Times New Roman" w:eastAsia="宋体"/>
                <w:color w:val="auto"/>
                <w:kern w:val="2"/>
                <w:sz w:val="21"/>
                <w:szCs w:val="21"/>
                <w:u w:val="single"/>
              </w:rPr>
              <w:t>m</w:t>
            </w:r>
          </w:p>
        </w:tc>
        <w:tc>
          <w:tcPr>
            <w:tcW w:w="506"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lang w:val="en-US" w:eastAsia="zh-CN"/>
              </w:rPr>
              <w:t>13.7</w:t>
            </w:r>
            <w:r>
              <w:rPr>
                <w:rFonts w:hint="eastAsia" w:ascii="Times New Roman" w:eastAsia="宋体"/>
                <w:color w:val="auto"/>
                <w:sz w:val="21"/>
                <w:szCs w:val="21"/>
                <w:u w:val="single"/>
              </w:rPr>
              <w:t>m/s</w:t>
            </w:r>
          </w:p>
        </w:tc>
        <w:tc>
          <w:tcPr>
            <w:tcW w:w="490"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323k</w:t>
            </w:r>
          </w:p>
        </w:tc>
        <w:tc>
          <w:tcPr>
            <w:tcW w:w="782"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1200h</w:t>
            </w:r>
          </w:p>
        </w:tc>
        <w:tc>
          <w:tcPr>
            <w:tcW w:w="732" w:type="dxa"/>
            <w:vMerge w:val="restart"/>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正常</w:t>
            </w:r>
          </w:p>
        </w:tc>
        <w:tc>
          <w:tcPr>
            <w:tcW w:w="907"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kern w:val="2"/>
                <w:sz w:val="21"/>
                <w:szCs w:val="21"/>
                <w:u w:val="single"/>
                <w:lang w:val="en-US" w:eastAsia="zh-CN"/>
              </w:rPr>
              <w:t>颗粒物</w:t>
            </w:r>
          </w:p>
        </w:tc>
        <w:tc>
          <w:tcPr>
            <w:tcW w:w="867" w:type="dxa"/>
            <w:tcBorders>
              <w:tl2br w:val="nil"/>
              <w:tr2bl w:val="nil"/>
            </w:tcBorders>
            <w:vAlign w:val="center"/>
          </w:tcPr>
          <w:p>
            <w:pPr>
              <w:snapToGrid w:val="0"/>
              <w:jc w:val="center"/>
              <w:rPr>
                <w:rFonts w:hint="eastAsia" w:ascii="Times New Roman" w:eastAsia="宋体"/>
                <w:color w:val="auto"/>
                <w:sz w:val="21"/>
                <w:szCs w:val="21"/>
                <w:u w:val="single"/>
              </w:rPr>
            </w:pPr>
            <w:r>
              <w:rPr>
                <w:rFonts w:hint="eastAsia" w:ascii="Times New Roman" w:eastAsia="宋体"/>
                <w:color w:val="auto"/>
                <w:sz w:val="21"/>
                <w:szCs w:val="21"/>
                <w:u w:val="single"/>
                <w:lang w:val="en-US" w:eastAsia="zh-CN"/>
              </w:rPr>
              <w:t>0.024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655"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84"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07"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894"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644"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06"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506"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490"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82"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32"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907" w:type="dxa"/>
            <w:tcBorders>
              <w:tl2br w:val="nil"/>
              <w:tr2bl w:val="nil"/>
            </w:tcBorders>
            <w:vAlign w:val="center"/>
          </w:tcPr>
          <w:p>
            <w:pPr>
              <w:snapToGrid w:val="0"/>
              <w:jc w:val="center"/>
              <w:rPr>
                <w:rFonts w:ascii="Times New Roman" w:eastAsia="宋体"/>
                <w:color w:val="auto"/>
                <w:sz w:val="21"/>
                <w:szCs w:val="21"/>
                <w:u w:val="single"/>
              </w:rPr>
            </w:pPr>
            <w:r>
              <w:rPr>
                <w:rFonts w:ascii="Times New Roman" w:eastAsia="宋体"/>
                <w:color w:val="auto"/>
                <w:kern w:val="2"/>
                <w:sz w:val="21"/>
                <w:szCs w:val="21"/>
                <w:u w:val="single"/>
              </w:rPr>
              <w:t>SO</w:t>
            </w:r>
            <w:r>
              <w:rPr>
                <w:rFonts w:ascii="Times New Roman" w:eastAsia="宋体"/>
                <w:color w:val="auto"/>
                <w:kern w:val="2"/>
                <w:sz w:val="21"/>
                <w:szCs w:val="21"/>
                <w:u w:val="single"/>
                <w:vertAlign w:val="subscript"/>
              </w:rPr>
              <w:t>2</w:t>
            </w:r>
          </w:p>
        </w:tc>
        <w:tc>
          <w:tcPr>
            <w:tcW w:w="867" w:type="dxa"/>
            <w:tcBorders>
              <w:tl2br w:val="nil"/>
              <w:tr2bl w:val="nil"/>
            </w:tcBorders>
            <w:vAlign w:val="center"/>
          </w:tcPr>
          <w:p>
            <w:pPr>
              <w:snapToGrid w:val="0"/>
              <w:jc w:val="center"/>
              <w:rPr>
                <w:rFonts w:hint="eastAsia" w:ascii="Times New Roman" w:eastAsia="宋体"/>
                <w:color w:val="auto"/>
                <w:sz w:val="21"/>
                <w:szCs w:val="21"/>
                <w:u w:val="single"/>
              </w:rPr>
            </w:pPr>
            <w:r>
              <w:rPr>
                <w:rFonts w:hint="eastAsia" w:ascii="Times New Roman" w:eastAsia="宋体"/>
                <w:color w:val="auto"/>
                <w:sz w:val="21"/>
                <w:szCs w:val="21"/>
                <w:u w:val="single"/>
                <w:lang w:val="en-US" w:eastAsia="zh-CN"/>
              </w:rPr>
              <w:t>0.571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655"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84"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07"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894"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644"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06"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506"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490"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82"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732" w:type="dxa"/>
            <w:vMerge w:val="continue"/>
            <w:tcBorders>
              <w:tl2br w:val="nil"/>
              <w:tr2bl w:val="nil"/>
            </w:tcBorders>
            <w:vAlign w:val="center"/>
          </w:tcPr>
          <w:p>
            <w:pPr>
              <w:snapToGrid w:val="0"/>
              <w:jc w:val="center"/>
              <w:rPr>
                <w:rFonts w:ascii="Times New Roman" w:eastAsia="宋体"/>
                <w:color w:val="auto"/>
                <w:sz w:val="21"/>
                <w:szCs w:val="21"/>
                <w:u w:val="single"/>
              </w:rPr>
            </w:pPr>
          </w:p>
        </w:tc>
        <w:tc>
          <w:tcPr>
            <w:tcW w:w="907" w:type="dxa"/>
            <w:tcBorders>
              <w:tl2br w:val="nil"/>
              <w:tr2bl w:val="nil"/>
            </w:tcBorders>
            <w:vAlign w:val="center"/>
          </w:tcPr>
          <w:p>
            <w:pPr>
              <w:snapToGrid w:val="0"/>
              <w:jc w:val="center"/>
              <w:rPr>
                <w:rFonts w:hint="eastAsia" w:ascii="Times New Roman" w:eastAsia="宋体"/>
                <w:color w:val="auto"/>
                <w:sz w:val="21"/>
                <w:szCs w:val="21"/>
                <w:u w:val="single"/>
                <w:lang w:eastAsia="zh-CN"/>
              </w:rPr>
            </w:pPr>
            <w:r>
              <w:rPr>
                <w:rFonts w:ascii="Times New Roman" w:eastAsia="宋体"/>
                <w:color w:val="auto"/>
                <w:kern w:val="2"/>
                <w:sz w:val="21"/>
                <w:szCs w:val="21"/>
                <w:u w:val="single"/>
              </w:rPr>
              <w:t>NO</w:t>
            </w:r>
            <w:r>
              <w:rPr>
                <w:rFonts w:ascii="Times New Roman" w:eastAsia="宋体"/>
                <w:color w:val="auto"/>
                <w:kern w:val="2"/>
                <w:sz w:val="21"/>
                <w:szCs w:val="21"/>
                <w:u w:val="single"/>
                <w:vertAlign w:val="subscript"/>
              </w:rPr>
              <w:t>X</w:t>
            </w:r>
          </w:p>
        </w:tc>
        <w:tc>
          <w:tcPr>
            <w:tcW w:w="867" w:type="dxa"/>
            <w:tcBorders>
              <w:tl2br w:val="nil"/>
              <w:tr2bl w:val="nil"/>
            </w:tcBorders>
            <w:vAlign w:val="center"/>
          </w:tcPr>
          <w:p>
            <w:pPr>
              <w:snapToGrid w:val="0"/>
              <w:jc w:val="center"/>
              <w:rPr>
                <w:rFonts w:hint="default" w:ascii="Times New Roman" w:eastAsia="宋体"/>
                <w:color w:val="auto"/>
                <w:sz w:val="21"/>
                <w:szCs w:val="21"/>
                <w:u w:val="single"/>
                <w:lang w:val="en-US"/>
              </w:rPr>
            </w:pPr>
            <w:r>
              <w:rPr>
                <w:rFonts w:hint="eastAsia" w:ascii="Times New Roman" w:eastAsia="宋体"/>
                <w:color w:val="auto"/>
                <w:sz w:val="21"/>
                <w:szCs w:val="21"/>
                <w:u w:val="single"/>
                <w:lang w:val="en-US" w:eastAsia="zh-CN"/>
              </w:rPr>
              <w:t>0.490</w:t>
            </w:r>
          </w:p>
        </w:tc>
      </w:tr>
      <w:bookmarkEnd w:id="123"/>
    </w:tbl>
    <w:p>
      <w:pPr>
        <w:spacing w:line="360" w:lineRule="auto"/>
        <w:ind w:firstLine="484" w:firstLineChars="200"/>
        <w:rPr>
          <w:rFonts w:ascii="Times New Roman" w:eastAsia="宋体"/>
          <w:color w:val="auto"/>
          <w:szCs w:val="24"/>
          <w:u w:val="single"/>
        </w:rPr>
      </w:pPr>
      <w:r>
        <w:rPr>
          <w:rFonts w:ascii="Times New Roman" w:eastAsia="宋体"/>
          <w:color w:val="auto"/>
          <w:szCs w:val="24"/>
          <w:u w:val="single"/>
        </w:rPr>
        <w:t>本项目矩形面源为鸡舍</w:t>
      </w:r>
      <w:r>
        <w:rPr>
          <w:rFonts w:hint="eastAsia" w:ascii="Times New Roman" w:eastAsia="宋体"/>
          <w:color w:val="auto"/>
          <w:szCs w:val="24"/>
          <w:u w:val="single"/>
        </w:rPr>
        <w:t>及污水沉淀池区域</w:t>
      </w:r>
      <w:r>
        <w:rPr>
          <w:rFonts w:ascii="Times New Roman" w:eastAsia="宋体"/>
          <w:color w:val="auto"/>
          <w:szCs w:val="24"/>
          <w:u w:val="single"/>
        </w:rPr>
        <w:t>，参数见表</w:t>
      </w:r>
      <w:r>
        <w:rPr>
          <w:rFonts w:hint="eastAsia" w:ascii="Times New Roman" w:eastAsia="宋体"/>
          <w:color w:val="auto"/>
          <w:szCs w:val="24"/>
          <w:u w:val="single"/>
        </w:rPr>
        <w:t>2.7-</w:t>
      </w:r>
      <w:r>
        <w:rPr>
          <w:rFonts w:ascii="Times New Roman" w:eastAsia="宋体"/>
          <w:color w:val="auto"/>
          <w:szCs w:val="24"/>
          <w:u w:val="single"/>
        </w:rPr>
        <w:t>5。</w:t>
      </w:r>
    </w:p>
    <w:p>
      <w:pPr>
        <w:pStyle w:val="17"/>
        <w:spacing w:beforeLines="50" w:line="0" w:lineRule="atLeast"/>
        <w:jc w:val="center"/>
        <w:rPr>
          <w:rFonts w:ascii="Times New Roman" w:hAnsi="Times New Roman" w:eastAsia="宋体" w:cs="Times New Roman"/>
          <w:b/>
          <w:bCs/>
          <w:color w:val="auto"/>
          <w:sz w:val="21"/>
          <w:u w:val="single"/>
        </w:rPr>
      </w:pPr>
      <w:r>
        <w:rPr>
          <w:rFonts w:ascii="Times New Roman" w:hAnsi="Times New Roman" w:eastAsia="宋体" w:cs="Times New Roman"/>
          <w:b/>
          <w:bCs/>
          <w:color w:val="auto"/>
          <w:sz w:val="21"/>
          <w:u w:val="single"/>
        </w:rPr>
        <w:t>表</w:t>
      </w:r>
      <w:r>
        <w:rPr>
          <w:rFonts w:hint="eastAsia" w:ascii="Times New Roman" w:hAnsi="Times New Roman" w:eastAsia="宋体" w:cs="Times New Roman"/>
          <w:b/>
          <w:bCs/>
          <w:color w:val="auto"/>
          <w:sz w:val="21"/>
          <w:u w:val="single"/>
        </w:rPr>
        <w:t>2.7-</w:t>
      </w:r>
      <w:r>
        <w:rPr>
          <w:rFonts w:ascii="Times New Roman" w:hAnsi="Times New Roman" w:eastAsia="宋体" w:cs="Times New Roman"/>
          <w:b/>
          <w:bCs/>
          <w:color w:val="auto"/>
          <w:sz w:val="21"/>
          <w:u w:val="single"/>
        </w:rPr>
        <w:t>5本项目矩形面源参数表</w:t>
      </w:r>
    </w:p>
    <w:tbl>
      <w:tblPr>
        <w:tblStyle w:val="47"/>
        <w:tblW w:w="853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09"/>
        <w:gridCol w:w="612"/>
        <w:gridCol w:w="577"/>
        <w:gridCol w:w="750"/>
        <w:gridCol w:w="530"/>
        <w:gridCol w:w="531"/>
        <w:gridCol w:w="695"/>
        <w:gridCol w:w="658"/>
        <w:gridCol w:w="805"/>
        <w:gridCol w:w="677"/>
        <w:gridCol w:w="823"/>
        <w:gridCol w:w="7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419"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编号</w:t>
            </w:r>
          </w:p>
        </w:tc>
        <w:tc>
          <w:tcPr>
            <w:tcW w:w="709"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名称</w:t>
            </w:r>
          </w:p>
        </w:tc>
        <w:tc>
          <w:tcPr>
            <w:tcW w:w="1189" w:type="dxa"/>
            <w:gridSpan w:val="2"/>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面源起点坐标/</w:t>
            </w:r>
            <w:r>
              <w:rPr>
                <w:rFonts w:hint="eastAsia" w:ascii="Times New Roman" w:eastAsia="宋体"/>
                <w:b/>
                <w:bCs/>
                <w:color w:val="auto"/>
                <w:kern w:val="2"/>
                <w:sz w:val="21"/>
                <w:szCs w:val="21"/>
                <w:u w:val="single"/>
              </w:rPr>
              <w:t>°</w:t>
            </w:r>
          </w:p>
        </w:tc>
        <w:tc>
          <w:tcPr>
            <w:tcW w:w="750"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面源海拔高度</w:t>
            </w:r>
          </w:p>
        </w:tc>
        <w:tc>
          <w:tcPr>
            <w:tcW w:w="530"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面源长度</w:t>
            </w:r>
          </w:p>
        </w:tc>
        <w:tc>
          <w:tcPr>
            <w:tcW w:w="531"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面源宽度</w:t>
            </w:r>
          </w:p>
        </w:tc>
        <w:tc>
          <w:tcPr>
            <w:tcW w:w="695"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与正北向夹角</w:t>
            </w:r>
          </w:p>
        </w:tc>
        <w:tc>
          <w:tcPr>
            <w:tcW w:w="658"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面源有效排放高度</w:t>
            </w:r>
          </w:p>
        </w:tc>
        <w:tc>
          <w:tcPr>
            <w:tcW w:w="805"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年排放小时数</w:t>
            </w:r>
          </w:p>
        </w:tc>
        <w:tc>
          <w:tcPr>
            <w:tcW w:w="677" w:type="dxa"/>
            <w:vMerge w:val="restart"/>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排放工况</w:t>
            </w:r>
          </w:p>
        </w:tc>
        <w:tc>
          <w:tcPr>
            <w:tcW w:w="1573" w:type="dxa"/>
            <w:gridSpan w:val="2"/>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污染物排放速率/（kg/h）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19"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709"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612" w:type="dxa"/>
            <w:tcBorders>
              <w:tl2br w:val="nil"/>
              <w:tr2bl w:val="nil"/>
            </w:tcBorders>
            <w:vAlign w:val="center"/>
          </w:tcPr>
          <w:p>
            <w:pPr>
              <w:snapToGrid w:val="0"/>
              <w:jc w:val="center"/>
              <w:rPr>
                <w:rFonts w:ascii="Times New Roman" w:eastAsia="宋体"/>
                <w:b/>
                <w:bCs/>
                <w:color w:val="auto"/>
                <w:sz w:val="21"/>
                <w:szCs w:val="21"/>
                <w:u w:val="single"/>
              </w:rPr>
            </w:pPr>
            <w:r>
              <w:rPr>
                <w:rFonts w:hint="eastAsia" w:ascii="Times New Roman" w:eastAsia="宋体"/>
                <w:b/>
                <w:bCs/>
                <w:color w:val="auto"/>
                <w:kern w:val="2"/>
                <w:sz w:val="21"/>
                <w:szCs w:val="21"/>
                <w:u w:val="single"/>
              </w:rPr>
              <w:t>E</w:t>
            </w:r>
          </w:p>
        </w:tc>
        <w:tc>
          <w:tcPr>
            <w:tcW w:w="577" w:type="dxa"/>
            <w:tcBorders>
              <w:tl2br w:val="nil"/>
              <w:tr2bl w:val="nil"/>
            </w:tcBorders>
            <w:vAlign w:val="center"/>
          </w:tcPr>
          <w:p>
            <w:pPr>
              <w:snapToGrid w:val="0"/>
              <w:jc w:val="center"/>
              <w:rPr>
                <w:rFonts w:ascii="Times New Roman" w:eastAsia="宋体"/>
                <w:b/>
                <w:bCs/>
                <w:color w:val="auto"/>
                <w:sz w:val="21"/>
                <w:szCs w:val="21"/>
                <w:u w:val="single"/>
              </w:rPr>
            </w:pPr>
            <w:r>
              <w:rPr>
                <w:rFonts w:hint="eastAsia" w:ascii="Times New Roman" w:eastAsia="宋体"/>
                <w:b/>
                <w:bCs/>
                <w:color w:val="auto"/>
                <w:kern w:val="2"/>
                <w:sz w:val="21"/>
                <w:szCs w:val="21"/>
                <w:u w:val="single"/>
              </w:rPr>
              <w:t>N</w:t>
            </w:r>
          </w:p>
        </w:tc>
        <w:tc>
          <w:tcPr>
            <w:tcW w:w="750"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530"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531"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695"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658"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805"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677" w:type="dxa"/>
            <w:vMerge w:val="continue"/>
            <w:tcBorders>
              <w:tl2br w:val="nil"/>
              <w:tr2bl w:val="nil"/>
            </w:tcBorders>
            <w:vAlign w:val="center"/>
          </w:tcPr>
          <w:p>
            <w:pPr>
              <w:snapToGrid w:val="0"/>
              <w:jc w:val="center"/>
              <w:rPr>
                <w:rFonts w:ascii="Times New Roman" w:eastAsia="宋体"/>
                <w:b/>
                <w:bCs/>
                <w:color w:val="auto"/>
                <w:kern w:val="2"/>
                <w:sz w:val="21"/>
                <w:szCs w:val="21"/>
                <w:u w:val="single"/>
              </w:rPr>
            </w:pPr>
          </w:p>
        </w:tc>
        <w:tc>
          <w:tcPr>
            <w:tcW w:w="823" w:type="dxa"/>
            <w:tcBorders>
              <w:tl2br w:val="nil"/>
              <w:tr2bl w:val="nil"/>
            </w:tcBorders>
            <w:vAlign w:val="center"/>
          </w:tcPr>
          <w:p>
            <w:pPr>
              <w:snapToGrid w:val="0"/>
              <w:jc w:val="center"/>
              <w:rPr>
                <w:rFonts w:ascii="Times New Roman" w:eastAsia="宋体"/>
                <w:b/>
                <w:bCs/>
                <w:color w:val="auto"/>
                <w:sz w:val="21"/>
                <w:szCs w:val="21"/>
                <w:u w:val="single"/>
              </w:rPr>
            </w:pPr>
            <w:r>
              <w:rPr>
                <w:rFonts w:ascii="Times New Roman" w:eastAsia="宋体"/>
                <w:b/>
                <w:bCs/>
                <w:color w:val="auto"/>
                <w:kern w:val="2"/>
                <w:sz w:val="21"/>
                <w:szCs w:val="21"/>
                <w:u w:val="single"/>
              </w:rPr>
              <w:t>NH</w:t>
            </w:r>
            <w:r>
              <w:rPr>
                <w:rFonts w:ascii="Times New Roman" w:eastAsia="宋体"/>
                <w:b/>
                <w:bCs/>
                <w:color w:val="auto"/>
                <w:kern w:val="2"/>
                <w:sz w:val="21"/>
                <w:szCs w:val="21"/>
                <w:u w:val="single"/>
                <w:vertAlign w:val="subscript"/>
              </w:rPr>
              <w:t>3</w:t>
            </w:r>
          </w:p>
        </w:tc>
        <w:tc>
          <w:tcPr>
            <w:tcW w:w="750" w:type="dxa"/>
            <w:tcBorders>
              <w:tl2br w:val="nil"/>
              <w:tr2bl w:val="nil"/>
            </w:tcBorders>
            <w:vAlign w:val="center"/>
          </w:tcPr>
          <w:p>
            <w:pPr>
              <w:snapToGrid w:val="0"/>
              <w:jc w:val="center"/>
              <w:rPr>
                <w:rFonts w:ascii="Times New Roman" w:eastAsia="宋体"/>
                <w:b/>
                <w:bCs/>
                <w:color w:val="auto"/>
                <w:kern w:val="2"/>
                <w:sz w:val="21"/>
                <w:szCs w:val="21"/>
                <w:u w:val="single"/>
              </w:rPr>
            </w:pPr>
            <w:r>
              <w:rPr>
                <w:rFonts w:ascii="Times New Roman" w:eastAsia="宋体"/>
                <w:b/>
                <w:bCs/>
                <w:color w:val="auto"/>
                <w:kern w:val="2"/>
                <w:sz w:val="21"/>
                <w:szCs w:val="21"/>
                <w:u w:val="single"/>
              </w:rPr>
              <w:t>H</w:t>
            </w:r>
            <w:r>
              <w:rPr>
                <w:rFonts w:ascii="Times New Roman" w:eastAsia="宋体"/>
                <w:b/>
                <w:bCs/>
                <w:color w:val="auto"/>
                <w:kern w:val="2"/>
                <w:sz w:val="21"/>
                <w:szCs w:val="21"/>
                <w:u w:val="single"/>
                <w:vertAlign w:val="subscript"/>
              </w:rPr>
              <w:t>2</w:t>
            </w:r>
            <w:r>
              <w:rPr>
                <w:rFonts w:ascii="Times New Roman" w:eastAsia="宋体"/>
                <w:b/>
                <w:bCs/>
                <w:color w:val="auto"/>
                <w:kern w:val="2"/>
                <w:sz w:val="21"/>
                <w:szCs w:val="21"/>
                <w:u w:val="single"/>
              </w:rPr>
              <w:t>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1128" w:type="dxa"/>
            <w:gridSpan w:val="2"/>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单位</w:t>
            </w:r>
          </w:p>
        </w:tc>
        <w:tc>
          <w:tcPr>
            <w:tcW w:w="612" w:type="dxa"/>
            <w:tcBorders>
              <w:tl2br w:val="nil"/>
              <w:tr2bl w:val="nil"/>
            </w:tcBorders>
            <w:vAlign w:val="center"/>
          </w:tcPr>
          <w:p>
            <w:pPr>
              <w:snapToGrid w:val="0"/>
              <w:jc w:val="center"/>
              <w:rPr>
                <w:rFonts w:ascii="Times New Roman" w:eastAsia="宋体"/>
                <w:b/>
                <w:bCs/>
                <w:color w:val="auto"/>
                <w:kern w:val="2"/>
                <w:sz w:val="21"/>
                <w:szCs w:val="21"/>
                <w:u w:val="single"/>
              </w:rPr>
            </w:pPr>
            <w:r>
              <w:rPr>
                <w:rFonts w:hint="eastAsia" w:ascii="Times New Roman" w:eastAsia="宋体"/>
                <w:b/>
                <w:bCs/>
                <w:color w:val="auto"/>
                <w:kern w:val="2"/>
                <w:sz w:val="21"/>
                <w:szCs w:val="21"/>
                <w:u w:val="single"/>
              </w:rPr>
              <w:t>°</w:t>
            </w:r>
          </w:p>
        </w:tc>
        <w:tc>
          <w:tcPr>
            <w:tcW w:w="577" w:type="dxa"/>
            <w:tcBorders>
              <w:tl2br w:val="nil"/>
              <w:tr2bl w:val="nil"/>
            </w:tcBorders>
            <w:vAlign w:val="center"/>
          </w:tcPr>
          <w:p>
            <w:pPr>
              <w:snapToGrid w:val="0"/>
              <w:jc w:val="center"/>
              <w:rPr>
                <w:rFonts w:ascii="Times New Roman" w:eastAsia="宋体"/>
                <w:b/>
                <w:bCs/>
                <w:color w:val="auto"/>
                <w:kern w:val="2"/>
                <w:sz w:val="21"/>
                <w:szCs w:val="21"/>
                <w:u w:val="single"/>
              </w:rPr>
            </w:pPr>
            <w:r>
              <w:rPr>
                <w:rFonts w:hint="eastAsia" w:ascii="Times New Roman" w:eastAsia="宋体"/>
                <w:b/>
                <w:bCs/>
                <w:color w:val="auto"/>
                <w:kern w:val="2"/>
                <w:sz w:val="21"/>
                <w:szCs w:val="21"/>
                <w:u w:val="single"/>
              </w:rPr>
              <w:t>°</w:t>
            </w:r>
          </w:p>
        </w:tc>
        <w:tc>
          <w:tcPr>
            <w:tcW w:w="750"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m</w:t>
            </w:r>
          </w:p>
        </w:tc>
        <w:tc>
          <w:tcPr>
            <w:tcW w:w="530"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m</w:t>
            </w:r>
          </w:p>
        </w:tc>
        <w:tc>
          <w:tcPr>
            <w:tcW w:w="531"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m</w:t>
            </w:r>
          </w:p>
        </w:tc>
        <w:tc>
          <w:tcPr>
            <w:tcW w:w="695"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b/>
                <w:bCs/>
                <w:color w:val="auto"/>
                <w:kern w:val="2"/>
                <w:sz w:val="21"/>
                <w:szCs w:val="21"/>
                <w:u w:val="single"/>
              </w:rPr>
              <w:t>°</w:t>
            </w:r>
          </w:p>
        </w:tc>
        <w:tc>
          <w:tcPr>
            <w:tcW w:w="658"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m</w:t>
            </w:r>
          </w:p>
        </w:tc>
        <w:tc>
          <w:tcPr>
            <w:tcW w:w="805"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h</w:t>
            </w:r>
          </w:p>
        </w:tc>
        <w:tc>
          <w:tcPr>
            <w:tcW w:w="677"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w:t>
            </w:r>
          </w:p>
        </w:tc>
        <w:tc>
          <w:tcPr>
            <w:tcW w:w="823" w:type="dxa"/>
            <w:tcBorders>
              <w:tl2br w:val="nil"/>
              <w:tr2bl w:val="nil"/>
            </w:tcBorders>
            <w:vAlign w:val="center"/>
          </w:tcPr>
          <w:p>
            <w:pPr>
              <w:snapToGrid w:val="0"/>
              <w:jc w:val="center"/>
              <w:rPr>
                <w:rFonts w:ascii="Times New Roman" w:eastAsia="宋体"/>
                <w:b/>
                <w:bCs/>
                <w:color w:val="auto"/>
                <w:kern w:val="2"/>
                <w:sz w:val="21"/>
                <w:szCs w:val="21"/>
                <w:u w:val="single"/>
              </w:rPr>
            </w:pPr>
            <w:r>
              <w:rPr>
                <w:rFonts w:ascii="Times New Roman" w:eastAsia="宋体"/>
                <w:b/>
                <w:bCs/>
                <w:color w:val="auto"/>
                <w:kern w:val="2"/>
                <w:sz w:val="21"/>
                <w:szCs w:val="21"/>
                <w:u w:val="single"/>
              </w:rPr>
              <w:t>kg/h</w:t>
            </w:r>
          </w:p>
        </w:tc>
        <w:tc>
          <w:tcPr>
            <w:tcW w:w="750" w:type="dxa"/>
            <w:tcBorders>
              <w:tl2br w:val="nil"/>
              <w:tr2bl w:val="nil"/>
            </w:tcBorders>
            <w:vAlign w:val="center"/>
          </w:tcPr>
          <w:p>
            <w:pPr>
              <w:snapToGrid w:val="0"/>
              <w:jc w:val="center"/>
              <w:rPr>
                <w:rFonts w:ascii="Times New Roman" w:eastAsia="宋体"/>
                <w:b/>
                <w:bCs/>
                <w:color w:val="auto"/>
                <w:kern w:val="2"/>
                <w:sz w:val="21"/>
                <w:szCs w:val="21"/>
                <w:u w:val="single"/>
              </w:rPr>
            </w:pPr>
            <w:r>
              <w:rPr>
                <w:rFonts w:ascii="Times New Roman" w:eastAsia="宋体"/>
                <w:b/>
                <w:bCs/>
                <w:color w:val="auto"/>
                <w:kern w:val="2"/>
                <w:sz w:val="21"/>
                <w:szCs w:val="21"/>
                <w:u w:val="single"/>
              </w:rPr>
              <w:t>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419" w:type="dxa"/>
            <w:tcBorders>
              <w:tl2br w:val="nil"/>
              <w:tr2bl w:val="nil"/>
            </w:tcBorders>
            <w:vAlign w:val="center"/>
          </w:tcPr>
          <w:p>
            <w:pPr>
              <w:snapToGrid w:val="0"/>
              <w:jc w:val="center"/>
              <w:rPr>
                <w:rFonts w:ascii="Times New Roman" w:eastAsia="宋体"/>
                <w:color w:val="auto"/>
                <w:sz w:val="21"/>
                <w:szCs w:val="21"/>
                <w:u w:val="single"/>
              </w:rPr>
            </w:pPr>
            <w:r>
              <w:rPr>
                <w:rFonts w:ascii="Times New Roman" w:eastAsia="宋体"/>
                <w:color w:val="auto"/>
                <w:sz w:val="21"/>
                <w:szCs w:val="21"/>
                <w:u w:val="single"/>
              </w:rPr>
              <w:t>1#</w:t>
            </w:r>
          </w:p>
        </w:tc>
        <w:tc>
          <w:tcPr>
            <w:tcW w:w="709"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鸡舍</w:t>
            </w:r>
          </w:p>
        </w:tc>
        <w:tc>
          <w:tcPr>
            <w:tcW w:w="612" w:type="dxa"/>
            <w:tcBorders>
              <w:tl2br w:val="nil"/>
              <w:tr2bl w:val="nil"/>
            </w:tcBorders>
            <w:vAlign w:val="center"/>
          </w:tcPr>
          <w:p>
            <w:pPr>
              <w:snapToGrid w:val="0"/>
              <w:jc w:val="center"/>
              <w:rPr>
                <w:rFonts w:ascii="Times New Roman" w:eastAsia="宋体"/>
                <w:color w:val="auto"/>
                <w:sz w:val="21"/>
                <w:szCs w:val="21"/>
                <w:u w:val="single"/>
              </w:rPr>
            </w:pPr>
            <w:r>
              <w:rPr>
                <w:rFonts w:ascii="Times New Roman" w:eastAsia="宋体"/>
                <w:color w:val="auto"/>
                <w:sz w:val="21"/>
                <w:szCs w:val="21"/>
                <w:u w:val="single"/>
              </w:rPr>
              <w:t>113.177433</w:t>
            </w:r>
          </w:p>
        </w:tc>
        <w:tc>
          <w:tcPr>
            <w:tcW w:w="577" w:type="dxa"/>
            <w:tcBorders>
              <w:tl2br w:val="nil"/>
              <w:tr2bl w:val="nil"/>
            </w:tcBorders>
            <w:vAlign w:val="center"/>
          </w:tcPr>
          <w:p>
            <w:pPr>
              <w:snapToGrid w:val="0"/>
              <w:jc w:val="center"/>
              <w:rPr>
                <w:rFonts w:ascii="Times New Roman" w:eastAsia="宋体"/>
                <w:color w:val="auto"/>
                <w:sz w:val="21"/>
                <w:szCs w:val="21"/>
                <w:u w:val="single"/>
              </w:rPr>
            </w:pPr>
            <w:r>
              <w:rPr>
                <w:rFonts w:ascii="Times New Roman" w:eastAsia="宋体"/>
                <w:color w:val="auto"/>
                <w:sz w:val="21"/>
                <w:szCs w:val="21"/>
                <w:u w:val="single"/>
              </w:rPr>
              <w:t>29.096263</w:t>
            </w:r>
          </w:p>
        </w:tc>
        <w:tc>
          <w:tcPr>
            <w:tcW w:w="750"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72</w:t>
            </w:r>
          </w:p>
        </w:tc>
        <w:tc>
          <w:tcPr>
            <w:tcW w:w="530"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200</w:t>
            </w:r>
          </w:p>
        </w:tc>
        <w:tc>
          <w:tcPr>
            <w:tcW w:w="531"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150</w:t>
            </w:r>
          </w:p>
        </w:tc>
        <w:tc>
          <w:tcPr>
            <w:tcW w:w="695" w:type="dxa"/>
            <w:tcBorders>
              <w:tl2br w:val="nil"/>
              <w:tr2bl w:val="nil"/>
            </w:tcBorders>
            <w:vAlign w:val="center"/>
          </w:tcPr>
          <w:p>
            <w:pPr>
              <w:snapToGrid w:val="0"/>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30</w:t>
            </w:r>
          </w:p>
        </w:tc>
        <w:tc>
          <w:tcPr>
            <w:tcW w:w="658"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8</w:t>
            </w:r>
          </w:p>
        </w:tc>
        <w:tc>
          <w:tcPr>
            <w:tcW w:w="805"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5760</w:t>
            </w:r>
          </w:p>
        </w:tc>
        <w:tc>
          <w:tcPr>
            <w:tcW w:w="677"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正常</w:t>
            </w:r>
          </w:p>
        </w:tc>
        <w:tc>
          <w:tcPr>
            <w:tcW w:w="823"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bCs/>
                <w:color w:val="auto"/>
                <w:sz w:val="21"/>
                <w:szCs w:val="21"/>
                <w:u w:val="single"/>
              </w:rPr>
              <w:t>0.0</w:t>
            </w:r>
            <w:r>
              <w:rPr>
                <w:rFonts w:hint="eastAsia" w:ascii="Times New Roman" w:eastAsia="宋体"/>
                <w:bCs/>
                <w:color w:val="auto"/>
                <w:sz w:val="21"/>
                <w:szCs w:val="21"/>
                <w:u w:val="single"/>
                <w:lang w:val="en-US" w:eastAsia="zh-CN"/>
              </w:rPr>
              <w:t>1432</w:t>
            </w:r>
          </w:p>
        </w:tc>
        <w:tc>
          <w:tcPr>
            <w:tcW w:w="750"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bCs/>
                <w:color w:val="auto"/>
                <w:sz w:val="21"/>
                <w:szCs w:val="21"/>
                <w:u w:val="single"/>
              </w:rPr>
              <w:t>0.00</w:t>
            </w:r>
            <w:r>
              <w:rPr>
                <w:rFonts w:hint="eastAsia" w:ascii="Times New Roman" w:eastAsia="宋体"/>
                <w:bCs/>
                <w:color w:val="auto"/>
                <w:sz w:val="21"/>
                <w:szCs w:val="21"/>
                <w:u w:val="single"/>
                <w:lang w:val="en-US" w:eastAsia="zh-CN"/>
              </w:rPr>
              <w:t>143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419"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sz w:val="21"/>
                <w:szCs w:val="21"/>
                <w:u w:val="single"/>
              </w:rPr>
              <w:t>2#</w:t>
            </w:r>
          </w:p>
        </w:tc>
        <w:tc>
          <w:tcPr>
            <w:tcW w:w="709"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污水沉淀池</w:t>
            </w:r>
          </w:p>
        </w:tc>
        <w:tc>
          <w:tcPr>
            <w:tcW w:w="612"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113.176736</w:t>
            </w:r>
          </w:p>
        </w:tc>
        <w:tc>
          <w:tcPr>
            <w:tcW w:w="577"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29.095501</w:t>
            </w:r>
          </w:p>
        </w:tc>
        <w:tc>
          <w:tcPr>
            <w:tcW w:w="750"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72</w:t>
            </w:r>
          </w:p>
        </w:tc>
        <w:tc>
          <w:tcPr>
            <w:tcW w:w="530"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10</w:t>
            </w:r>
          </w:p>
        </w:tc>
        <w:tc>
          <w:tcPr>
            <w:tcW w:w="531"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10</w:t>
            </w:r>
          </w:p>
        </w:tc>
        <w:tc>
          <w:tcPr>
            <w:tcW w:w="695" w:type="dxa"/>
            <w:tcBorders>
              <w:tl2br w:val="nil"/>
              <w:tr2bl w:val="nil"/>
            </w:tcBorders>
            <w:vAlign w:val="center"/>
          </w:tcPr>
          <w:p>
            <w:pPr>
              <w:snapToGrid w:val="0"/>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45</w:t>
            </w:r>
          </w:p>
        </w:tc>
        <w:tc>
          <w:tcPr>
            <w:tcW w:w="658" w:type="dxa"/>
            <w:tcBorders>
              <w:tl2br w:val="nil"/>
              <w:tr2bl w:val="nil"/>
            </w:tcBorders>
            <w:vAlign w:val="center"/>
          </w:tcPr>
          <w:p>
            <w:pPr>
              <w:snapToGrid w:val="0"/>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0.5</w:t>
            </w:r>
          </w:p>
        </w:tc>
        <w:tc>
          <w:tcPr>
            <w:tcW w:w="805"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7680</w:t>
            </w:r>
          </w:p>
        </w:tc>
        <w:tc>
          <w:tcPr>
            <w:tcW w:w="677"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color w:val="auto"/>
                <w:sz w:val="21"/>
                <w:szCs w:val="21"/>
                <w:u w:val="single"/>
              </w:rPr>
              <w:t>正常</w:t>
            </w:r>
          </w:p>
        </w:tc>
        <w:tc>
          <w:tcPr>
            <w:tcW w:w="823"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bCs/>
                <w:color w:val="auto"/>
                <w:sz w:val="21"/>
                <w:szCs w:val="21"/>
                <w:u w:val="single"/>
              </w:rPr>
              <w:t>0.0016</w:t>
            </w:r>
          </w:p>
        </w:tc>
        <w:tc>
          <w:tcPr>
            <w:tcW w:w="750" w:type="dxa"/>
            <w:tcBorders>
              <w:tl2br w:val="nil"/>
              <w:tr2bl w:val="nil"/>
            </w:tcBorders>
            <w:vAlign w:val="center"/>
          </w:tcPr>
          <w:p>
            <w:pPr>
              <w:snapToGrid w:val="0"/>
              <w:jc w:val="center"/>
              <w:rPr>
                <w:rFonts w:ascii="Times New Roman" w:eastAsia="宋体"/>
                <w:color w:val="auto"/>
                <w:sz w:val="21"/>
                <w:szCs w:val="21"/>
                <w:u w:val="single"/>
              </w:rPr>
            </w:pPr>
            <w:r>
              <w:rPr>
                <w:rFonts w:hint="eastAsia" w:ascii="Times New Roman" w:eastAsia="宋体"/>
                <w:bCs/>
                <w:color w:val="auto"/>
                <w:sz w:val="21"/>
                <w:szCs w:val="21"/>
                <w:u w:val="single"/>
              </w:rPr>
              <w:t>0.0001</w:t>
            </w:r>
          </w:p>
        </w:tc>
      </w:tr>
    </w:tbl>
    <w:p>
      <w:pPr>
        <w:spacing w:line="360" w:lineRule="auto"/>
        <w:ind w:firstLine="484" w:firstLineChars="200"/>
        <w:rPr>
          <w:rFonts w:ascii="Times New Roman" w:eastAsia="宋体"/>
          <w:color w:val="auto"/>
          <w:kern w:val="2"/>
          <w:szCs w:val="24"/>
          <w:u w:val="single"/>
        </w:rPr>
      </w:pPr>
      <w:r>
        <w:rPr>
          <w:rFonts w:ascii="Times New Roman" w:eastAsia="宋体"/>
          <w:color w:val="auto"/>
          <w:kern w:val="2"/>
          <w:szCs w:val="24"/>
          <w:u w:val="single"/>
        </w:rPr>
        <w:t>根据HJ2.2-2018中推荐的估算模式进行预测，计算结果及大气环境评价等级分级判据见下表</w:t>
      </w:r>
      <w:r>
        <w:rPr>
          <w:rFonts w:hint="eastAsia" w:ascii="Times New Roman" w:eastAsia="宋体"/>
          <w:color w:val="auto"/>
          <w:kern w:val="2"/>
          <w:szCs w:val="24"/>
          <w:u w:val="single"/>
        </w:rPr>
        <w:t>2.7-</w:t>
      </w:r>
      <w:r>
        <w:rPr>
          <w:rFonts w:ascii="Times New Roman" w:eastAsia="宋体"/>
          <w:color w:val="auto"/>
          <w:kern w:val="2"/>
          <w:szCs w:val="24"/>
          <w:u w:val="single"/>
        </w:rPr>
        <w:t>6。</w:t>
      </w:r>
    </w:p>
    <w:p>
      <w:pPr>
        <w:pStyle w:val="17"/>
        <w:spacing w:beforeLines="50" w:line="0" w:lineRule="atLeast"/>
        <w:jc w:val="center"/>
        <w:rPr>
          <w:rFonts w:ascii="Times New Roman" w:hAnsi="Times New Roman" w:eastAsia="宋体" w:cs="Times New Roman"/>
          <w:b/>
          <w:bCs/>
          <w:color w:val="auto"/>
          <w:sz w:val="21"/>
          <w:u w:val="single"/>
        </w:rPr>
      </w:pPr>
      <w:r>
        <w:rPr>
          <w:rFonts w:ascii="Times New Roman" w:hAnsi="Times New Roman" w:eastAsia="宋体" w:cs="Times New Roman"/>
          <w:b/>
          <w:bCs/>
          <w:color w:val="auto"/>
          <w:sz w:val="21"/>
          <w:u w:val="single"/>
        </w:rPr>
        <w:t>表</w:t>
      </w:r>
      <w:r>
        <w:rPr>
          <w:rFonts w:hint="eastAsia" w:ascii="Times New Roman" w:hAnsi="Times New Roman" w:eastAsia="宋体" w:cs="Times New Roman"/>
          <w:b/>
          <w:bCs/>
          <w:color w:val="auto"/>
          <w:sz w:val="21"/>
          <w:u w:val="single"/>
        </w:rPr>
        <w:t>2.7-</w:t>
      </w:r>
      <w:r>
        <w:rPr>
          <w:rFonts w:ascii="Times New Roman" w:hAnsi="Times New Roman" w:eastAsia="宋体" w:cs="Times New Roman"/>
          <w:b/>
          <w:bCs/>
          <w:color w:val="auto"/>
          <w:sz w:val="21"/>
          <w:u w:val="single"/>
        </w:rPr>
        <w:t>6 主要污染源估算模型计算结果表</w:t>
      </w:r>
    </w:p>
    <w:tbl>
      <w:tblPr>
        <w:tblStyle w:val="48"/>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1300"/>
        <w:gridCol w:w="1384"/>
        <w:gridCol w:w="1723"/>
        <w:gridCol w:w="1258"/>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tcBorders>
              <w:tl2br w:val="nil"/>
              <w:tr2bl w:val="nil"/>
            </w:tcBorders>
            <w:vAlign w:val="center"/>
          </w:tcPr>
          <w:p>
            <w:pPr>
              <w:rPr>
                <w:rFonts w:ascii="Times New Roman"/>
                <w:b/>
                <w:bCs/>
                <w:color w:val="auto"/>
                <w:kern w:val="2"/>
                <w:sz w:val="21"/>
                <w:szCs w:val="21"/>
                <w:u w:val="single"/>
              </w:rPr>
            </w:pPr>
            <w:r>
              <w:rPr>
                <w:rFonts w:ascii="Times New Roman" w:eastAsia="宋体"/>
                <w:b/>
                <w:bCs/>
                <w:color w:val="auto"/>
                <w:sz w:val="21"/>
                <w:szCs w:val="21"/>
                <w:u w:val="single"/>
              </w:rPr>
              <w:t>污染源名称</w:t>
            </w:r>
          </w:p>
        </w:tc>
        <w:tc>
          <w:tcPr>
            <w:tcW w:w="763" w:type="pct"/>
            <w:tcBorders>
              <w:tl2br w:val="nil"/>
              <w:tr2bl w:val="nil"/>
            </w:tcBorders>
            <w:vAlign w:val="center"/>
          </w:tcPr>
          <w:p>
            <w:pPr>
              <w:rPr>
                <w:rFonts w:ascii="Times New Roman"/>
                <w:b/>
                <w:bCs/>
                <w:color w:val="auto"/>
                <w:kern w:val="2"/>
                <w:sz w:val="21"/>
                <w:szCs w:val="21"/>
                <w:u w:val="single"/>
              </w:rPr>
            </w:pPr>
            <w:r>
              <w:rPr>
                <w:rFonts w:ascii="Times New Roman" w:eastAsia="宋体"/>
                <w:b/>
                <w:bCs/>
                <w:color w:val="auto"/>
                <w:sz w:val="21"/>
                <w:szCs w:val="21"/>
                <w:u w:val="single"/>
              </w:rPr>
              <w:t>评价因子</w:t>
            </w:r>
          </w:p>
        </w:tc>
        <w:tc>
          <w:tcPr>
            <w:tcW w:w="812" w:type="pct"/>
            <w:tcBorders>
              <w:tl2br w:val="nil"/>
              <w:tr2bl w:val="nil"/>
            </w:tcBorders>
            <w:vAlign w:val="center"/>
          </w:tcPr>
          <w:p>
            <w:pPr>
              <w:rPr>
                <w:rFonts w:ascii="Times New Roman"/>
                <w:b/>
                <w:bCs/>
                <w:color w:val="auto"/>
                <w:kern w:val="2"/>
                <w:sz w:val="21"/>
                <w:szCs w:val="21"/>
                <w:u w:val="single"/>
              </w:rPr>
            </w:pPr>
            <w:r>
              <w:rPr>
                <w:rFonts w:ascii="Times New Roman" w:eastAsia="宋体"/>
                <w:b/>
                <w:bCs/>
                <w:color w:val="auto"/>
                <w:sz w:val="21"/>
                <w:szCs w:val="21"/>
                <w:u w:val="single"/>
              </w:rPr>
              <w:t>评价标准(μg/m³)</w:t>
            </w:r>
          </w:p>
        </w:tc>
        <w:tc>
          <w:tcPr>
            <w:tcW w:w="1011" w:type="pct"/>
            <w:tcBorders>
              <w:tl2br w:val="nil"/>
              <w:tr2bl w:val="nil"/>
            </w:tcBorders>
            <w:vAlign w:val="center"/>
          </w:tcPr>
          <w:p>
            <w:pPr>
              <w:rPr>
                <w:rFonts w:ascii="Times New Roman"/>
                <w:b/>
                <w:bCs/>
                <w:color w:val="auto"/>
                <w:kern w:val="2"/>
                <w:sz w:val="21"/>
                <w:szCs w:val="21"/>
                <w:u w:val="single"/>
              </w:rPr>
            </w:pPr>
            <w:r>
              <w:rPr>
                <w:rFonts w:ascii="Times New Roman" w:eastAsia="宋体"/>
                <w:b/>
                <w:bCs/>
                <w:color w:val="auto"/>
                <w:sz w:val="21"/>
                <w:szCs w:val="21"/>
                <w:u w:val="single"/>
              </w:rPr>
              <w:t>Cmax(</w:t>
            </w:r>
            <w:r>
              <w:rPr>
                <w:rFonts w:hint="eastAsia" w:ascii="Times New Roman" w:eastAsia="宋体"/>
                <w:b/>
                <w:bCs/>
                <w:color w:val="auto"/>
                <w:sz w:val="21"/>
                <w:szCs w:val="21"/>
                <w:u w:val="single"/>
              </w:rPr>
              <w:t>m</w:t>
            </w:r>
            <w:r>
              <w:rPr>
                <w:rFonts w:ascii="Times New Roman" w:eastAsia="宋体"/>
                <w:b/>
                <w:bCs/>
                <w:color w:val="auto"/>
                <w:sz w:val="21"/>
                <w:szCs w:val="21"/>
                <w:u w:val="single"/>
              </w:rPr>
              <w:t>g/m³)</w:t>
            </w:r>
          </w:p>
        </w:tc>
        <w:tc>
          <w:tcPr>
            <w:tcW w:w="738" w:type="pct"/>
            <w:tcBorders>
              <w:tl2br w:val="nil"/>
              <w:tr2bl w:val="nil"/>
            </w:tcBorders>
            <w:vAlign w:val="center"/>
          </w:tcPr>
          <w:p>
            <w:pPr>
              <w:rPr>
                <w:rFonts w:ascii="Times New Roman"/>
                <w:b/>
                <w:bCs/>
                <w:color w:val="auto"/>
                <w:kern w:val="2"/>
                <w:sz w:val="21"/>
                <w:szCs w:val="21"/>
                <w:u w:val="single"/>
              </w:rPr>
            </w:pPr>
            <w:r>
              <w:rPr>
                <w:rFonts w:ascii="Times New Roman" w:eastAsia="宋体"/>
                <w:b/>
                <w:bCs/>
                <w:color w:val="auto"/>
                <w:sz w:val="21"/>
                <w:szCs w:val="21"/>
                <w:u w:val="single"/>
              </w:rPr>
              <w:t>Pmax(%)</w:t>
            </w:r>
          </w:p>
        </w:tc>
        <w:tc>
          <w:tcPr>
            <w:tcW w:w="812" w:type="pct"/>
            <w:tcBorders>
              <w:tl2br w:val="nil"/>
              <w:tr2bl w:val="nil"/>
            </w:tcBorders>
            <w:vAlign w:val="center"/>
          </w:tcPr>
          <w:p>
            <w:pPr>
              <w:rPr>
                <w:rFonts w:ascii="Times New Roman"/>
                <w:b/>
                <w:bCs/>
                <w:color w:val="auto"/>
                <w:kern w:val="2"/>
                <w:sz w:val="21"/>
                <w:szCs w:val="21"/>
                <w:u w:val="single"/>
              </w:rPr>
            </w:pPr>
            <w:r>
              <w:rPr>
                <w:rFonts w:ascii="Times New Roman" w:eastAsia="宋体"/>
                <w:b/>
                <w:bCs/>
                <w:color w:val="auto"/>
                <w:sz w:val="21"/>
                <w:szCs w:val="21"/>
                <w:u w:val="single"/>
              </w:rPr>
              <w:t>D10%(m)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vMerge w:val="restart"/>
            <w:tcBorders>
              <w:tl2br w:val="nil"/>
              <w:tr2bl w:val="nil"/>
            </w:tcBorders>
            <w:vAlign w:val="center"/>
          </w:tcPr>
          <w:p>
            <w:pPr>
              <w:rPr>
                <w:rFonts w:ascii="Times New Roman" w:eastAsia="宋体"/>
                <w:color w:val="auto"/>
                <w:sz w:val="21"/>
                <w:szCs w:val="21"/>
                <w:u w:val="single"/>
              </w:rPr>
            </w:pPr>
            <w:r>
              <w:rPr>
                <w:rFonts w:hint="eastAsia" w:ascii="Times New Roman" w:eastAsia="宋体"/>
                <w:color w:val="auto"/>
                <w:sz w:val="21"/>
                <w:szCs w:val="21"/>
                <w:u w:val="single"/>
              </w:rPr>
              <w:t>生物质锅炉</w:t>
            </w:r>
            <w:r>
              <w:rPr>
                <w:rFonts w:ascii="Times New Roman" w:eastAsia="宋体"/>
                <w:color w:val="auto"/>
                <w:sz w:val="21"/>
                <w:szCs w:val="21"/>
                <w:u w:val="single"/>
              </w:rPr>
              <w:t>排气筒</w:t>
            </w:r>
          </w:p>
        </w:tc>
        <w:tc>
          <w:tcPr>
            <w:tcW w:w="763"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PM</w:t>
            </w:r>
            <w:r>
              <w:rPr>
                <w:rFonts w:ascii="Times New Roman" w:eastAsia="宋体"/>
                <w:color w:val="auto"/>
                <w:sz w:val="21"/>
                <w:szCs w:val="21"/>
                <w:u w:val="single"/>
                <w:vertAlign w:val="subscript"/>
              </w:rPr>
              <w:t>10</w:t>
            </w:r>
          </w:p>
        </w:tc>
        <w:tc>
          <w:tcPr>
            <w:tcW w:w="812"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450.0</w:t>
            </w:r>
          </w:p>
        </w:tc>
        <w:tc>
          <w:tcPr>
            <w:tcW w:w="1011"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rPr>
              <w:t>0.</w:t>
            </w:r>
            <w:r>
              <w:rPr>
                <w:rFonts w:hint="eastAsia" w:ascii="Times New Roman" w:eastAsia="宋体"/>
                <w:color w:val="auto"/>
                <w:sz w:val="21"/>
                <w:szCs w:val="21"/>
                <w:u w:val="single"/>
                <w:lang w:val="en-US" w:eastAsia="zh-CN"/>
              </w:rPr>
              <w:t>000774</w:t>
            </w:r>
          </w:p>
        </w:tc>
        <w:tc>
          <w:tcPr>
            <w:tcW w:w="738"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0.17</w:t>
            </w:r>
          </w:p>
        </w:tc>
        <w:tc>
          <w:tcPr>
            <w:tcW w:w="812"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vMerge w:val="continue"/>
            <w:tcBorders>
              <w:tl2br w:val="nil"/>
              <w:tr2bl w:val="nil"/>
            </w:tcBorders>
            <w:vAlign w:val="center"/>
          </w:tcPr>
          <w:p>
            <w:pPr>
              <w:rPr>
                <w:rFonts w:ascii="Times New Roman" w:eastAsia="宋体"/>
                <w:color w:val="auto"/>
                <w:sz w:val="21"/>
                <w:szCs w:val="21"/>
                <w:u w:val="single"/>
              </w:rPr>
            </w:pPr>
          </w:p>
        </w:tc>
        <w:tc>
          <w:tcPr>
            <w:tcW w:w="763"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SO</w:t>
            </w:r>
            <w:r>
              <w:rPr>
                <w:rFonts w:ascii="Times New Roman" w:eastAsia="宋体"/>
                <w:color w:val="auto"/>
                <w:sz w:val="21"/>
                <w:szCs w:val="21"/>
                <w:u w:val="single"/>
                <w:vertAlign w:val="subscript"/>
              </w:rPr>
              <w:t>2</w:t>
            </w:r>
          </w:p>
        </w:tc>
        <w:tc>
          <w:tcPr>
            <w:tcW w:w="812"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500.0</w:t>
            </w:r>
          </w:p>
        </w:tc>
        <w:tc>
          <w:tcPr>
            <w:tcW w:w="1011"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rPr>
              <w:t>0.00</w:t>
            </w:r>
            <w:r>
              <w:rPr>
                <w:rFonts w:hint="eastAsia" w:ascii="Times New Roman" w:eastAsia="宋体"/>
                <w:color w:val="auto"/>
                <w:sz w:val="21"/>
                <w:szCs w:val="21"/>
                <w:u w:val="single"/>
                <w:lang w:val="en-US" w:eastAsia="zh-CN"/>
              </w:rPr>
              <w:t>184</w:t>
            </w:r>
          </w:p>
        </w:tc>
        <w:tc>
          <w:tcPr>
            <w:tcW w:w="738"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3.68</w:t>
            </w:r>
          </w:p>
        </w:tc>
        <w:tc>
          <w:tcPr>
            <w:tcW w:w="812"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vMerge w:val="continue"/>
            <w:tcBorders>
              <w:tl2br w:val="nil"/>
              <w:tr2bl w:val="nil"/>
            </w:tcBorders>
            <w:vAlign w:val="center"/>
          </w:tcPr>
          <w:p>
            <w:pPr>
              <w:rPr>
                <w:rFonts w:ascii="Times New Roman" w:eastAsia="宋体"/>
                <w:color w:val="auto"/>
                <w:sz w:val="21"/>
                <w:szCs w:val="21"/>
                <w:u w:val="single"/>
              </w:rPr>
            </w:pPr>
          </w:p>
        </w:tc>
        <w:tc>
          <w:tcPr>
            <w:tcW w:w="763"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NOx</w:t>
            </w:r>
          </w:p>
        </w:tc>
        <w:tc>
          <w:tcPr>
            <w:tcW w:w="812"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250.0</w:t>
            </w:r>
          </w:p>
        </w:tc>
        <w:tc>
          <w:tcPr>
            <w:tcW w:w="1011"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rPr>
              <w:t>0.0</w:t>
            </w:r>
            <w:r>
              <w:rPr>
                <w:rFonts w:hint="eastAsia" w:ascii="Times New Roman" w:eastAsia="宋体"/>
                <w:color w:val="auto"/>
                <w:sz w:val="21"/>
                <w:szCs w:val="21"/>
                <w:u w:val="single"/>
                <w:lang w:val="en-US" w:eastAsia="zh-CN"/>
              </w:rPr>
              <w:t>1580</w:t>
            </w:r>
          </w:p>
        </w:tc>
        <w:tc>
          <w:tcPr>
            <w:tcW w:w="738"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6.32</w:t>
            </w:r>
          </w:p>
        </w:tc>
        <w:tc>
          <w:tcPr>
            <w:tcW w:w="812"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vMerge w:val="restar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hAnsi="Times New Roman" w:eastAsia="宋体" w:cs="Times New Roman"/>
                <w:color w:val="auto"/>
                <w:sz w:val="21"/>
                <w:szCs w:val="21"/>
                <w:highlight w:val="none"/>
                <w:u w:val="single"/>
                <w:lang w:val="en-US" w:eastAsia="zh-CN"/>
              </w:rPr>
              <w:t>鸡舍</w:t>
            </w:r>
          </w:p>
          <w:p>
            <w:pPr>
              <w:rPr>
                <w:rFonts w:ascii="Times New Roman" w:eastAsia="宋体"/>
                <w:color w:val="auto"/>
                <w:sz w:val="21"/>
                <w:szCs w:val="21"/>
                <w:u w:val="single"/>
              </w:rPr>
            </w:pPr>
          </w:p>
        </w:tc>
        <w:tc>
          <w:tcPr>
            <w:tcW w:w="763"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NH</w:t>
            </w:r>
            <w:r>
              <w:rPr>
                <w:rFonts w:hint="default" w:ascii="Times New Roman" w:hAnsi="Times New Roman" w:eastAsia="宋体" w:cs="Times New Roman"/>
                <w:color w:val="auto"/>
                <w:sz w:val="21"/>
                <w:szCs w:val="21"/>
                <w:highlight w:val="none"/>
                <w:u w:val="single"/>
                <w:vertAlign w:val="subscript"/>
                <w:lang w:val="en-US" w:eastAsia="zh-CN"/>
              </w:rPr>
              <w:t>3</w:t>
            </w:r>
          </w:p>
        </w:tc>
        <w:tc>
          <w:tcPr>
            <w:tcW w:w="81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b w:val="0"/>
                <w:sz w:val="21"/>
                <w:szCs w:val="21"/>
                <w:u w:val="single"/>
              </w:rPr>
              <w:t>200.0</w:t>
            </w:r>
          </w:p>
        </w:tc>
        <w:tc>
          <w:tcPr>
            <w:tcW w:w="1011"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rPr>
              <w:t>0.003958</w:t>
            </w:r>
          </w:p>
        </w:tc>
        <w:tc>
          <w:tcPr>
            <w:tcW w:w="738"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rPr>
              <w:t>1.98</w:t>
            </w:r>
          </w:p>
        </w:tc>
        <w:tc>
          <w:tcPr>
            <w:tcW w:w="812"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vMerge w:val="continue"/>
            <w:tcBorders>
              <w:tl2br w:val="nil"/>
              <w:tr2bl w:val="nil"/>
            </w:tcBorders>
            <w:vAlign w:val="center"/>
          </w:tcPr>
          <w:p>
            <w:pPr>
              <w:rPr>
                <w:rFonts w:ascii="Times New Roman" w:eastAsia="宋体"/>
                <w:color w:val="auto"/>
                <w:sz w:val="21"/>
                <w:szCs w:val="21"/>
                <w:u w:val="single"/>
              </w:rPr>
            </w:pPr>
          </w:p>
        </w:tc>
        <w:tc>
          <w:tcPr>
            <w:tcW w:w="763"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H</w:t>
            </w:r>
            <w:r>
              <w:rPr>
                <w:rFonts w:hint="default" w:ascii="Times New Roman" w:hAnsi="Times New Roman" w:eastAsia="宋体" w:cs="Times New Roman"/>
                <w:color w:val="auto"/>
                <w:sz w:val="21"/>
                <w:szCs w:val="21"/>
                <w:highlight w:val="none"/>
                <w:u w:val="single"/>
                <w:vertAlign w:val="subscript"/>
                <w:lang w:val="en-US" w:eastAsia="zh-CN"/>
              </w:rPr>
              <w:t>2</w:t>
            </w:r>
            <w:r>
              <w:rPr>
                <w:rFonts w:hint="default" w:ascii="Times New Roman" w:hAnsi="Times New Roman" w:eastAsia="宋体" w:cs="Times New Roman"/>
                <w:color w:val="auto"/>
                <w:sz w:val="21"/>
                <w:szCs w:val="21"/>
                <w:highlight w:val="none"/>
                <w:u w:val="single"/>
                <w:lang w:val="en-US" w:eastAsia="zh-CN"/>
              </w:rPr>
              <w:t>S</w:t>
            </w:r>
          </w:p>
        </w:tc>
        <w:tc>
          <w:tcPr>
            <w:tcW w:w="81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b w:val="0"/>
                <w:sz w:val="21"/>
                <w:szCs w:val="21"/>
                <w:u w:val="single"/>
              </w:rPr>
              <w:t>10.0</w:t>
            </w:r>
          </w:p>
        </w:tc>
        <w:tc>
          <w:tcPr>
            <w:tcW w:w="1011"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rPr>
              <w:t>0.000395</w:t>
            </w:r>
          </w:p>
        </w:tc>
        <w:tc>
          <w:tcPr>
            <w:tcW w:w="738"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rPr>
              <w:t>3.95</w:t>
            </w:r>
          </w:p>
        </w:tc>
        <w:tc>
          <w:tcPr>
            <w:tcW w:w="812"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vMerge w:val="restar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hAnsi="Times New Roman" w:eastAsia="宋体" w:cs="Times New Roman"/>
                <w:color w:val="auto"/>
                <w:sz w:val="21"/>
                <w:szCs w:val="21"/>
                <w:highlight w:val="none"/>
                <w:u w:val="single"/>
                <w:lang w:val="en-US" w:eastAsia="zh-CN"/>
              </w:rPr>
              <w:t>污水沉淀池</w:t>
            </w:r>
          </w:p>
          <w:p>
            <w:pPr>
              <w:rPr>
                <w:rFonts w:ascii="Times New Roman" w:eastAsia="宋体"/>
                <w:color w:val="auto"/>
                <w:sz w:val="21"/>
                <w:szCs w:val="21"/>
                <w:u w:val="single"/>
              </w:rPr>
            </w:pPr>
          </w:p>
        </w:tc>
        <w:tc>
          <w:tcPr>
            <w:tcW w:w="763"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NH</w:t>
            </w:r>
            <w:r>
              <w:rPr>
                <w:rFonts w:hint="default" w:ascii="Times New Roman" w:hAnsi="Times New Roman" w:eastAsia="宋体" w:cs="Times New Roman"/>
                <w:color w:val="auto"/>
                <w:sz w:val="21"/>
                <w:szCs w:val="21"/>
                <w:highlight w:val="none"/>
                <w:u w:val="single"/>
                <w:vertAlign w:val="subscript"/>
                <w:lang w:val="en-US" w:eastAsia="zh-CN"/>
              </w:rPr>
              <w:t>3</w:t>
            </w:r>
          </w:p>
        </w:tc>
        <w:tc>
          <w:tcPr>
            <w:tcW w:w="81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b w:val="0"/>
                <w:sz w:val="21"/>
                <w:szCs w:val="21"/>
                <w:u w:val="single"/>
              </w:rPr>
              <w:t>200.0</w:t>
            </w:r>
          </w:p>
        </w:tc>
        <w:tc>
          <w:tcPr>
            <w:tcW w:w="1011"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bidi="ar-SA"/>
              </w:rPr>
              <w:t>0.009403</w:t>
            </w:r>
          </w:p>
        </w:tc>
        <w:tc>
          <w:tcPr>
            <w:tcW w:w="738"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bidi="ar-SA"/>
              </w:rPr>
              <w:t>4.70</w:t>
            </w:r>
          </w:p>
        </w:tc>
        <w:tc>
          <w:tcPr>
            <w:tcW w:w="812"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9" w:type="pct"/>
            <w:vMerge w:val="continue"/>
            <w:tcBorders>
              <w:tl2br w:val="nil"/>
              <w:tr2bl w:val="nil"/>
            </w:tcBorders>
            <w:vAlign w:val="center"/>
          </w:tcPr>
          <w:p>
            <w:pPr>
              <w:rPr>
                <w:rFonts w:ascii="Times New Roman" w:eastAsia="宋体"/>
                <w:color w:val="auto"/>
                <w:sz w:val="21"/>
                <w:szCs w:val="21"/>
                <w:u w:val="single"/>
              </w:rPr>
            </w:pPr>
          </w:p>
        </w:tc>
        <w:tc>
          <w:tcPr>
            <w:tcW w:w="763"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H</w:t>
            </w:r>
            <w:r>
              <w:rPr>
                <w:rFonts w:hint="default" w:ascii="Times New Roman" w:hAnsi="Times New Roman" w:eastAsia="宋体" w:cs="Times New Roman"/>
                <w:color w:val="auto"/>
                <w:sz w:val="21"/>
                <w:szCs w:val="21"/>
                <w:highlight w:val="none"/>
                <w:u w:val="single"/>
                <w:vertAlign w:val="subscript"/>
                <w:lang w:val="en-US" w:eastAsia="zh-CN"/>
              </w:rPr>
              <w:t>2</w:t>
            </w:r>
            <w:r>
              <w:rPr>
                <w:rFonts w:hint="default" w:ascii="Times New Roman" w:hAnsi="Times New Roman" w:eastAsia="宋体" w:cs="Times New Roman"/>
                <w:color w:val="auto"/>
                <w:sz w:val="21"/>
                <w:szCs w:val="21"/>
                <w:highlight w:val="none"/>
                <w:u w:val="single"/>
                <w:lang w:val="en-US" w:eastAsia="zh-CN"/>
              </w:rPr>
              <w:t>S</w:t>
            </w:r>
          </w:p>
        </w:tc>
        <w:tc>
          <w:tcPr>
            <w:tcW w:w="81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b w:val="0"/>
                <w:sz w:val="21"/>
                <w:szCs w:val="21"/>
                <w:u w:val="single"/>
              </w:rPr>
              <w:t>10.0</w:t>
            </w:r>
          </w:p>
        </w:tc>
        <w:tc>
          <w:tcPr>
            <w:tcW w:w="1011"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bidi="ar-SA"/>
              </w:rPr>
              <w:t>0.000588</w:t>
            </w:r>
          </w:p>
        </w:tc>
        <w:tc>
          <w:tcPr>
            <w:tcW w:w="738"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eastAsia" w:ascii="Times New Roman" w:eastAsia="宋体" w:cs="Times New Roman"/>
                <w:color w:val="auto"/>
                <w:sz w:val="21"/>
                <w:szCs w:val="21"/>
                <w:highlight w:val="none"/>
                <w:u w:val="single"/>
                <w:lang w:val="en-US" w:eastAsia="zh-CN" w:bidi="ar-SA"/>
              </w:rPr>
              <w:t>5.88</w:t>
            </w:r>
          </w:p>
        </w:tc>
        <w:tc>
          <w:tcPr>
            <w:tcW w:w="812" w:type="pct"/>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u w:val="single"/>
                <w:lang w:val="en-US" w:eastAsia="zh-CN" w:bidi="ar-SA"/>
              </w:rPr>
            </w:pPr>
            <w:r>
              <w:rPr>
                <w:rFonts w:hint="default" w:ascii="Times New Roman" w:hAnsi="Times New Roman" w:eastAsia="宋体" w:cs="Times New Roman"/>
                <w:color w:val="auto"/>
                <w:sz w:val="21"/>
                <w:szCs w:val="21"/>
                <w:highlight w:val="none"/>
                <w:u w:val="single"/>
                <w:lang w:val="en-US" w:eastAsia="zh-CN"/>
              </w:rPr>
              <w:t>/</w:t>
            </w:r>
          </w:p>
        </w:tc>
      </w:tr>
    </w:tbl>
    <w:p>
      <w:pPr>
        <w:spacing w:line="360" w:lineRule="auto"/>
        <w:ind w:firstLine="484" w:firstLineChars="200"/>
        <w:rPr>
          <w:rFonts w:ascii="Times New Roman" w:eastAsia="宋体"/>
          <w:color w:val="auto"/>
          <w:szCs w:val="24"/>
          <w:u w:val="single"/>
          <w:lang w:val="zh-CN"/>
        </w:rPr>
      </w:pPr>
      <w:r>
        <w:rPr>
          <w:rFonts w:ascii="Times New Roman" w:eastAsia="宋体"/>
          <w:color w:val="auto"/>
          <w:u w:val="single"/>
        </w:rPr>
        <w:t>本项目Pmax最大值为</w:t>
      </w:r>
      <w:r>
        <w:rPr>
          <w:rFonts w:hint="eastAsia" w:ascii="Times New Roman" w:eastAsia="宋体"/>
          <w:color w:val="auto"/>
          <w:u w:val="single"/>
          <w:lang w:eastAsia="zh-CN"/>
        </w:rPr>
        <w:t>锅炉排气筒（</w:t>
      </w:r>
      <w:r>
        <w:rPr>
          <w:rFonts w:hint="eastAsia" w:ascii="Times New Roman" w:eastAsia="宋体"/>
          <w:color w:val="auto"/>
          <w:u w:val="single"/>
          <w:lang w:val="en-US" w:eastAsia="zh-CN"/>
        </w:rPr>
        <w:t>DA001</w:t>
      </w:r>
      <w:r>
        <w:rPr>
          <w:rFonts w:hint="eastAsia" w:ascii="Times New Roman" w:eastAsia="宋体"/>
          <w:color w:val="auto"/>
          <w:u w:val="single"/>
          <w:lang w:eastAsia="zh-CN"/>
        </w:rPr>
        <w:t>）</w:t>
      </w:r>
      <w:r>
        <w:rPr>
          <w:rFonts w:hint="eastAsia" w:ascii="Times New Roman" w:eastAsia="宋体"/>
          <w:color w:val="auto"/>
          <w:u w:val="single"/>
          <w:lang w:val="en-US" w:eastAsia="zh-CN"/>
        </w:rPr>
        <w:t>NOx</w:t>
      </w:r>
      <w:r>
        <w:rPr>
          <w:rFonts w:ascii="Times New Roman" w:eastAsia="宋体"/>
          <w:color w:val="auto"/>
          <w:u w:val="single"/>
        </w:rPr>
        <w:t>，Pmax值为</w:t>
      </w:r>
      <w:r>
        <w:rPr>
          <w:rFonts w:hint="eastAsia" w:ascii="Times New Roman" w:eastAsia="宋体"/>
          <w:color w:val="auto"/>
          <w:u w:val="single"/>
          <w:lang w:val="en-US" w:eastAsia="zh-CN"/>
        </w:rPr>
        <w:t>6.32</w:t>
      </w:r>
      <w:r>
        <w:rPr>
          <w:rFonts w:ascii="Times New Roman" w:eastAsia="宋体"/>
          <w:color w:val="auto"/>
          <w:u w:val="single"/>
        </w:rPr>
        <w:t>%，Cmax为</w:t>
      </w:r>
      <w:r>
        <w:rPr>
          <w:rFonts w:hint="eastAsia" w:ascii="Times New Roman" w:eastAsia="宋体"/>
          <w:color w:val="auto"/>
          <w:u w:val="single"/>
        </w:rPr>
        <w:t>0.0</w:t>
      </w:r>
      <w:r>
        <w:rPr>
          <w:rFonts w:hint="eastAsia" w:ascii="Times New Roman" w:eastAsia="宋体"/>
          <w:color w:val="auto"/>
          <w:u w:val="single"/>
          <w:lang w:val="en-US" w:eastAsia="zh-CN"/>
        </w:rPr>
        <w:t>1580</w:t>
      </w:r>
      <w:r>
        <w:rPr>
          <w:rFonts w:hint="eastAsia" w:ascii="Times New Roman" w:eastAsia="宋体"/>
          <w:color w:val="auto"/>
          <w:u w:val="single"/>
        </w:rPr>
        <w:t>m</w:t>
      </w:r>
      <w:r>
        <w:rPr>
          <w:rFonts w:ascii="Times New Roman" w:eastAsia="宋体"/>
          <w:color w:val="auto"/>
          <w:u w:val="single"/>
        </w:rPr>
        <w:t>g/m³。根据《环境影响评价技术导则大气环境》（HJ2.2-2018）分级判据，确定本项目大气环境影响评价工作等级为二级。</w:t>
      </w:r>
      <w:r>
        <w:rPr>
          <w:rFonts w:ascii="Times New Roman" w:eastAsia="宋体"/>
          <w:color w:val="auto"/>
          <w:szCs w:val="24"/>
          <w:u w:val="single"/>
          <w:lang w:val="zh-CN"/>
        </w:rPr>
        <w:t>二级评价项目不进行进一步预测与评价，只对污染物排放量进行核算。</w:t>
      </w:r>
    </w:p>
    <w:p>
      <w:pPr>
        <w:pStyle w:val="4"/>
        <w:spacing w:before="0" w:after="0" w:line="360" w:lineRule="auto"/>
        <w:rPr>
          <w:rFonts w:ascii="Times New Roman" w:eastAsia="宋体"/>
          <w:b/>
          <w:bCs/>
          <w:color w:val="auto"/>
          <w:kern w:val="2"/>
          <w:sz w:val="24"/>
          <w:lang w:val="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7.2</w:t>
      </w:r>
      <w:r>
        <w:rPr>
          <w:rFonts w:ascii="Times New Roman" w:eastAsia="宋体"/>
          <w:b/>
          <w:bCs/>
          <w:color w:val="auto"/>
          <w:kern w:val="2"/>
          <w:sz w:val="24"/>
          <w:lang w:val="zh-CN"/>
        </w:rPr>
        <w:t>地表水环境</w:t>
      </w:r>
      <w:r>
        <w:rPr>
          <w:rFonts w:hint="eastAsia" w:ascii="Times New Roman" w:eastAsia="宋体"/>
          <w:b/>
          <w:bCs/>
          <w:color w:val="auto"/>
          <w:kern w:val="2"/>
          <w:sz w:val="24"/>
          <w:lang w:val="zh-CN"/>
        </w:rPr>
        <w:t>评价等级</w:t>
      </w:r>
    </w:p>
    <w:p>
      <w:pPr>
        <w:spacing w:line="360" w:lineRule="auto"/>
        <w:ind w:firstLine="484" w:firstLineChars="200"/>
        <w:jc w:val="left"/>
        <w:rPr>
          <w:rFonts w:ascii="Times New Roman" w:eastAsia="宋体"/>
          <w:color w:val="auto"/>
        </w:rPr>
      </w:pPr>
      <w:r>
        <w:rPr>
          <w:rFonts w:ascii="Times New Roman" w:eastAsia="宋体"/>
          <w:color w:val="auto"/>
          <w:szCs w:val="24"/>
        </w:rPr>
        <w:t>本项目采用集约化畜禽养殖业干清粪工艺，</w:t>
      </w:r>
      <w:r>
        <w:rPr>
          <w:rFonts w:ascii="Times New Roman" w:eastAsia="宋体"/>
          <w:color w:val="auto"/>
        </w:rPr>
        <w:t>项目产生的废水主要为鸡舍冲洗废水、</w:t>
      </w:r>
      <w:r>
        <w:rPr>
          <w:rFonts w:hint="eastAsia" w:ascii="Times New Roman" w:eastAsia="宋体"/>
          <w:color w:val="auto"/>
        </w:rPr>
        <w:t>除臭废水和</w:t>
      </w:r>
      <w:r>
        <w:rPr>
          <w:rFonts w:ascii="Times New Roman" w:eastAsia="宋体"/>
          <w:color w:val="auto"/>
        </w:rPr>
        <w:t>生活污水。生活污水经化粪池处理后与鸡舍冲洗废水</w:t>
      </w:r>
      <w:r>
        <w:rPr>
          <w:rFonts w:hint="eastAsia" w:ascii="Times New Roman" w:eastAsia="宋体"/>
          <w:color w:val="auto"/>
        </w:rPr>
        <w:t>、除臭废水</w:t>
      </w:r>
      <w:r>
        <w:rPr>
          <w:rFonts w:ascii="Times New Roman" w:eastAsia="宋体"/>
          <w:color w:val="auto"/>
        </w:rPr>
        <w:t>一起排入厂内</w:t>
      </w:r>
      <w:r>
        <w:rPr>
          <w:rFonts w:hint="eastAsia" w:ascii="Times New Roman" w:eastAsia="宋体"/>
          <w:color w:val="auto"/>
        </w:rPr>
        <w:t>沉淀池预处理</w:t>
      </w:r>
      <w:r>
        <w:rPr>
          <w:rFonts w:ascii="Times New Roman" w:eastAsia="宋体"/>
          <w:color w:val="auto"/>
        </w:rPr>
        <w:t>，</w:t>
      </w:r>
      <w:r>
        <w:rPr>
          <w:rFonts w:hint="eastAsia" w:ascii="Times New Roman" w:eastAsia="宋体"/>
          <w:color w:val="auto"/>
        </w:rPr>
        <w:t>后</w:t>
      </w:r>
      <w:r>
        <w:rPr>
          <w:rFonts w:ascii="Times New Roman" w:eastAsia="宋体"/>
          <w:color w:val="auto"/>
        </w:rPr>
        <w:t>定期采用密闭槽罐车运</w:t>
      </w:r>
      <w:r>
        <w:rPr>
          <w:rFonts w:hint="eastAsia" w:ascii="Times New Roman" w:eastAsia="宋体"/>
          <w:color w:val="auto"/>
        </w:rPr>
        <w:t>送至新华养殖场进行处理，达标后</w:t>
      </w:r>
      <w:r>
        <w:rPr>
          <w:rFonts w:hint="eastAsia" w:ascii="Times New Roman" w:eastAsia="宋体"/>
          <w:color w:val="auto"/>
          <w:lang w:val="en-US" w:eastAsia="zh-CN"/>
        </w:rPr>
        <w:t>用于</w:t>
      </w:r>
      <w:r>
        <w:rPr>
          <w:rFonts w:hint="eastAsia" w:ascii="Times New Roman" w:eastAsia="宋体"/>
          <w:color w:val="auto"/>
        </w:rPr>
        <w:t>农林地</w:t>
      </w:r>
      <w:r>
        <w:rPr>
          <w:rFonts w:hint="eastAsia" w:ascii="Times New Roman" w:eastAsia="宋体"/>
          <w:color w:val="auto"/>
          <w:lang w:val="en-US" w:eastAsia="zh-CN"/>
        </w:rPr>
        <w:t>施肥</w:t>
      </w:r>
      <w:r>
        <w:rPr>
          <w:rFonts w:hint="eastAsia" w:ascii="Times New Roman" w:eastAsia="宋体"/>
          <w:color w:val="auto"/>
        </w:rPr>
        <w:t>，不排入地表水体。</w:t>
      </w:r>
      <w:r>
        <w:rPr>
          <w:rFonts w:ascii="Times New Roman" w:eastAsia="宋体"/>
          <w:color w:val="auto"/>
        </w:rPr>
        <w:t>根据《环境影响评价技术导则地表水环境》（HJ2.3-2018）表2有关分级判别定义，确定项目区域地表水评价工作等级为三级B，</w:t>
      </w:r>
    </w:p>
    <w:p>
      <w:pPr>
        <w:spacing w:line="360" w:lineRule="auto"/>
        <w:ind w:firstLine="484" w:firstLineChars="200"/>
        <w:jc w:val="left"/>
        <w:rPr>
          <w:rFonts w:ascii="Times New Roman" w:eastAsia="宋体"/>
          <w:color w:val="auto"/>
          <w:kern w:val="2"/>
          <w:szCs w:val="24"/>
        </w:rPr>
      </w:pPr>
      <w:r>
        <w:rPr>
          <w:rFonts w:ascii="Times New Roman" w:eastAsia="宋体"/>
          <w:color w:val="auto"/>
          <w:kern w:val="2"/>
          <w:szCs w:val="24"/>
        </w:rPr>
        <w:t>本项目地表水环境影响评价工作等级确定的依据见下</w:t>
      </w:r>
      <w:r>
        <w:rPr>
          <w:rFonts w:hint="eastAsia" w:ascii="Times New Roman" w:eastAsia="宋体"/>
          <w:color w:val="auto"/>
          <w:kern w:val="2"/>
          <w:szCs w:val="24"/>
        </w:rPr>
        <w:t>2.7-7</w:t>
      </w:r>
      <w:r>
        <w:rPr>
          <w:rFonts w:ascii="Times New Roman" w:eastAsia="宋体"/>
          <w:color w:val="auto"/>
          <w:kern w:val="2"/>
          <w:szCs w:val="24"/>
        </w:rPr>
        <w:t>。</w:t>
      </w:r>
    </w:p>
    <w:p>
      <w:pPr>
        <w:pStyle w:val="17"/>
        <w:spacing w:beforeLines="50" w:line="0" w:lineRule="atLeast"/>
        <w:jc w:val="center"/>
        <w:rPr>
          <w:rFonts w:ascii="Times New Roman" w:hAnsi="Times New Roman" w:eastAsia="宋体" w:cs="Times New Roman"/>
          <w:b/>
          <w:bCs/>
          <w:color w:val="auto"/>
          <w:sz w:val="21"/>
        </w:rPr>
      </w:pPr>
      <w:bookmarkStart w:id="124" w:name="_Ref17705"/>
      <w:r>
        <w:rPr>
          <w:rFonts w:ascii="Times New Roman" w:hAnsi="Times New Roman" w:eastAsia="宋体" w:cs="Times New Roman"/>
          <w:b/>
          <w:bCs/>
          <w:color w:val="auto"/>
          <w:sz w:val="21"/>
        </w:rPr>
        <w:t>表2.</w:t>
      </w:r>
      <w:r>
        <w:rPr>
          <w:rFonts w:hint="eastAsia" w:ascii="Times New Roman" w:hAnsi="Times New Roman" w:eastAsia="宋体" w:cs="Times New Roman"/>
          <w:b/>
          <w:bCs/>
          <w:color w:val="auto"/>
          <w:sz w:val="21"/>
        </w:rPr>
        <w:t>7</w:t>
      </w:r>
      <w:r>
        <w:rPr>
          <w:rFonts w:ascii="Times New Roman" w:hAnsi="Times New Roman" w:eastAsia="宋体" w:cs="Times New Roman"/>
          <w:b/>
          <w:bCs/>
          <w:color w:val="auto"/>
          <w:sz w:val="21"/>
        </w:rPr>
        <w:t>-</w:t>
      </w:r>
      <w:bookmarkEnd w:id="124"/>
      <w:r>
        <w:rPr>
          <w:rFonts w:hint="eastAsia" w:ascii="Times New Roman" w:hAnsi="Times New Roman" w:eastAsia="宋体" w:cs="Times New Roman"/>
          <w:b/>
          <w:bCs/>
          <w:color w:val="auto"/>
          <w:sz w:val="21"/>
        </w:rPr>
        <w:t>7</w:t>
      </w:r>
      <w:r>
        <w:rPr>
          <w:rFonts w:ascii="Times New Roman" w:hAnsi="Times New Roman" w:eastAsia="宋体" w:cs="Times New Roman"/>
          <w:b/>
          <w:bCs/>
          <w:color w:val="auto"/>
          <w:sz w:val="21"/>
        </w:rPr>
        <w:t>水污染影响型建设项目评价等级判定</w:t>
      </w:r>
    </w:p>
    <w:tbl>
      <w:tblPr>
        <w:tblStyle w:val="47"/>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2781"/>
        <w:gridCol w:w="32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479" w:type="pct"/>
            <w:vMerge w:val="restart"/>
            <w:vAlign w:val="center"/>
          </w:tcPr>
          <w:p>
            <w:pPr>
              <w:jc w:val="center"/>
              <w:rPr>
                <w:rFonts w:ascii="Times New Roman" w:eastAsia="宋体"/>
                <w:b/>
                <w:bCs/>
                <w:color w:val="auto"/>
                <w:kern w:val="44"/>
                <w:sz w:val="21"/>
                <w:szCs w:val="21"/>
              </w:rPr>
            </w:pPr>
            <w:r>
              <w:rPr>
                <w:rFonts w:ascii="Times New Roman" w:eastAsia="宋体"/>
                <w:b/>
                <w:bCs/>
                <w:color w:val="auto"/>
                <w:kern w:val="44"/>
                <w:sz w:val="21"/>
                <w:szCs w:val="21"/>
              </w:rPr>
              <w:t>评价等级</w:t>
            </w:r>
          </w:p>
        </w:tc>
        <w:tc>
          <w:tcPr>
            <w:tcW w:w="3520" w:type="pct"/>
            <w:gridSpan w:val="2"/>
            <w:vAlign w:val="center"/>
          </w:tcPr>
          <w:p>
            <w:pPr>
              <w:jc w:val="center"/>
              <w:rPr>
                <w:rFonts w:ascii="Times New Roman" w:eastAsia="宋体"/>
                <w:b/>
                <w:bCs/>
                <w:color w:val="auto"/>
                <w:kern w:val="44"/>
                <w:sz w:val="21"/>
                <w:szCs w:val="21"/>
              </w:rPr>
            </w:pPr>
            <w:r>
              <w:rPr>
                <w:rFonts w:ascii="Times New Roman" w:eastAsia="宋体"/>
                <w:b/>
                <w:bCs/>
                <w:color w:val="auto"/>
                <w:kern w:val="44"/>
                <w:sz w:val="21"/>
                <w:szCs w:val="21"/>
              </w:rPr>
              <w:t>判定依据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479" w:type="pct"/>
            <w:vMerge w:val="continue"/>
            <w:vAlign w:val="center"/>
          </w:tcPr>
          <w:p>
            <w:pPr>
              <w:jc w:val="center"/>
              <w:rPr>
                <w:rFonts w:ascii="Times New Roman" w:eastAsia="宋体"/>
                <w:b/>
                <w:bCs/>
                <w:color w:val="auto"/>
                <w:kern w:val="44"/>
                <w:sz w:val="21"/>
                <w:szCs w:val="21"/>
              </w:rPr>
            </w:pPr>
          </w:p>
        </w:tc>
        <w:tc>
          <w:tcPr>
            <w:tcW w:w="1633" w:type="pct"/>
            <w:vAlign w:val="center"/>
          </w:tcPr>
          <w:p>
            <w:pPr>
              <w:jc w:val="center"/>
              <w:rPr>
                <w:rFonts w:ascii="Times New Roman" w:eastAsia="宋体"/>
                <w:b/>
                <w:bCs/>
                <w:color w:val="auto"/>
                <w:kern w:val="44"/>
                <w:sz w:val="21"/>
                <w:szCs w:val="21"/>
              </w:rPr>
            </w:pPr>
            <w:r>
              <w:rPr>
                <w:rFonts w:ascii="Times New Roman" w:eastAsia="宋体"/>
                <w:b/>
                <w:bCs/>
                <w:color w:val="auto"/>
                <w:kern w:val="44"/>
                <w:sz w:val="21"/>
                <w:szCs w:val="21"/>
              </w:rPr>
              <w:t>排放方式</w:t>
            </w:r>
          </w:p>
        </w:tc>
        <w:tc>
          <w:tcPr>
            <w:tcW w:w="1887" w:type="pct"/>
            <w:vAlign w:val="center"/>
          </w:tcPr>
          <w:p>
            <w:pPr>
              <w:jc w:val="center"/>
              <w:rPr>
                <w:rFonts w:ascii="Times New Roman" w:eastAsia="宋体"/>
                <w:b/>
                <w:bCs/>
                <w:color w:val="auto"/>
                <w:kern w:val="44"/>
                <w:sz w:val="21"/>
                <w:szCs w:val="21"/>
              </w:rPr>
            </w:pPr>
            <w:r>
              <w:rPr>
                <w:rFonts w:ascii="Times New Roman" w:eastAsia="宋体"/>
                <w:b/>
                <w:bCs/>
                <w:color w:val="auto"/>
                <w:kern w:val="44"/>
                <w:sz w:val="21"/>
                <w:szCs w:val="21"/>
              </w:rPr>
              <w:t>废水排放量Q/（m</w:t>
            </w:r>
            <w:r>
              <w:rPr>
                <w:rFonts w:ascii="Times New Roman" w:eastAsia="宋体"/>
                <w:b/>
                <w:bCs/>
                <w:color w:val="auto"/>
                <w:kern w:val="44"/>
                <w:sz w:val="21"/>
                <w:szCs w:val="21"/>
                <w:vertAlign w:val="superscript"/>
              </w:rPr>
              <w:t>3</w:t>
            </w:r>
            <w:r>
              <w:rPr>
                <w:rFonts w:ascii="Times New Roman" w:eastAsia="宋体"/>
                <w:b/>
                <w:bCs/>
                <w:color w:val="auto"/>
                <w:kern w:val="44"/>
                <w:sz w:val="21"/>
                <w:szCs w:val="21"/>
              </w:rPr>
              <w:t>/d）；</w:t>
            </w:r>
          </w:p>
          <w:p>
            <w:pPr>
              <w:jc w:val="center"/>
              <w:rPr>
                <w:rFonts w:ascii="Times New Roman" w:eastAsia="宋体"/>
                <w:b/>
                <w:bCs/>
                <w:color w:val="auto"/>
                <w:kern w:val="44"/>
                <w:sz w:val="21"/>
                <w:szCs w:val="21"/>
              </w:rPr>
            </w:pPr>
            <w:r>
              <w:rPr>
                <w:rFonts w:ascii="Times New Roman" w:eastAsia="宋体"/>
                <w:b/>
                <w:bCs/>
                <w:color w:val="auto"/>
                <w:kern w:val="44"/>
                <w:sz w:val="21"/>
                <w:szCs w:val="21"/>
              </w:rPr>
              <w:t>水污染物当量数W/（无量纲）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一级</w:t>
            </w:r>
          </w:p>
        </w:tc>
        <w:tc>
          <w:tcPr>
            <w:tcW w:w="1633"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直接排放</w:t>
            </w:r>
          </w:p>
        </w:tc>
        <w:tc>
          <w:tcPr>
            <w:tcW w:w="1887"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Q≥20000或W≤600000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二级</w:t>
            </w:r>
          </w:p>
        </w:tc>
        <w:tc>
          <w:tcPr>
            <w:tcW w:w="1633"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直接排放</w:t>
            </w:r>
          </w:p>
        </w:tc>
        <w:tc>
          <w:tcPr>
            <w:tcW w:w="1887"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其他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三级A</w:t>
            </w:r>
          </w:p>
        </w:tc>
        <w:tc>
          <w:tcPr>
            <w:tcW w:w="1633"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直接排放</w:t>
            </w:r>
          </w:p>
        </w:tc>
        <w:tc>
          <w:tcPr>
            <w:tcW w:w="1887" w:type="pct"/>
            <w:vAlign w:val="center"/>
          </w:tcPr>
          <w:p>
            <w:pPr>
              <w:jc w:val="center"/>
              <w:rPr>
                <w:rFonts w:ascii="Times New Roman" w:eastAsia="宋体"/>
                <w:color w:val="auto"/>
                <w:kern w:val="44"/>
                <w:sz w:val="21"/>
                <w:szCs w:val="21"/>
              </w:rPr>
            </w:pPr>
            <w:r>
              <w:rPr>
                <w:rFonts w:ascii="Times New Roman" w:eastAsia="宋体"/>
                <w:color w:val="auto"/>
                <w:kern w:val="44"/>
                <w:sz w:val="21"/>
                <w:szCs w:val="21"/>
              </w:rPr>
              <w:t>Q＜200且W＜6000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79" w:type="pct"/>
            <w:shd w:val="clear" w:color="auto" w:fill="BEBEBE" w:themeFill="background1" w:themeFillShade="BF"/>
            <w:vAlign w:val="center"/>
          </w:tcPr>
          <w:p>
            <w:pPr>
              <w:jc w:val="center"/>
              <w:rPr>
                <w:rFonts w:ascii="Times New Roman" w:eastAsia="宋体"/>
                <w:b/>
                <w:bCs/>
                <w:color w:val="auto"/>
                <w:kern w:val="44"/>
                <w:sz w:val="21"/>
                <w:szCs w:val="21"/>
              </w:rPr>
            </w:pPr>
            <w:r>
              <w:rPr>
                <w:rFonts w:ascii="Times New Roman" w:eastAsia="宋体"/>
                <w:b/>
                <w:bCs/>
                <w:color w:val="auto"/>
                <w:kern w:val="44"/>
                <w:sz w:val="21"/>
                <w:szCs w:val="21"/>
              </w:rPr>
              <w:t>三级B</w:t>
            </w:r>
          </w:p>
        </w:tc>
        <w:tc>
          <w:tcPr>
            <w:tcW w:w="1633" w:type="pct"/>
            <w:shd w:val="clear" w:color="auto" w:fill="BEBEBE" w:themeFill="background1" w:themeFillShade="BF"/>
            <w:vAlign w:val="center"/>
          </w:tcPr>
          <w:p>
            <w:pPr>
              <w:jc w:val="center"/>
              <w:rPr>
                <w:rFonts w:ascii="Times New Roman" w:eastAsia="宋体"/>
                <w:b/>
                <w:bCs/>
                <w:color w:val="auto"/>
                <w:kern w:val="44"/>
                <w:sz w:val="21"/>
                <w:szCs w:val="21"/>
              </w:rPr>
            </w:pPr>
            <w:r>
              <w:rPr>
                <w:rFonts w:ascii="Times New Roman" w:eastAsia="宋体"/>
                <w:b/>
                <w:bCs/>
                <w:color w:val="auto"/>
                <w:kern w:val="44"/>
                <w:sz w:val="21"/>
                <w:szCs w:val="21"/>
              </w:rPr>
              <w:t>间接排放</w:t>
            </w:r>
          </w:p>
        </w:tc>
        <w:tc>
          <w:tcPr>
            <w:tcW w:w="1887" w:type="pct"/>
            <w:shd w:val="clear" w:color="auto" w:fill="BEBEBE" w:themeFill="background1" w:themeFillShade="BF"/>
            <w:vAlign w:val="center"/>
          </w:tcPr>
          <w:p>
            <w:pPr>
              <w:jc w:val="center"/>
              <w:rPr>
                <w:rFonts w:ascii="Times New Roman" w:eastAsia="宋体"/>
                <w:b/>
                <w:bCs/>
                <w:color w:val="auto"/>
                <w:kern w:val="44"/>
                <w:sz w:val="21"/>
                <w:szCs w:val="21"/>
              </w:rPr>
            </w:pPr>
            <w:r>
              <w:rPr>
                <w:rFonts w:ascii="Times New Roman" w:eastAsia="宋体"/>
                <w:b/>
                <w:bCs/>
                <w:color w:val="auto"/>
                <w:kern w:val="44"/>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3"/>
            <w:vAlign w:val="center"/>
          </w:tcPr>
          <w:p>
            <w:pPr>
              <w:jc w:val="left"/>
              <w:rPr>
                <w:rFonts w:ascii="Times New Roman" w:eastAsia="宋体"/>
                <w:color w:val="auto"/>
                <w:kern w:val="44"/>
                <w:sz w:val="21"/>
                <w:szCs w:val="21"/>
              </w:rPr>
            </w:pPr>
            <w:r>
              <w:rPr>
                <w:rFonts w:ascii="Times New Roman" w:eastAsia="宋体"/>
                <w:color w:val="auto"/>
                <w:kern w:val="44"/>
                <w:sz w:val="21"/>
                <w:szCs w:val="21"/>
              </w:rPr>
              <w:t>注1：水污染物当量数等于该污染物的年排放量除以该污染物的污染当量值（见附录A），计算排放污染物的污染物当量数，应区分第一类水污染物和其他类水污染物，统计第一类污染物当量数总和，然后与其他类污染物按照污染物当量数从大到小排序，取最大当量数作为建设项目评价等级确定的依据。</w:t>
            </w:r>
          </w:p>
          <w:p>
            <w:pPr>
              <w:jc w:val="left"/>
              <w:rPr>
                <w:rFonts w:ascii="Times New Roman" w:eastAsia="宋体"/>
                <w:color w:val="auto"/>
                <w:kern w:val="44"/>
                <w:sz w:val="21"/>
                <w:szCs w:val="21"/>
              </w:rPr>
            </w:pPr>
            <w:r>
              <w:rPr>
                <w:rFonts w:ascii="Times New Roman" w:eastAsia="宋体"/>
                <w:color w:val="auto"/>
                <w:kern w:val="44"/>
                <w:sz w:val="21"/>
                <w:szCs w:val="21"/>
              </w:rPr>
              <w:t>注2：废水排放量按行业排放标准中规定的废水种类统计，没有相关行业排放标准要求的通过工程分析合理确定，应统计含热量大的冷却水的排放量，可不统计间接冷却水、循环水以及其他含污染物极少的清净下水的排放量。</w:t>
            </w:r>
          </w:p>
          <w:p>
            <w:pPr>
              <w:jc w:val="left"/>
              <w:rPr>
                <w:rFonts w:ascii="Times New Roman" w:eastAsia="宋体"/>
                <w:color w:val="auto"/>
                <w:kern w:val="44"/>
                <w:sz w:val="21"/>
                <w:szCs w:val="21"/>
              </w:rPr>
            </w:pPr>
            <w:r>
              <w:rPr>
                <w:rFonts w:ascii="Times New Roman" w:eastAsia="宋体"/>
                <w:color w:val="auto"/>
                <w:kern w:val="44"/>
                <w:sz w:val="21"/>
                <w:szCs w:val="21"/>
              </w:rPr>
              <w:t>注3：厂区存在堆积物（露天堆放的原料、燃料、废渣等以及垃圾堆放场）、降尘污染的，应将初期雨污水纳入废水排放量，相应的主要污染物纳入水污染当量计算。</w:t>
            </w:r>
          </w:p>
          <w:p>
            <w:pPr>
              <w:jc w:val="left"/>
              <w:rPr>
                <w:rFonts w:ascii="Times New Roman" w:eastAsia="宋体"/>
                <w:color w:val="auto"/>
                <w:kern w:val="44"/>
                <w:sz w:val="21"/>
                <w:szCs w:val="21"/>
              </w:rPr>
            </w:pPr>
            <w:r>
              <w:rPr>
                <w:rFonts w:ascii="Times New Roman" w:eastAsia="宋体"/>
                <w:color w:val="auto"/>
                <w:kern w:val="44"/>
                <w:sz w:val="21"/>
                <w:szCs w:val="21"/>
              </w:rPr>
              <w:t>注4：建设项目直接排放第一类污染物的，其评价等级为一级;建设项目直接排放的污染物为受纳水体超标因子的，评价等级不低于二级。</w:t>
            </w:r>
          </w:p>
          <w:p>
            <w:pPr>
              <w:jc w:val="left"/>
              <w:rPr>
                <w:rFonts w:ascii="Times New Roman" w:eastAsia="宋体"/>
                <w:color w:val="auto"/>
                <w:kern w:val="44"/>
                <w:sz w:val="21"/>
                <w:szCs w:val="21"/>
              </w:rPr>
            </w:pPr>
            <w:r>
              <w:rPr>
                <w:rFonts w:ascii="Times New Roman" w:eastAsia="宋体"/>
                <w:color w:val="auto"/>
                <w:kern w:val="44"/>
                <w:sz w:val="21"/>
                <w:szCs w:val="21"/>
              </w:rPr>
              <w:t>注5：直接排放受纳水体影响范围涉及饮用水水源保护区、饮用水取水口、重点保护与珍稀水生生物的栖息地、重要水生生物的自然产卵场等保护目标时，评价等级不低于二级。</w:t>
            </w:r>
          </w:p>
          <w:p>
            <w:pPr>
              <w:jc w:val="left"/>
              <w:rPr>
                <w:rFonts w:ascii="Times New Roman" w:eastAsia="宋体"/>
                <w:color w:val="auto"/>
                <w:kern w:val="44"/>
                <w:sz w:val="21"/>
                <w:szCs w:val="21"/>
              </w:rPr>
            </w:pPr>
            <w:r>
              <w:rPr>
                <w:rFonts w:ascii="Times New Roman" w:eastAsia="宋体"/>
                <w:color w:val="auto"/>
                <w:kern w:val="44"/>
                <w:sz w:val="21"/>
                <w:szCs w:val="21"/>
              </w:rPr>
              <w:t>注6：建设项目向河流、湖库排放温排水引起受纳水体水温变化超过水环境质量标准要求，且评价范围有水温敏感目标时，评价等级为一级。</w:t>
            </w:r>
          </w:p>
          <w:p>
            <w:pPr>
              <w:jc w:val="left"/>
              <w:rPr>
                <w:rFonts w:ascii="Times New Roman" w:eastAsia="宋体"/>
                <w:color w:val="auto"/>
                <w:kern w:val="44"/>
                <w:sz w:val="21"/>
                <w:szCs w:val="21"/>
              </w:rPr>
            </w:pPr>
            <w:r>
              <w:rPr>
                <w:rFonts w:ascii="Times New Roman" w:eastAsia="宋体"/>
                <w:color w:val="auto"/>
                <w:kern w:val="44"/>
                <w:sz w:val="21"/>
                <w:szCs w:val="21"/>
              </w:rPr>
              <w:t>注7：建设项目利用海水作为调节温度介质，排水量≥500万m</w:t>
            </w:r>
            <w:r>
              <w:rPr>
                <w:rFonts w:ascii="Times New Roman" w:eastAsia="宋体"/>
                <w:color w:val="auto"/>
                <w:kern w:val="44"/>
                <w:sz w:val="21"/>
                <w:szCs w:val="21"/>
                <w:vertAlign w:val="superscript"/>
              </w:rPr>
              <w:t>3</w:t>
            </w:r>
            <w:r>
              <w:rPr>
                <w:rFonts w:ascii="Times New Roman" w:eastAsia="宋体"/>
                <w:color w:val="auto"/>
                <w:kern w:val="44"/>
                <w:sz w:val="21"/>
                <w:szCs w:val="21"/>
              </w:rPr>
              <w:t>/d，评价等级为一级;排水量&lt;500万m</w:t>
            </w:r>
            <w:r>
              <w:rPr>
                <w:rFonts w:ascii="Times New Roman" w:eastAsia="宋体"/>
                <w:color w:val="auto"/>
                <w:kern w:val="44"/>
                <w:sz w:val="21"/>
                <w:szCs w:val="21"/>
                <w:vertAlign w:val="superscript"/>
              </w:rPr>
              <w:t>3</w:t>
            </w:r>
            <w:r>
              <w:rPr>
                <w:rFonts w:ascii="Times New Roman" w:eastAsia="宋体"/>
                <w:color w:val="auto"/>
                <w:kern w:val="44"/>
                <w:sz w:val="21"/>
                <w:szCs w:val="21"/>
              </w:rPr>
              <w:t>/d，评价等级为二级。</w:t>
            </w:r>
          </w:p>
          <w:p>
            <w:pPr>
              <w:jc w:val="left"/>
              <w:rPr>
                <w:rFonts w:ascii="Times New Roman" w:eastAsia="宋体"/>
                <w:color w:val="auto"/>
                <w:kern w:val="44"/>
                <w:sz w:val="21"/>
                <w:szCs w:val="21"/>
              </w:rPr>
            </w:pPr>
            <w:r>
              <w:rPr>
                <w:rFonts w:ascii="Times New Roman" w:eastAsia="宋体"/>
                <w:color w:val="auto"/>
                <w:kern w:val="44"/>
                <w:sz w:val="21"/>
                <w:szCs w:val="21"/>
              </w:rPr>
              <w:t>注8：仅涉及清净下水排放的，如其排放水质满足受纳水体水环境质量标准要求的，评价等级为三级A。</w:t>
            </w:r>
          </w:p>
          <w:p>
            <w:pPr>
              <w:jc w:val="left"/>
              <w:rPr>
                <w:rFonts w:ascii="Times New Roman" w:eastAsia="宋体"/>
                <w:color w:val="auto"/>
                <w:kern w:val="44"/>
                <w:sz w:val="21"/>
                <w:szCs w:val="21"/>
              </w:rPr>
            </w:pPr>
            <w:r>
              <w:rPr>
                <w:rFonts w:ascii="Times New Roman" w:eastAsia="宋体"/>
                <w:color w:val="auto"/>
                <w:kern w:val="44"/>
                <w:sz w:val="21"/>
                <w:szCs w:val="21"/>
              </w:rPr>
              <w:t>注9：依托现有排放口，且对外环境未新增排放污染物的直接排放建设项目，评价等级参照间接排放，定为三级B。</w:t>
            </w:r>
          </w:p>
          <w:p>
            <w:pPr>
              <w:jc w:val="left"/>
              <w:rPr>
                <w:rFonts w:ascii="Times New Roman" w:eastAsia="宋体"/>
                <w:color w:val="auto"/>
                <w:kern w:val="44"/>
                <w:sz w:val="21"/>
                <w:szCs w:val="21"/>
              </w:rPr>
            </w:pPr>
            <w:r>
              <w:rPr>
                <w:rFonts w:ascii="Times New Roman" w:eastAsia="宋体"/>
                <w:color w:val="auto"/>
                <w:kern w:val="44"/>
                <w:sz w:val="21"/>
                <w:szCs w:val="21"/>
              </w:rPr>
              <w:t>注10：建设项目生产工艺中有废水产生，但作为回水利用，不排放到外环境的，按三级B评价。</w:t>
            </w:r>
          </w:p>
        </w:tc>
      </w:tr>
    </w:tbl>
    <w:p>
      <w:pPr>
        <w:spacing w:line="360" w:lineRule="auto"/>
        <w:ind w:firstLine="484" w:firstLineChars="200"/>
        <w:rPr>
          <w:rFonts w:hint="default" w:ascii="Times New Roman" w:eastAsia="宋体"/>
          <w:color w:val="auto"/>
          <w:kern w:val="2"/>
          <w:szCs w:val="22"/>
          <w:lang w:val="en-US" w:eastAsia="zh-CN"/>
        </w:rPr>
      </w:pPr>
      <w:r>
        <w:rPr>
          <w:rFonts w:ascii="Times New Roman" w:eastAsia="宋体"/>
          <w:color w:val="auto"/>
          <w:kern w:val="2"/>
          <w:szCs w:val="22"/>
        </w:rPr>
        <w:t>本项目地表水环境评价等级为三级B，根据《环境影响评价技术导则地表水环境》（HJ 2.3-2018）</w:t>
      </w:r>
      <w:r>
        <w:rPr>
          <w:rFonts w:ascii="Times New Roman"/>
          <w:color w:val="auto"/>
          <w:kern w:val="2"/>
          <w:szCs w:val="24"/>
        </w:rPr>
        <w:t>5.3.2.2：</w:t>
      </w:r>
      <w:r>
        <w:rPr>
          <w:rFonts w:ascii="Times New Roman" w:eastAsia="宋体"/>
          <w:color w:val="auto"/>
          <w:kern w:val="2"/>
          <w:szCs w:val="22"/>
        </w:rPr>
        <w:t>“三级B，其评价范围应符合以下要求：a）应满足其依托污水处理设施环境可行性分析的要求；b）涉及地表水环境风险的，应覆盖环境风险影响范围所及的水环境保护目标。”</w:t>
      </w:r>
    </w:p>
    <w:p>
      <w:pPr>
        <w:pStyle w:val="4"/>
        <w:spacing w:before="0" w:after="0" w:line="360" w:lineRule="auto"/>
        <w:rPr>
          <w:rFonts w:hint="eastAsia" w:ascii="Times New Roman" w:eastAsia="宋体"/>
          <w:b/>
          <w:bCs/>
          <w:color w:val="auto"/>
          <w:kern w:val="2"/>
          <w:sz w:val="24"/>
          <w:lang w:eastAsia="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7</w:t>
      </w:r>
      <w:r>
        <w:rPr>
          <w:rFonts w:ascii="Times New Roman" w:eastAsia="宋体"/>
          <w:b/>
          <w:bCs/>
          <w:color w:val="auto"/>
          <w:kern w:val="2"/>
          <w:sz w:val="24"/>
        </w:rPr>
        <w:t>.3地下水环境</w:t>
      </w:r>
      <w:r>
        <w:rPr>
          <w:rFonts w:hint="eastAsia" w:ascii="Times New Roman" w:eastAsia="宋体"/>
          <w:b/>
          <w:bCs/>
          <w:color w:val="auto"/>
          <w:kern w:val="2"/>
          <w:sz w:val="24"/>
          <w:lang w:val="zh-CN"/>
        </w:rPr>
        <w:t>评价等级</w:t>
      </w:r>
    </w:p>
    <w:p>
      <w:pPr>
        <w:spacing w:line="360" w:lineRule="auto"/>
        <w:ind w:firstLine="482"/>
        <w:rPr>
          <w:rFonts w:ascii="Times New Roman" w:eastAsia="宋体"/>
          <w:color w:val="auto"/>
        </w:rPr>
      </w:pPr>
      <w:bookmarkStart w:id="125" w:name="_Toc2642"/>
      <w:bookmarkStart w:id="126" w:name="_Toc18751"/>
      <w:r>
        <w:rPr>
          <w:rFonts w:hint="eastAsia" w:ascii="Times New Roman" w:eastAsia="宋体"/>
          <w:color w:val="auto"/>
        </w:rPr>
        <w:t>（1）建设项目分类</w:t>
      </w:r>
      <w:bookmarkEnd w:id="125"/>
      <w:bookmarkEnd w:id="126"/>
    </w:p>
    <w:p>
      <w:pPr>
        <w:spacing w:line="360" w:lineRule="auto"/>
        <w:ind w:firstLine="484" w:firstLineChars="200"/>
        <w:rPr>
          <w:rFonts w:ascii="Times New Roman" w:eastAsia="宋体"/>
          <w:color w:val="auto"/>
        </w:rPr>
      </w:pPr>
      <w:r>
        <w:rPr>
          <w:rFonts w:ascii="Times New Roman" w:eastAsia="宋体"/>
          <w:color w:val="auto"/>
        </w:rPr>
        <w:t>根据《环境影响评价技术导则地下水环境》（HJ601-2016）</w:t>
      </w:r>
      <w:r>
        <w:rPr>
          <w:rFonts w:hint="eastAsia" w:ascii="Times New Roman" w:eastAsia="宋体"/>
          <w:color w:val="auto"/>
        </w:rPr>
        <w:t>附录A</w:t>
      </w:r>
      <w:r>
        <w:rPr>
          <w:rFonts w:ascii="Times New Roman" w:eastAsia="宋体"/>
          <w:color w:val="auto"/>
        </w:rPr>
        <w:t>，</w:t>
      </w:r>
      <w:r>
        <w:rPr>
          <w:rFonts w:hint="eastAsia" w:ascii="Times New Roman" w:eastAsia="宋体"/>
          <w:color w:val="auto"/>
        </w:rPr>
        <w:t>拟建项目为</w:t>
      </w:r>
      <w:r>
        <w:rPr>
          <w:rFonts w:ascii="Times New Roman" w:eastAsia="宋体"/>
          <w:color w:val="auto"/>
          <w:kern w:val="2"/>
          <w:szCs w:val="24"/>
        </w:rPr>
        <w:t>14.畜禽养殖场、养殖小区，</w:t>
      </w:r>
      <w:r>
        <w:rPr>
          <w:rFonts w:hint="eastAsia" w:ascii="Times New Roman" w:eastAsia="宋体"/>
          <w:color w:val="auto"/>
          <w:kern w:val="2"/>
          <w:szCs w:val="24"/>
        </w:rPr>
        <w:t>为</w:t>
      </w:r>
      <w:r>
        <w:rPr>
          <w:rFonts w:hint="eastAsia" w:ascii="Times New Roman" w:eastAsia="宋体"/>
          <w:color w:val="auto"/>
        </w:rPr>
        <w:t>畜禽养殖项目，属于地下水影响Ⅲ类建设项目。</w:t>
      </w:r>
    </w:p>
    <w:p>
      <w:pPr>
        <w:spacing w:line="360" w:lineRule="auto"/>
        <w:ind w:firstLine="482"/>
        <w:rPr>
          <w:rFonts w:ascii="Times New Roman" w:eastAsia="宋体"/>
          <w:color w:val="auto"/>
        </w:rPr>
      </w:pPr>
      <w:bookmarkStart w:id="127" w:name="_Toc9183"/>
      <w:bookmarkStart w:id="128" w:name="_Toc29829"/>
      <w:r>
        <w:rPr>
          <w:rFonts w:hint="eastAsia" w:ascii="Times New Roman" w:eastAsia="宋体"/>
          <w:color w:val="auto"/>
        </w:rPr>
        <w:t>（2）地下水环境敏感程度</w:t>
      </w:r>
      <w:bookmarkEnd w:id="127"/>
      <w:bookmarkEnd w:id="128"/>
    </w:p>
    <w:p>
      <w:pPr>
        <w:spacing w:line="360" w:lineRule="auto"/>
        <w:ind w:firstLine="484" w:firstLineChars="200"/>
        <w:rPr>
          <w:rFonts w:ascii="Times New Roman" w:eastAsia="宋体"/>
          <w:color w:val="auto"/>
          <w:sz w:val="21"/>
        </w:rPr>
      </w:pPr>
      <w:r>
        <w:rPr>
          <w:rFonts w:ascii="Times New Roman" w:eastAsia="宋体"/>
          <w:color w:val="auto"/>
        </w:rPr>
        <w:t>建设项目的地下水环境敏感程度可分为敏感、较敏感、不敏感三级，项目所在地不属于《环境影响评价技术导则地下水环境》中所指地下集中式饮用水水源地，也没有国家或地方政府设定的地下水环境相关其他保护区，本项目周围主要为散户居民水井，具有饮用功能，故所在区域敏感程度为较敏感，确定本项目地下水环境评价工作等级为三级</w:t>
      </w:r>
      <w:r>
        <w:rPr>
          <w:rFonts w:hint="eastAsia" w:ascii="Times New Roman" w:eastAsia="宋体"/>
          <w:color w:val="auto"/>
        </w:rPr>
        <w:t>，</w:t>
      </w:r>
      <w:bookmarkStart w:id="129" w:name="_Ref485736681"/>
      <w:r>
        <w:rPr>
          <w:rFonts w:ascii="Times New Roman" w:eastAsia="宋体"/>
          <w:color w:val="auto"/>
        </w:rPr>
        <w:t>见表</w:t>
      </w:r>
      <w:r>
        <w:rPr>
          <w:rFonts w:hint="eastAsia" w:ascii="Times New Roman" w:eastAsia="宋体"/>
          <w:color w:val="auto"/>
        </w:rPr>
        <w:t>2.7-8</w:t>
      </w:r>
      <w:r>
        <w:rPr>
          <w:rFonts w:ascii="Times New Roman" w:eastAsia="宋体"/>
          <w:color w:val="auto"/>
        </w:rPr>
        <w:t>。</w:t>
      </w:r>
      <w:bookmarkStart w:id="130" w:name="_Ref491072597"/>
      <w:bookmarkStart w:id="131" w:name="_Ref491072592"/>
    </w:p>
    <w:p>
      <w:pPr>
        <w:pStyle w:val="17"/>
        <w:spacing w:beforeLines="50" w:line="0" w:lineRule="atLeast"/>
        <w:jc w:val="center"/>
        <w:rPr>
          <w:rFonts w:ascii="Times New Roman" w:hAnsi="Times New Roman" w:eastAsia="宋体" w:cs="Times New Roman"/>
          <w:b/>
          <w:bCs/>
          <w:color w:val="auto"/>
          <w:sz w:val="21"/>
        </w:rPr>
      </w:pPr>
      <w:r>
        <w:rPr>
          <w:rFonts w:ascii="Times New Roman" w:hAnsi="Times New Roman" w:eastAsia="宋体" w:cs="Times New Roman"/>
          <w:b/>
          <w:bCs/>
          <w:color w:val="auto"/>
          <w:sz w:val="21"/>
        </w:rPr>
        <w:t>表</w:t>
      </w:r>
      <w:bookmarkEnd w:id="129"/>
      <w:bookmarkEnd w:id="130"/>
      <w:r>
        <w:rPr>
          <w:rFonts w:hint="eastAsia" w:ascii="Times New Roman" w:hAnsi="Times New Roman" w:eastAsia="宋体" w:cs="Times New Roman"/>
          <w:b/>
          <w:bCs/>
          <w:color w:val="auto"/>
          <w:sz w:val="21"/>
        </w:rPr>
        <w:t>2.7-8</w:t>
      </w:r>
      <w:r>
        <w:rPr>
          <w:rFonts w:ascii="Times New Roman" w:hAnsi="Times New Roman" w:eastAsia="宋体" w:cs="Times New Roman"/>
          <w:b/>
          <w:bCs/>
          <w:color w:val="auto"/>
          <w:sz w:val="21"/>
        </w:rPr>
        <w:t>地下水环境敏感程度分级表</w:t>
      </w:r>
      <w:bookmarkEnd w:id="131"/>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70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428" w:type="dxa"/>
            <w:tcBorders>
              <w:tl2br w:val="nil"/>
              <w:tr2bl w:val="nil"/>
            </w:tcBorders>
            <w:vAlign w:val="center"/>
          </w:tcPr>
          <w:p>
            <w:pPr>
              <w:pStyle w:val="265"/>
              <w:rPr>
                <w:rFonts w:ascii="Times New Roman" w:eastAsia="宋体"/>
                <w:b/>
                <w:color w:val="auto"/>
              </w:rPr>
            </w:pPr>
            <w:r>
              <w:rPr>
                <w:rFonts w:ascii="Times New Roman" w:eastAsia="宋体"/>
                <w:b/>
                <w:color w:val="auto"/>
              </w:rPr>
              <w:t>敏感程度</w:t>
            </w:r>
          </w:p>
        </w:tc>
        <w:tc>
          <w:tcPr>
            <w:tcW w:w="7088" w:type="dxa"/>
            <w:tcBorders>
              <w:tl2br w:val="nil"/>
              <w:tr2bl w:val="nil"/>
            </w:tcBorders>
            <w:vAlign w:val="center"/>
          </w:tcPr>
          <w:p>
            <w:pPr>
              <w:pStyle w:val="265"/>
              <w:rPr>
                <w:rFonts w:ascii="Times New Roman" w:eastAsia="宋体"/>
                <w:b/>
                <w:color w:val="auto"/>
              </w:rPr>
            </w:pPr>
            <w:r>
              <w:rPr>
                <w:rFonts w:ascii="Times New Roman" w:eastAsia="宋体"/>
                <w:b/>
                <w:color w:val="auto"/>
              </w:rPr>
              <w:t>地下水环境敏感特征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tcBorders>
              <w:tl2br w:val="nil"/>
              <w:tr2bl w:val="nil"/>
            </w:tcBorders>
            <w:vAlign w:val="center"/>
          </w:tcPr>
          <w:p>
            <w:pPr>
              <w:pStyle w:val="265"/>
              <w:rPr>
                <w:rFonts w:ascii="Times New Roman" w:eastAsia="宋体"/>
                <w:color w:val="auto"/>
              </w:rPr>
            </w:pPr>
            <w:r>
              <w:rPr>
                <w:rFonts w:ascii="Times New Roman" w:eastAsia="宋体"/>
                <w:color w:val="auto"/>
              </w:rPr>
              <w:t>敏感</w:t>
            </w:r>
          </w:p>
        </w:tc>
        <w:tc>
          <w:tcPr>
            <w:tcW w:w="7088" w:type="dxa"/>
            <w:tcBorders>
              <w:tl2br w:val="nil"/>
              <w:tr2bl w:val="nil"/>
            </w:tcBorders>
            <w:vAlign w:val="center"/>
          </w:tcPr>
          <w:p>
            <w:pPr>
              <w:pStyle w:val="265"/>
              <w:rPr>
                <w:rFonts w:ascii="Times New Roman" w:eastAsia="宋体"/>
                <w:color w:val="auto"/>
              </w:rPr>
            </w:pPr>
            <w:r>
              <w:rPr>
                <w:rFonts w:ascii="Times New Roman" w:eastAsia="宋体"/>
                <w:color w:val="auto"/>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tcBorders>
              <w:tl2br w:val="nil"/>
              <w:tr2bl w:val="nil"/>
            </w:tcBorders>
            <w:shd w:val="clear" w:color="auto" w:fill="D7D7D7" w:themeFill="background1" w:themeFillShade="D8"/>
            <w:vAlign w:val="center"/>
          </w:tcPr>
          <w:p>
            <w:pPr>
              <w:pStyle w:val="265"/>
              <w:rPr>
                <w:rFonts w:ascii="Times New Roman" w:eastAsia="宋体"/>
                <w:color w:val="auto"/>
              </w:rPr>
            </w:pPr>
            <w:r>
              <w:rPr>
                <w:rFonts w:ascii="Times New Roman" w:eastAsia="宋体"/>
                <w:color w:val="auto"/>
              </w:rPr>
              <w:t>较敏感</w:t>
            </w:r>
          </w:p>
        </w:tc>
        <w:tc>
          <w:tcPr>
            <w:tcW w:w="7088" w:type="dxa"/>
            <w:tcBorders>
              <w:tl2br w:val="nil"/>
              <w:tr2bl w:val="nil"/>
            </w:tcBorders>
            <w:shd w:val="clear" w:color="auto" w:fill="D7D7D7" w:themeFill="background1" w:themeFillShade="D8"/>
            <w:vAlign w:val="center"/>
          </w:tcPr>
          <w:p>
            <w:pPr>
              <w:pStyle w:val="265"/>
              <w:rPr>
                <w:rFonts w:ascii="Times New Roman" w:eastAsia="宋体"/>
                <w:color w:val="auto"/>
              </w:rPr>
            </w:pPr>
            <w:r>
              <w:rPr>
                <w:rFonts w:ascii="Times New Roman" w:eastAsia="宋体"/>
                <w:color w:val="auto"/>
              </w:rPr>
              <w:t>集中式饮用水水源（包括已建成的在用、备用、应急水源，在建和规划的饮用水水源）准保护区以外的补给径流区；未划定准保护区的集中式饮用水水源，其保护区以外的补给径流区；分散式饮用水水源地；特殊地下水资源（如矿泉水、温泉等）保护区以外的分布区等其他未列入上述敏感分级的环境敏感区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tcBorders>
              <w:tl2br w:val="nil"/>
              <w:tr2bl w:val="nil"/>
            </w:tcBorders>
            <w:vAlign w:val="center"/>
          </w:tcPr>
          <w:p>
            <w:pPr>
              <w:pStyle w:val="265"/>
              <w:rPr>
                <w:rFonts w:ascii="Times New Roman" w:eastAsia="宋体"/>
                <w:color w:val="auto"/>
              </w:rPr>
            </w:pPr>
            <w:r>
              <w:rPr>
                <w:rFonts w:ascii="Times New Roman" w:eastAsia="宋体"/>
                <w:color w:val="auto"/>
              </w:rPr>
              <w:t>不敏感</w:t>
            </w:r>
          </w:p>
        </w:tc>
        <w:tc>
          <w:tcPr>
            <w:tcW w:w="7088" w:type="dxa"/>
            <w:tcBorders>
              <w:tl2br w:val="nil"/>
              <w:tr2bl w:val="nil"/>
            </w:tcBorders>
            <w:vAlign w:val="center"/>
          </w:tcPr>
          <w:p>
            <w:pPr>
              <w:pStyle w:val="265"/>
              <w:rPr>
                <w:rFonts w:ascii="Times New Roman" w:eastAsia="宋体"/>
                <w:color w:val="auto"/>
              </w:rPr>
            </w:pPr>
            <w:r>
              <w:rPr>
                <w:rFonts w:ascii="Times New Roman" w:eastAsia="宋体"/>
                <w:color w:val="auto"/>
              </w:rPr>
              <w:t>上述地区之外的其他地区。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6" w:type="dxa"/>
            <w:gridSpan w:val="2"/>
            <w:tcBorders>
              <w:tl2br w:val="nil"/>
              <w:tr2bl w:val="nil"/>
            </w:tcBorders>
            <w:vAlign w:val="center"/>
          </w:tcPr>
          <w:p>
            <w:pPr>
              <w:pStyle w:val="265"/>
              <w:jc w:val="left"/>
              <w:rPr>
                <w:rFonts w:ascii="Times New Roman" w:eastAsia="宋体"/>
                <w:color w:val="auto"/>
              </w:rPr>
            </w:pPr>
            <w:r>
              <w:rPr>
                <w:rFonts w:ascii="Times New Roman" w:eastAsia="宋体"/>
                <w:color w:val="auto"/>
              </w:rPr>
              <w:t>注：a“环境敏感区”是指《建设项目环境影响评价分类管理名录》中所界定的涉及地下水的环境敏感区。</w:t>
            </w:r>
          </w:p>
        </w:tc>
      </w:tr>
    </w:tbl>
    <w:p>
      <w:pPr>
        <w:spacing w:line="360" w:lineRule="auto"/>
        <w:ind w:firstLine="482"/>
        <w:rPr>
          <w:rFonts w:ascii="Times New Roman" w:eastAsia="宋体"/>
          <w:color w:val="auto"/>
        </w:rPr>
      </w:pPr>
      <w:bookmarkStart w:id="132" w:name="_Toc13262"/>
      <w:bookmarkStart w:id="133" w:name="_Toc32409"/>
      <w:r>
        <w:rPr>
          <w:rFonts w:hint="eastAsia" w:ascii="Times New Roman" w:eastAsia="宋体"/>
          <w:color w:val="auto"/>
        </w:rPr>
        <w:t>（3）评价等级划分</w:t>
      </w:r>
      <w:bookmarkEnd w:id="132"/>
      <w:bookmarkEnd w:id="133"/>
    </w:p>
    <w:p>
      <w:pPr>
        <w:pStyle w:val="264"/>
        <w:spacing w:before="0" w:after="0" w:line="360" w:lineRule="auto"/>
        <w:ind w:left="0" w:firstLine="486"/>
        <w:rPr>
          <w:rFonts w:ascii="Times New Roman" w:hAnsi="Times New Roman"/>
          <w:color w:val="auto"/>
        </w:rPr>
      </w:pPr>
      <w:r>
        <w:rPr>
          <w:rFonts w:ascii="Times New Roman" w:hAnsi="Times New Roman"/>
          <w:color w:val="auto"/>
        </w:rPr>
        <w:t>本项目厂址所在地地下水敏感程度为</w:t>
      </w:r>
      <w:r>
        <w:rPr>
          <w:rFonts w:hint="eastAsia" w:ascii="Times New Roman" w:hAnsi="Times New Roman"/>
          <w:color w:val="auto"/>
          <w:lang w:eastAsia="zh-CN"/>
        </w:rPr>
        <w:t>较</w:t>
      </w:r>
      <w:r>
        <w:rPr>
          <w:rFonts w:ascii="Times New Roman" w:hAnsi="Times New Roman"/>
          <w:color w:val="auto"/>
        </w:rPr>
        <w:t>敏感</w:t>
      </w:r>
      <w:r>
        <w:rPr>
          <w:rFonts w:ascii="Times New Roman" w:hAnsi="Times New Roman"/>
          <w:bCs w:val="0"/>
          <w:color w:val="auto"/>
          <w:kern w:val="2"/>
          <w:szCs w:val="24"/>
        </w:rPr>
        <w:t>，</w:t>
      </w:r>
      <w:r>
        <w:rPr>
          <w:rFonts w:hint="eastAsia" w:ascii="Times New Roman" w:hAnsi="Times New Roman"/>
          <w:bCs w:val="0"/>
          <w:color w:val="auto"/>
          <w:kern w:val="2"/>
          <w:szCs w:val="24"/>
        </w:rPr>
        <w:t>项目属于</w:t>
      </w:r>
      <w:r>
        <w:rPr>
          <w:rFonts w:hint="eastAsia" w:ascii="Times New Roman" w:hAnsi="Times New Roman"/>
          <w:color w:val="auto"/>
        </w:rPr>
        <w:t>畜禽养殖项目，为Ⅲ类项目，根据</w:t>
      </w:r>
      <w:r>
        <w:rPr>
          <w:rFonts w:ascii="Times New Roman" w:hAnsi="Times New Roman"/>
          <w:bCs w:val="0"/>
          <w:color w:val="auto"/>
          <w:kern w:val="2"/>
          <w:szCs w:val="24"/>
        </w:rPr>
        <w:t>评价工作等级划分见</w:t>
      </w:r>
      <w:r>
        <w:rPr>
          <w:rFonts w:hint="eastAsia" w:ascii="Times New Roman" w:hAnsi="Times New Roman"/>
          <w:bCs w:val="0"/>
          <w:color w:val="auto"/>
          <w:kern w:val="2"/>
          <w:szCs w:val="24"/>
        </w:rPr>
        <w:t>2.7-9</w:t>
      </w:r>
      <w:r>
        <w:rPr>
          <w:rFonts w:ascii="Times New Roman" w:hAnsi="Times New Roman"/>
          <w:bCs w:val="0"/>
          <w:color w:val="auto"/>
          <w:kern w:val="2"/>
          <w:szCs w:val="24"/>
        </w:rPr>
        <w:t>。</w:t>
      </w:r>
    </w:p>
    <w:p>
      <w:pPr>
        <w:pStyle w:val="17"/>
        <w:spacing w:beforeLines="50" w:line="0" w:lineRule="atLeast"/>
        <w:jc w:val="center"/>
        <w:rPr>
          <w:rFonts w:ascii="Times New Roman" w:hAnsi="Times New Roman" w:eastAsia="宋体" w:cs="Times New Roman"/>
          <w:b/>
          <w:bCs/>
          <w:color w:val="auto"/>
          <w:sz w:val="21"/>
        </w:rPr>
      </w:pPr>
      <w:bookmarkStart w:id="134" w:name="_Ref485736719"/>
      <w:r>
        <w:rPr>
          <w:rFonts w:ascii="Times New Roman" w:hAnsi="Times New Roman" w:eastAsia="宋体" w:cs="Times New Roman"/>
          <w:b/>
          <w:bCs/>
          <w:color w:val="auto"/>
          <w:sz w:val="21"/>
        </w:rPr>
        <w:t>表</w:t>
      </w:r>
      <w:bookmarkEnd w:id="134"/>
      <w:r>
        <w:rPr>
          <w:rFonts w:hint="eastAsia" w:ascii="Times New Roman" w:hAnsi="Times New Roman" w:eastAsia="宋体" w:cs="Times New Roman"/>
          <w:b/>
          <w:bCs/>
          <w:color w:val="auto"/>
          <w:sz w:val="21"/>
        </w:rPr>
        <w:t>2.7-9</w:t>
      </w:r>
      <w:r>
        <w:rPr>
          <w:rFonts w:ascii="Times New Roman" w:hAnsi="Times New Roman" w:eastAsia="宋体" w:cs="Times New Roman"/>
          <w:b/>
          <w:bCs/>
          <w:color w:val="auto"/>
          <w:sz w:val="21"/>
        </w:rPr>
        <w:t>评价工作等级划分表</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06"/>
        <w:gridCol w:w="2003"/>
        <w:gridCol w:w="2001"/>
        <w:gridCol w:w="19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6" w:type="dxa"/>
            <w:tcBorders>
              <w:tl2br w:val="nil"/>
              <w:tr2bl w:val="nil"/>
            </w:tcBorders>
            <w:vAlign w:val="center"/>
          </w:tcPr>
          <w:p>
            <w:pPr>
              <w:pStyle w:val="265"/>
              <w:snapToGrid w:val="0"/>
              <w:rPr>
                <w:rFonts w:ascii="Times New Roman" w:eastAsia="宋体"/>
                <w:b/>
                <w:bCs/>
                <w:color w:val="auto"/>
              </w:rPr>
            </w:pPr>
            <w:r>
              <w:rPr>
                <w:rFonts w:ascii="Times New Roman" w:eastAsia="宋体"/>
                <w:b/>
                <w:bCs/>
                <w:color w:val="auto"/>
              </w:rPr>
              <w:t>环境敏感程度</w:t>
            </w:r>
          </w:p>
          <w:p>
            <w:pPr>
              <w:pStyle w:val="265"/>
              <w:jc w:val="both"/>
              <w:rPr>
                <w:rFonts w:ascii="Times New Roman" w:eastAsia="宋体"/>
                <w:b/>
                <w:bCs/>
                <w:color w:val="auto"/>
              </w:rPr>
            </w:pPr>
            <w:r>
              <w:rPr>
                <w:rFonts w:ascii="Times New Roman" w:eastAsia="宋体"/>
                <w:b/>
                <w:bCs/>
                <w:color w:val="auto"/>
              </w:rPr>
              <w:t>项目类别</w:t>
            </w:r>
          </w:p>
        </w:tc>
        <w:tc>
          <w:tcPr>
            <w:tcW w:w="2003" w:type="dxa"/>
            <w:tcBorders>
              <w:tl2br w:val="nil"/>
              <w:tr2bl w:val="nil"/>
            </w:tcBorders>
            <w:vAlign w:val="center"/>
          </w:tcPr>
          <w:p>
            <w:pPr>
              <w:pStyle w:val="265"/>
              <w:rPr>
                <w:rFonts w:ascii="Times New Roman" w:eastAsia="宋体"/>
                <w:b/>
                <w:bCs/>
                <w:color w:val="auto"/>
              </w:rPr>
            </w:pPr>
            <w:r>
              <w:rPr>
                <w:rFonts w:ascii="Times New Roman" w:eastAsia="宋体"/>
                <w:b/>
                <w:bCs/>
                <w:color w:val="auto"/>
              </w:rPr>
              <w:t>Ⅰ类项目</w:t>
            </w:r>
          </w:p>
        </w:tc>
        <w:tc>
          <w:tcPr>
            <w:tcW w:w="2001" w:type="dxa"/>
            <w:tcBorders>
              <w:tl2br w:val="nil"/>
              <w:tr2bl w:val="nil"/>
            </w:tcBorders>
            <w:vAlign w:val="center"/>
          </w:tcPr>
          <w:p>
            <w:pPr>
              <w:pStyle w:val="265"/>
              <w:rPr>
                <w:rFonts w:ascii="Times New Roman" w:eastAsia="宋体"/>
                <w:b/>
                <w:bCs/>
                <w:color w:val="auto"/>
              </w:rPr>
            </w:pPr>
            <w:r>
              <w:rPr>
                <w:rFonts w:ascii="Times New Roman" w:eastAsia="宋体"/>
                <w:b/>
                <w:bCs/>
                <w:color w:val="auto"/>
              </w:rPr>
              <w:t>Ⅱ类项目</w:t>
            </w:r>
          </w:p>
        </w:tc>
        <w:tc>
          <w:tcPr>
            <w:tcW w:w="1906" w:type="dxa"/>
            <w:tcBorders>
              <w:tl2br w:val="nil"/>
              <w:tr2bl w:val="nil"/>
            </w:tcBorders>
            <w:vAlign w:val="center"/>
          </w:tcPr>
          <w:p>
            <w:pPr>
              <w:pStyle w:val="265"/>
              <w:rPr>
                <w:rFonts w:ascii="Times New Roman" w:eastAsia="宋体"/>
                <w:b/>
                <w:bCs/>
                <w:color w:val="auto"/>
              </w:rPr>
            </w:pPr>
            <w:r>
              <w:rPr>
                <w:rFonts w:ascii="Times New Roman" w:eastAsia="宋体"/>
                <w:b/>
                <w:bCs/>
                <w:color w:val="auto"/>
              </w:rPr>
              <w:t>Ⅲ类项目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6" w:type="dxa"/>
            <w:tcBorders>
              <w:tl2br w:val="nil"/>
              <w:tr2bl w:val="nil"/>
            </w:tcBorders>
            <w:vAlign w:val="center"/>
          </w:tcPr>
          <w:p>
            <w:pPr>
              <w:pStyle w:val="265"/>
              <w:rPr>
                <w:rFonts w:ascii="Times New Roman" w:eastAsia="宋体"/>
                <w:color w:val="auto"/>
              </w:rPr>
            </w:pPr>
            <w:r>
              <w:rPr>
                <w:rFonts w:ascii="Times New Roman" w:eastAsia="宋体"/>
                <w:color w:val="auto"/>
              </w:rPr>
              <w:t>敏感</w:t>
            </w:r>
          </w:p>
        </w:tc>
        <w:tc>
          <w:tcPr>
            <w:tcW w:w="2003" w:type="dxa"/>
            <w:tcBorders>
              <w:tl2br w:val="nil"/>
              <w:tr2bl w:val="nil"/>
            </w:tcBorders>
            <w:vAlign w:val="center"/>
          </w:tcPr>
          <w:p>
            <w:pPr>
              <w:pStyle w:val="265"/>
              <w:rPr>
                <w:rFonts w:ascii="Times New Roman" w:eastAsia="宋体"/>
                <w:color w:val="auto"/>
              </w:rPr>
            </w:pPr>
            <w:r>
              <w:rPr>
                <w:rFonts w:ascii="Times New Roman" w:eastAsia="宋体"/>
                <w:color w:val="auto"/>
              </w:rPr>
              <w:t>一</w:t>
            </w:r>
          </w:p>
        </w:tc>
        <w:tc>
          <w:tcPr>
            <w:tcW w:w="2001" w:type="dxa"/>
            <w:tcBorders>
              <w:tl2br w:val="nil"/>
              <w:tr2bl w:val="nil"/>
            </w:tcBorders>
            <w:vAlign w:val="center"/>
          </w:tcPr>
          <w:p>
            <w:pPr>
              <w:pStyle w:val="265"/>
              <w:rPr>
                <w:rFonts w:ascii="Times New Roman" w:eastAsia="宋体"/>
                <w:color w:val="auto"/>
              </w:rPr>
            </w:pPr>
            <w:r>
              <w:rPr>
                <w:rFonts w:ascii="Times New Roman" w:eastAsia="宋体"/>
                <w:color w:val="auto"/>
              </w:rPr>
              <w:t>一</w:t>
            </w:r>
          </w:p>
        </w:tc>
        <w:tc>
          <w:tcPr>
            <w:tcW w:w="1906" w:type="dxa"/>
            <w:tcBorders>
              <w:tl2br w:val="nil"/>
              <w:tr2bl w:val="nil"/>
            </w:tcBorders>
            <w:vAlign w:val="center"/>
          </w:tcPr>
          <w:p>
            <w:pPr>
              <w:pStyle w:val="265"/>
              <w:rPr>
                <w:rFonts w:ascii="Times New Roman" w:eastAsia="宋体"/>
                <w:color w:val="auto"/>
              </w:rPr>
            </w:pPr>
            <w:r>
              <w:rPr>
                <w:rFonts w:ascii="Times New Roman" w:eastAsia="宋体"/>
                <w:color w:val="auto"/>
              </w:rPr>
              <w:t>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6" w:type="dxa"/>
            <w:tcBorders>
              <w:tl2br w:val="nil"/>
              <w:tr2bl w:val="nil"/>
            </w:tcBorders>
            <w:vAlign w:val="center"/>
          </w:tcPr>
          <w:p>
            <w:pPr>
              <w:pStyle w:val="265"/>
              <w:rPr>
                <w:rFonts w:ascii="Times New Roman" w:eastAsia="宋体"/>
                <w:color w:val="auto"/>
              </w:rPr>
            </w:pPr>
            <w:r>
              <w:rPr>
                <w:rFonts w:ascii="Times New Roman" w:eastAsia="宋体"/>
                <w:color w:val="auto"/>
              </w:rPr>
              <w:t>较敏感</w:t>
            </w:r>
          </w:p>
        </w:tc>
        <w:tc>
          <w:tcPr>
            <w:tcW w:w="2003" w:type="dxa"/>
            <w:tcBorders>
              <w:tl2br w:val="nil"/>
              <w:tr2bl w:val="nil"/>
            </w:tcBorders>
            <w:vAlign w:val="center"/>
          </w:tcPr>
          <w:p>
            <w:pPr>
              <w:pStyle w:val="265"/>
              <w:rPr>
                <w:rFonts w:ascii="Times New Roman" w:eastAsia="宋体"/>
                <w:color w:val="auto"/>
              </w:rPr>
            </w:pPr>
            <w:r>
              <w:rPr>
                <w:rFonts w:ascii="Times New Roman" w:eastAsia="宋体"/>
                <w:color w:val="auto"/>
              </w:rPr>
              <w:t>一</w:t>
            </w:r>
          </w:p>
        </w:tc>
        <w:tc>
          <w:tcPr>
            <w:tcW w:w="2001" w:type="dxa"/>
            <w:tcBorders>
              <w:tl2br w:val="nil"/>
              <w:tr2bl w:val="nil"/>
            </w:tcBorders>
            <w:vAlign w:val="center"/>
          </w:tcPr>
          <w:p>
            <w:pPr>
              <w:pStyle w:val="265"/>
              <w:rPr>
                <w:rFonts w:ascii="Times New Roman" w:eastAsia="宋体"/>
                <w:color w:val="auto"/>
              </w:rPr>
            </w:pPr>
            <w:r>
              <w:rPr>
                <w:rFonts w:ascii="Times New Roman" w:eastAsia="宋体"/>
                <w:color w:val="auto"/>
              </w:rPr>
              <w:t>二</w:t>
            </w:r>
          </w:p>
        </w:tc>
        <w:tc>
          <w:tcPr>
            <w:tcW w:w="1906" w:type="dxa"/>
            <w:tcBorders>
              <w:tl2br w:val="nil"/>
              <w:tr2bl w:val="nil"/>
            </w:tcBorders>
            <w:vAlign w:val="center"/>
          </w:tcPr>
          <w:p>
            <w:pPr>
              <w:pStyle w:val="265"/>
              <w:rPr>
                <w:rFonts w:ascii="Times New Roman" w:eastAsia="宋体"/>
                <w:color w:val="auto"/>
              </w:rPr>
            </w:pPr>
            <w:r>
              <w:rPr>
                <w:rFonts w:ascii="Times New Roman" w:eastAsia="宋体"/>
                <w:color w:val="auto"/>
                <w:shd w:val="clear" w:color="auto" w:fill="BEBEBE" w:themeFill="background1" w:themeFillShade="BF"/>
              </w:rPr>
              <w:t>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6" w:type="dxa"/>
            <w:tcBorders>
              <w:tl2br w:val="nil"/>
              <w:tr2bl w:val="nil"/>
            </w:tcBorders>
            <w:shd w:val="clear" w:color="auto" w:fill="FFFFFF" w:themeFill="background1"/>
            <w:vAlign w:val="center"/>
          </w:tcPr>
          <w:p>
            <w:pPr>
              <w:pStyle w:val="265"/>
              <w:rPr>
                <w:rFonts w:ascii="Times New Roman" w:eastAsia="宋体"/>
                <w:color w:val="auto"/>
              </w:rPr>
            </w:pPr>
            <w:r>
              <w:rPr>
                <w:rFonts w:ascii="Times New Roman" w:eastAsia="宋体"/>
                <w:color w:val="auto"/>
              </w:rPr>
              <w:t>不敏感</w:t>
            </w:r>
          </w:p>
        </w:tc>
        <w:tc>
          <w:tcPr>
            <w:tcW w:w="2003" w:type="dxa"/>
            <w:tcBorders>
              <w:tl2br w:val="nil"/>
              <w:tr2bl w:val="nil"/>
            </w:tcBorders>
            <w:shd w:val="clear" w:color="auto" w:fill="FFFFFF" w:themeFill="background1"/>
            <w:vAlign w:val="center"/>
          </w:tcPr>
          <w:p>
            <w:pPr>
              <w:pStyle w:val="265"/>
              <w:rPr>
                <w:rFonts w:ascii="Times New Roman" w:eastAsia="宋体"/>
                <w:color w:val="auto"/>
              </w:rPr>
            </w:pPr>
            <w:r>
              <w:rPr>
                <w:rFonts w:ascii="Times New Roman" w:eastAsia="宋体"/>
                <w:color w:val="auto"/>
              </w:rPr>
              <w:t>二</w:t>
            </w:r>
          </w:p>
        </w:tc>
        <w:tc>
          <w:tcPr>
            <w:tcW w:w="2001" w:type="dxa"/>
            <w:tcBorders>
              <w:tl2br w:val="nil"/>
              <w:tr2bl w:val="nil"/>
            </w:tcBorders>
            <w:shd w:val="clear" w:color="auto" w:fill="FFFFFF" w:themeFill="background1"/>
            <w:vAlign w:val="center"/>
          </w:tcPr>
          <w:p>
            <w:pPr>
              <w:pStyle w:val="265"/>
              <w:rPr>
                <w:rFonts w:ascii="Times New Roman" w:eastAsia="宋体"/>
                <w:color w:val="auto"/>
              </w:rPr>
            </w:pPr>
            <w:r>
              <w:rPr>
                <w:rFonts w:ascii="Times New Roman" w:eastAsia="宋体"/>
                <w:color w:val="auto"/>
              </w:rPr>
              <w:t>三</w:t>
            </w:r>
          </w:p>
        </w:tc>
        <w:tc>
          <w:tcPr>
            <w:tcW w:w="1906" w:type="dxa"/>
            <w:tcBorders>
              <w:tl2br w:val="nil"/>
              <w:tr2bl w:val="nil"/>
            </w:tcBorders>
            <w:shd w:val="clear" w:color="auto" w:fill="FFFFFF" w:themeFill="background1"/>
            <w:vAlign w:val="center"/>
          </w:tcPr>
          <w:p>
            <w:pPr>
              <w:pStyle w:val="265"/>
              <w:rPr>
                <w:rFonts w:ascii="Times New Roman" w:eastAsia="宋体"/>
                <w:color w:val="auto"/>
              </w:rPr>
            </w:pPr>
            <w:r>
              <w:rPr>
                <w:rFonts w:ascii="Times New Roman" w:eastAsia="宋体"/>
                <w:color w:val="auto"/>
              </w:rPr>
              <w:t>三</w:t>
            </w:r>
          </w:p>
        </w:tc>
      </w:tr>
    </w:tbl>
    <w:p>
      <w:pPr>
        <w:pStyle w:val="264"/>
        <w:spacing w:before="0" w:after="0" w:line="360" w:lineRule="auto"/>
        <w:ind w:left="0" w:firstLine="486"/>
        <w:rPr>
          <w:rFonts w:ascii="Times New Roman" w:hAnsi="Times New Roman"/>
          <w:bCs w:val="0"/>
          <w:color w:val="auto"/>
          <w:kern w:val="2"/>
          <w:szCs w:val="24"/>
        </w:rPr>
      </w:pPr>
      <w:r>
        <w:rPr>
          <w:rFonts w:ascii="Times New Roman" w:hAnsi="Times New Roman"/>
          <w:bCs w:val="0"/>
          <w:color w:val="auto"/>
          <w:kern w:val="2"/>
          <w:szCs w:val="24"/>
        </w:rPr>
        <w:t>综合判断，项目地下水评价等级为三级。</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7</w:t>
      </w:r>
      <w:r>
        <w:rPr>
          <w:rFonts w:ascii="Times New Roman" w:eastAsia="宋体"/>
          <w:b/>
          <w:bCs/>
          <w:color w:val="auto"/>
          <w:kern w:val="2"/>
          <w:sz w:val="24"/>
        </w:rPr>
        <w:t>.4声环境评价等级</w:t>
      </w:r>
    </w:p>
    <w:p>
      <w:pPr>
        <w:pStyle w:val="264"/>
        <w:spacing w:before="0" w:after="0" w:line="360" w:lineRule="auto"/>
        <w:ind w:left="0" w:firstLine="486"/>
        <w:rPr>
          <w:rFonts w:hint="eastAsia" w:ascii="Times New Roman" w:hAnsi="Times New Roman"/>
          <w:bCs w:val="0"/>
          <w:color w:val="auto"/>
          <w:kern w:val="2"/>
          <w:szCs w:val="24"/>
        </w:rPr>
      </w:pPr>
      <w:r>
        <w:rPr>
          <w:rFonts w:hint="eastAsia" w:ascii="Times New Roman" w:hAnsi="Times New Roman"/>
          <w:bCs w:val="0"/>
          <w:color w:val="auto"/>
          <w:kern w:val="2"/>
          <w:szCs w:val="24"/>
        </w:rPr>
        <w:t>本项目位于农村，属于《声环境质量标准》（GB3096-2008）规定的2类区，根据《环境影响评价技术导则声环境》（HJ2.7-2021），声环境影响评价等级的划分是依据建设项目所在区域的声环境功能区类别、建设项目建设前后所在区域的声环境质量变化程度及受项目建设影响的人口数量，确定本次声环境评价等级为二级。</w:t>
      </w:r>
    </w:p>
    <w:p>
      <w:pPr>
        <w:pStyle w:val="264"/>
        <w:spacing w:before="0" w:after="0" w:line="360" w:lineRule="auto"/>
        <w:ind w:left="0" w:firstLine="486"/>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7</w:t>
      </w:r>
      <w:r>
        <w:rPr>
          <w:rFonts w:ascii="Times New Roman" w:eastAsia="宋体"/>
          <w:b/>
          <w:bCs/>
          <w:color w:val="auto"/>
          <w:kern w:val="2"/>
          <w:sz w:val="24"/>
        </w:rPr>
        <w:t>.5</w:t>
      </w:r>
      <w:r>
        <w:rPr>
          <w:rFonts w:hint="eastAsia" w:ascii="Times New Roman" w:eastAsia="宋体"/>
          <w:b/>
          <w:bCs/>
          <w:color w:val="auto"/>
          <w:kern w:val="2"/>
          <w:sz w:val="24"/>
        </w:rPr>
        <w:t>土壤</w:t>
      </w:r>
      <w:r>
        <w:rPr>
          <w:rFonts w:ascii="Times New Roman" w:eastAsia="宋体"/>
          <w:b/>
          <w:bCs/>
          <w:color w:val="auto"/>
          <w:kern w:val="2"/>
          <w:sz w:val="24"/>
        </w:rPr>
        <w:t>环境评价等级</w:t>
      </w:r>
    </w:p>
    <w:p>
      <w:pPr>
        <w:pStyle w:val="264"/>
        <w:spacing w:before="0" w:after="0" w:line="360" w:lineRule="auto"/>
        <w:ind w:left="0" w:firstLine="486"/>
        <w:rPr>
          <w:rFonts w:ascii="Times New Roman" w:eastAsia="宋体"/>
          <w:color w:val="auto"/>
          <w:kern w:val="2"/>
          <w:szCs w:val="24"/>
        </w:rPr>
      </w:pPr>
      <w:r>
        <w:rPr>
          <w:rFonts w:hint="eastAsia" w:ascii="Times New Roman" w:eastAsia="宋体"/>
          <w:color w:val="auto"/>
          <w:kern w:val="2"/>
          <w:szCs w:val="24"/>
        </w:rPr>
        <w:t>本项目在运营过程中不会造成场区内土壤环境盐化、酸化、碱化，故本项目不属于生态影响型。本项目为畜禽养殖类农业建设项目，属于土壤环境污染影响型建设项目。根据土壤环境影响评价项目类别、占地规模与敏感程度划分评价工作等级，详见表2.7-10。</w:t>
      </w:r>
    </w:p>
    <w:p>
      <w:pPr>
        <w:pStyle w:val="17"/>
        <w:spacing w:beforeLines="50" w:line="0" w:lineRule="atLeast"/>
        <w:jc w:val="center"/>
        <w:rPr>
          <w:rFonts w:ascii="Times New Roman" w:hAnsi="Times New Roman" w:eastAsia="宋体" w:cs="Times New Roman"/>
          <w:b/>
          <w:bCs/>
          <w:color w:val="auto"/>
          <w:sz w:val="21"/>
        </w:rPr>
      </w:pPr>
      <w:r>
        <w:rPr>
          <w:rFonts w:ascii="Times New Roman" w:hAnsi="Times New Roman" w:eastAsia="宋体" w:cs="Times New Roman"/>
          <w:b/>
          <w:bCs/>
          <w:color w:val="auto"/>
          <w:sz w:val="21"/>
        </w:rPr>
        <w:t>表</w:t>
      </w:r>
      <w:r>
        <w:rPr>
          <w:rFonts w:hint="eastAsia" w:ascii="Times New Roman" w:hAnsi="Times New Roman" w:eastAsia="宋体" w:cs="Times New Roman"/>
          <w:b/>
          <w:bCs/>
          <w:color w:val="auto"/>
          <w:sz w:val="21"/>
        </w:rPr>
        <w:t>2.7-10土壤污染</w:t>
      </w:r>
      <w:r>
        <w:rPr>
          <w:rFonts w:ascii="Times New Roman" w:hAnsi="Times New Roman" w:eastAsia="宋体" w:cs="Times New Roman"/>
          <w:b/>
          <w:bCs/>
          <w:color w:val="auto"/>
          <w:sz w:val="21"/>
        </w:rPr>
        <w:t>影响</w:t>
      </w:r>
      <w:r>
        <w:rPr>
          <w:rFonts w:hint="eastAsia" w:ascii="Times New Roman" w:hAnsi="Times New Roman" w:eastAsia="宋体" w:cs="Times New Roman"/>
          <w:b/>
          <w:bCs/>
          <w:color w:val="auto"/>
          <w:sz w:val="21"/>
        </w:rPr>
        <w:t>型</w:t>
      </w:r>
      <w:r>
        <w:rPr>
          <w:rFonts w:ascii="Times New Roman" w:hAnsi="Times New Roman" w:eastAsia="宋体" w:cs="Times New Roman"/>
          <w:b/>
          <w:bCs/>
          <w:color w:val="auto"/>
          <w:sz w:val="21"/>
        </w:rPr>
        <w:t>评价工作等级划分表</w:t>
      </w:r>
    </w:p>
    <w:tbl>
      <w:tblPr>
        <w:tblStyle w:val="4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04"/>
        <w:gridCol w:w="734"/>
        <w:gridCol w:w="734"/>
        <w:gridCol w:w="734"/>
        <w:gridCol w:w="734"/>
        <w:gridCol w:w="734"/>
        <w:gridCol w:w="734"/>
        <w:gridCol w:w="734"/>
        <w:gridCol w:w="734"/>
        <w:gridCol w:w="7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8" w:type="pct"/>
            <w:vMerge w:val="restart"/>
            <w:tcBorders>
              <w:tl2br w:val="nil"/>
              <w:tr2bl w:val="nil"/>
            </w:tcBorders>
            <w:vAlign w:val="center"/>
          </w:tcPr>
          <w:p>
            <w:pPr>
              <w:snapToGrid w:val="0"/>
              <w:jc w:val="center"/>
              <w:rPr>
                <w:rFonts w:ascii="Times New Roman" w:eastAsia="宋体" w:cs="宋体"/>
                <w:b/>
                <w:bCs/>
                <w:color w:val="auto"/>
                <w:szCs w:val="21"/>
              </w:rPr>
            </w:pPr>
            <w:r>
              <w:rPr>
                <w:rFonts w:hint="eastAsia" w:ascii="Times New Roman" w:eastAsia="宋体" w:cs="宋体"/>
                <w:b/>
                <w:bCs/>
                <w:color w:val="auto"/>
                <w:szCs w:val="21"/>
              </w:rPr>
              <w:t>敏感程度</w:t>
            </w:r>
          </w:p>
          <w:p>
            <w:pPr>
              <w:snapToGrid w:val="0"/>
              <w:jc w:val="center"/>
              <w:rPr>
                <w:rFonts w:ascii="Times New Roman" w:eastAsia="宋体" w:cs="宋体"/>
                <w:b/>
                <w:bCs/>
                <w:color w:val="auto"/>
                <w:szCs w:val="21"/>
              </w:rPr>
            </w:pPr>
            <w:r>
              <w:rPr>
                <w:rFonts w:hint="eastAsia" w:ascii="Times New Roman" w:eastAsia="宋体" w:cs="宋体"/>
                <w:b/>
                <w:bCs/>
                <w:color w:val="auto"/>
                <w:szCs w:val="21"/>
              </w:rPr>
              <w:t>评价工作</w:t>
            </w:r>
          </w:p>
          <w:p>
            <w:pPr>
              <w:snapToGrid w:val="0"/>
              <w:jc w:val="center"/>
              <w:rPr>
                <w:rFonts w:ascii="Times New Roman" w:eastAsia="宋体" w:cs="宋体"/>
                <w:b/>
                <w:bCs/>
                <w:color w:val="auto"/>
                <w:szCs w:val="21"/>
              </w:rPr>
            </w:pPr>
            <w:r>
              <w:rPr>
                <w:rFonts w:hint="eastAsia" w:ascii="Times New Roman" w:eastAsia="宋体" w:cs="宋体"/>
                <w:b/>
                <w:bCs/>
                <w:color w:val="auto"/>
                <w:szCs w:val="21"/>
              </w:rPr>
              <w:t>等级</w:t>
            </w:r>
          </w:p>
          <w:p>
            <w:pPr>
              <w:snapToGrid w:val="0"/>
              <w:spacing w:line="280" w:lineRule="exact"/>
              <w:jc w:val="center"/>
              <w:rPr>
                <w:rFonts w:ascii="Times New Roman" w:eastAsia="宋体" w:cs="宋体"/>
                <w:b/>
                <w:bCs/>
                <w:color w:val="auto"/>
                <w:szCs w:val="21"/>
              </w:rPr>
            </w:pPr>
            <w:r>
              <w:rPr>
                <w:rFonts w:hint="eastAsia" w:ascii="Times New Roman" w:eastAsia="宋体" w:cs="宋体"/>
                <w:b/>
                <w:bCs/>
                <w:color w:val="auto"/>
                <w:szCs w:val="21"/>
              </w:rPr>
              <w:t>占地规模</w:t>
            </w:r>
          </w:p>
        </w:tc>
        <w:tc>
          <w:tcPr>
            <w:tcW w:w="1293" w:type="pct"/>
            <w:gridSpan w:val="3"/>
            <w:tcBorders>
              <w:tl2br w:val="nil"/>
              <w:tr2bl w:val="nil"/>
            </w:tcBorders>
            <w:vAlign w:val="center"/>
          </w:tcPr>
          <w:p>
            <w:pPr>
              <w:snapToGrid w:val="0"/>
              <w:spacing w:line="280" w:lineRule="exact"/>
              <w:jc w:val="center"/>
              <w:rPr>
                <w:rFonts w:ascii="Times New Roman" w:eastAsia="宋体" w:cs="宋体"/>
                <w:b/>
                <w:bCs/>
                <w:color w:val="auto"/>
                <w:szCs w:val="21"/>
              </w:rPr>
            </w:pPr>
            <w:r>
              <w:rPr>
                <w:rFonts w:hint="eastAsia" w:ascii="Times New Roman" w:eastAsia="宋体" w:cs="宋体"/>
                <w:b/>
                <w:bCs/>
                <w:color w:val="auto"/>
                <w:szCs w:val="21"/>
              </w:rPr>
              <w:t>I类</w:t>
            </w:r>
          </w:p>
        </w:tc>
        <w:tc>
          <w:tcPr>
            <w:tcW w:w="1293" w:type="pct"/>
            <w:gridSpan w:val="3"/>
            <w:tcBorders>
              <w:tl2br w:val="nil"/>
              <w:tr2bl w:val="nil"/>
            </w:tcBorders>
            <w:vAlign w:val="center"/>
          </w:tcPr>
          <w:p>
            <w:pPr>
              <w:snapToGrid w:val="0"/>
              <w:spacing w:line="280" w:lineRule="exact"/>
              <w:jc w:val="center"/>
              <w:rPr>
                <w:rFonts w:ascii="Times New Roman" w:eastAsia="宋体" w:cs="宋体"/>
                <w:b/>
                <w:bCs/>
                <w:color w:val="auto"/>
                <w:szCs w:val="21"/>
              </w:rPr>
            </w:pPr>
            <w:r>
              <w:rPr>
                <w:rFonts w:hint="eastAsia" w:ascii="Times New Roman" w:eastAsia="宋体" w:cs="宋体"/>
                <w:b/>
                <w:bCs/>
                <w:color w:val="auto"/>
                <w:szCs w:val="21"/>
              </w:rPr>
              <w:t>Ⅱ类</w:t>
            </w:r>
          </w:p>
        </w:tc>
        <w:tc>
          <w:tcPr>
            <w:tcW w:w="1295" w:type="pct"/>
            <w:gridSpan w:val="3"/>
            <w:tcBorders>
              <w:tl2br w:val="nil"/>
              <w:tr2bl w:val="nil"/>
            </w:tcBorders>
            <w:vAlign w:val="center"/>
          </w:tcPr>
          <w:p>
            <w:pPr>
              <w:snapToGrid w:val="0"/>
              <w:spacing w:line="280" w:lineRule="exact"/>
              <w:jc w:val="center"/>
              <w:rPr>
                <w:rFonts w:ascii="Times New Roman" w:eastAsia="宋体" w:cs="宋体"/>
                <w:b/>
                <w:bCs/>
                <w:color w:val="auto"/>
                <w:szCs w:val="21"/>
              </w:rPr>
            </w:pPr>
            <w:r>
              <w:rPr>
                <w:rFonts w:hint="eastAsia" w:ascii="Times New Roman" w:eastAsia="宋体" w:cs="宋体"/>
                <w:b/>
                <w:bCs/>
                <w:color w:val="auto"/>
                <w:szCs w:val="21"/>
              </w:rPr>
              <w:t>III类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8" w:type="pct"/>
            <w:vMerge w:val="continue"/>
            <w:tcBorders>
              <w:tl2br w:val="nil"/>
              <w:tr2bl w:val="nil"/>
            </w:tcBorders>
            <w:vAlign w:val="center"/>
          </w:tcPr>
          <w:p>
            <w:pPr>
              <w:snapToGrid w:val="0"/>
              <w:spacing w:line="280" w:lineRule="exact"/>
              <w:jc w:val="center"/>
              <w:rPr>
                <w:rFonts w:ascii="Times New Roman" w:eastAsia="宋体" w:cs="宋体"/>
                <w:color w:val="auto"/>
                <w:szCs w:val="21"/>
              </w:rPr>
            </w:pP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中</w:t>
            </w:r>
          </w:p>
        </w:tc>
        <w:tc>
          <w:tcPr>
            <w:tcW w:w="431"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color w:val="auto"/>
                <w:szCs w:val="21"/>
              </w:rPr>
              <w:t>小</w:t>
            </w:r>
          </w:p>
        </w:tc>
        <w:tc>
          <w:tcPr>
            <w:tcW w:w="431"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color w:val="auto"/>
                <w:szCs w:val="21"/>
              </w:rPr>
              <w:t>大</w:t>
            </w:r>
          </w:p>
        </w:tc>
        <w:tc>
          <w:tcPr>
            <w:tcW w:w="431"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color w:val="auto"/>
                <w:szCs w:val="21"/>
              </w:rPr>
              <w:t>中</w:t>
            </w:r>
          </w:p>
        </w:tc>
        <w:tc>
          <w:tcPr>
            <w:tcW w:w="431"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color w:val="auto"/>
                <w:szCs w:val="21"/>
              </w:rPr>
              <w:t>小</w:t>
            </w:r>
          </w:p>
        </w:tc>
        <w:tc>
          <w:tcPr>
            <w:tcW w:w="431"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color w:val="auto"/>
                <w:szCs w:val="21"/>
              </w:rPr>
              <w:t>大</w:t>
            </w:r>
          </w:p>
        </w:tc>
        <w:tc>
          <w:tcPr>
            <w:tcW w:w="431"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color w:val="auto"/>
                <w:szCs w:val="21"/>
              </w:rPr>
              <w:t>中</w:t>
            </w:r>
          </w:p>
        </w:tc>
        <w:tc>
          <w:tcPr>
            <w:tcW w:w="433"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color w:val="auto"/>
                <w:szCs w:val="21"/>
              </w:rPr>
              <w:t>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8"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敏感区</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一级</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一级</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一级</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一级</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二级</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二级</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1" w:type="pct"/>
            <w:tcBorders>
              <w:tl2br w:val="nil"/>
              <w:tr2bl w:val="nil"/>
            </w:tcBorders>
            <w:shd w:val="clear" w:color="auto" w:fill="auto"/>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3" w:type="pct"/>
            <w:tcBorders>
              <w:tl2br w:val="nil"/>
              <w:tr2bl w:val="nil"/>
            </w:tcBorders>
            <w:shd w:val="clear" w:color="auto" w:fill="D7D7D7" w:themeFill="background1" w:themeFillShade="D8"/>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8"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较敏感区</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一级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一级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二级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二级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二级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3"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8"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不敏感</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一级</w:t>
            </w:r>
          </w:p>
        </w:tc>
        <w:tc>
          <w:tcPr>
            <w:tcW w:w="431" w:type="pct"/>
            <w:tcBorders>
              <w:tl2br w:val="nil"/>
              <w:tr2bl w:val="nil"/>
            </w:tcBorders>
            <w:vAlign w:val="center"/>
          </w:tcPr>
          <w:p>
            <w:pPr>
              <w:snapToGrid w:val="0"/>
              <w:spacing w:line="280" w:lineRule="exact"/>
              <w:jc w:val="center"/>
              <w:rPr>
                <w:rFonts w:ascii="Times New Roman" w:eastAsia="宋体" w:cs="宋体"/>
                <w:b/>
                <w:color w:val="auto"/>
                <w:szCs w:val="21"/>
              </w:rPr>
            </w:pPr>
            <w:r>
              <w:rPr>
                <w:rFonts w:hint="eastAsia" w:ascii="Times New Roman" w:eastAsia="宋体" w:cs="宋体"/>
                <w:bCs/>
                <w:color w:val="auto"/>
                <w:szCs w:val="21"/>
              </w:rPr>
              <w:t>二级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二级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二级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三级</w:t>
            </w:r>
          </w:p>
        </w:tc>
        <w:tc>
          <w:tcPr>
            <w:tcW w:w="431"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w:t>
            </w:r>
          </w:p>
        </w:tc>
        <w:tc>
          <w:tcPr>
            <w:tcW w:w="433" w:type="pct"/>
            <w:tcBorders>
              <w:tl2br w:val="nil"/>
              <w:tr2bl w:val="nil"/>
            </w:tcBorders>
            <w:vAlign w:val="center"/>
          </w:tcPr>
          <w:p>
            <w:pPr>
              <w:snapToGrid w:val="0"/>
              <w:spacing w:line="280" w:lineRule="exact"/>
              <w:jc w:val="center"/>
              <w:rPr>
                <w:rFonts w:ascii="Times New Roman" w:eastAsia="宋体" w:cs="宋体"/>
                <w:color w:val="auto"/>
                <w:szCs w:val="21"/>
              </w:rPr>
            </w:pPr>
            <w:r>
              <w:rPr>
                <w:rFonts w:hint="eastAsia" w:ascii="Times New Roman" w:eastAsia="宋体" w:cs="宋体"/>
                <w:color w:val="auto"/>
                <w:szCs w:val="21"/>
              </w:rPr>
              <w:t>—</w:t>
            </w:r>
          </w:p>
        </w:tc>
      </w:tr>
    </w:tbl>
    <w:p>
      <w:pPr>
        <w:spacing w:line="377" w:lineRule="auto"/>
        <w:ind w:firstLine="484" w:firstLineChars="200"/>
        <w:rPr>
          <w:rFonts w:ascii="Times New Roman" w:eastAsia="宋体"/>
          <w:color w:val="auto"/>
          <w:kern w:val="2"/>
          <w:szCs w:val="24"/>
        </w:rPr>
      </w:pPr>
      <w:r>
        <w:rPr>
          <w:rFonts w:hint="eastAsia" w:ascii="Times New Roman" w:eastAsia="宋体"/>
          <w:color w:val="auto"/>
          <w:kern w:val="2"/>
          <w:szCs w:val="24"/>
        </w:rPr>
        <w:t>根据HJ964-2018附录A，年出栏生猪5000头（本项目</w:t>
      </w:r>
      <w:r>
        <w:rPr>
          <w:rFonts w:hint="eastAsia" w:ascii="Times New Roman" w:eastAsia="宋体"/>
          <w:color w:val="auto"/>
        </w:rPr>
        <w:t>100万</w:t>
      </w:r>
      <w:r>
        <w:rPr>
          <w:rFonts w:hint="eastAsia" w:ascii="Times New Roman" w:eastAsia="宋体"/>
          <w:color w:val="auto"/>
          <w:kern w:val="2"/>
          <w:szCs w:val="24"/>
        </w:rPr>
        <w:t>只肉鸡折合成生猪是16667头）及以上的畜禽养殖场或养殖小区为</w:t>
      </w:r>
      <w:r>
        <w:rPr>
          <w:rFonts w:hint="eastAsia" w:ascii="Times New Roman"/>
          <w:color w:val="auto"/>
          <w:szCs w:val="24"/>
        </w:rPr>
        <w:t>III</w:t>
      </w:r>
      <w:r>
        <w:rPr>
          <w:rFonts w:hint="eastAsia" w:ascii="Times New Roman" w:eastAsia="宋体"/>
          <w:color w:val="auto"/>
          <w:kern w:val="2"/>
          <w:szCs w:val="24"/>
        </w:rPr>
        <w:t>类项目。</w:t>
      </w:r>
    </w:p>
    <w:p>
      <w:pPr>
        <w:spacing w:line="377" w:lineRule="auto"/>
        <w:ind w:firstLine="484" w:firstLineChars="200"/>
        <w:rPr>
          <w:rFonts w:ascii="Times New Roman" w:eastAsia="宋体"/>
          <w:color w:val="auto"/>
          <w:kern w:val="2"/>
          <w:szCs w:val="24"/>
        </w:rPr>
      </w:pPr>
      <w:r>
        <w:rPr>
          <w:rFonts w:hint="eastAsia" w:ascii="Times New Roman" w:eastAsia="宋体"/>
          <w:color w:val="auto"/>
          <w:kern w:val="2"/>
          <w:szCs w:val="24"/>
        </w:rPr>
        <w:t>根据《环境影响评价技术导则土壤环境》（HJ964-2018）将建设项目占地规模分为大型（≥50hm</w:t>
      </w:r>
      <w:r>
        <w:rPr>
          <w:rFonts w:hint="eastAsia" w:ascii="Times New Roman" w:eastAsia="宋体"/>
          <w:color w:val="auto"/>
          <w:kern w:val="2"/>
          <w:szCs w:val="24"/>
          <w:vertAlign w:val="superscript"/>
        </w:rPr>
        <w:t>2</w:t>
      </w:r>
      <w:r>
        <w:rPr>
          <w:rFonts w:hint="eastAsia" w:ascii="Times New Roman" w:eastAsia="宋体"/>
          <w:color w:val="auto"/>
          <w:kern w:val="2"/>
          <w:szCs w:val="24"/>
        </w:rPr>
        <w:t>）、中型（5-50hm</w:t>
      </w:r>
      <w:r>
        <w:rPr>
          <w:rFonts w:hint="eastAsia" w:ascii="Times New Roman" w:eastAsia="宋体"/>
          <w:color w:val="auto"/>
          <w:kern w:val="2"/>
          <w:szCs w:val="24"/>
          <w:vertAlign w:val="superscript"/>
        </w:rPr>
        <w:t>2</w:t>
      </w:r>
      <w:r>
        <w:rPr>
          <w:rFonts w:hint="eastAsia" w:ascii="Times New Roman" w:eastAsia="宋体"/>
          <w:color w:val="auto"/>
          <w:kern w:val="2"/>
          <w:szCs w:val="24"/>
        </w:rPr>
        <w:t>）、小型（≤5hm</w:t>
      </w:r>
      <w:r>
        <w:rPr>
          <w:rFonts w:hint="eastAsia" w:ascii="Times New Roman" w:eastAsia="宋体"/>
          <w:color w:val="auto"/>
          <w:kern w:val="2"/>
          <w:szCs w:val="24"/>
          <w:vertAlign w:val="superscript"/>
        </w:rPr>
        <w:t>2</w:t>
      </w:r>
      <w:r>
        <w:rPr>
          <w:rFonts w:hint="eastAsia" w:ascii="Times New Roman" w:eastAsia="宋体"/>
          <w:color w:val="auto"/>
          <w:kern w:val="2"/>
          <w:szCs w:val="24"/>
        </w:rPr>
        <w:t>），建设项目占地主要为永久占地。本项目占地面积为</w:t>
      </w:r>
      <w:r>
        <w:rPr>
          <w:rFonts w:hint="eastAsia" w:ascii="Times New Roman"/>
          <w:color w:val="auto"/>
          <w:szCs w:val="24"/>
        </w:rPr>
        <w:t>43905</w:t>
      </w:r>
      <w:r>
        <w:rPr>
          <w:rFonts w:hint="eastAsia" w:ascii="Times New Roman" w:eastAsia="宋体"/>
          <w:color w:val="auto"/>
          <w:kern w:val="2"/>
          <w:szCs w:val="24"/>
        </w:rPr>
        <w:t>m</w:t>
      </w:r>
      <w:r>
        <w:rPr>
          <w:rFonts w:hint="eastAsia" w:ascii="Times New Roman" w:eastAsia="宋体"/>
          <w:color w:val="auto"/>
          <w:kern w:val="2"/>
          <w:szCs w:val="24"/>
          <w:vertAlign w:val="superscript"/>
        </w:rPr>
        <w:t>2</w:t>
      </w:r>
      <w:r>
        <w:rPr>
          <w:rFonts w:hint="eastAsia" w:ascii="Times New Roman" w:eastAsia="宋体"/>
          <w:color w:val="auto"/>
          <w:kern w:val="2"/>
          <w:szCs w:val="24"/>
        </w:rPr>
        <w:t>（4.39hm</w:t>
      </w:r>
      <w:r>
        <w:rPr>
          <w:rFonts w:hint="eastAsia" w:ascii="Times New Roman" w:eastAsia="宋体"/>
          <w:color w:val="auto"/>
          <w:kern w:val="2"/>
          <w:szCs w:val="24"/>
          <w:vertAlign w:val="superscript"/>
        </w:rPr>
        <w:t>2</w:t>
      </w:r>
      <w:r>
        <w:rPr>
          <w:rFonts w:hint="eastAsia" w:ascii="Times New Roman" w:eastAsia="宋体"/>
          <w:color w:val="auto"/>
          <w:kern w:val="2"/>
          <w:szCs w:val="24"/>
        </w:rPr>
        <w:t>），占地规模为小型。</w:t>
      </w:r>
    </w:p>
    <w:p>
      <w:pPr>
        <w:spacing w:line="377" w:lineRule="auto"/>
        <w:ind w:firstLine="484" w:firstLineChars="200"/>
        <w:rPr>
          <w:rFonts w:ascii="Times New Roman" w:eastAsia="宋体"/>
          <w:color w:val="auto"/>
          <w:kern w:val="2"/>
          <w:szCs w:val="24"/>
        </w:rPr>
      </w:pPr>
      <w:r>
        <w:rPr>
          <w:rFonts w:hint="eastAsia" w:ascii="Times New Roman" w:eastAsia="宋体"/>
          <w:color w:val="auto"/>
          <w:kern w:val="2"/>
          <w:szCs w:val="24"/>
        </w:rPr>
        <w:t>建设项目所在地周边的土壤环境敏感程度判别依据见表2.7-11。</w:t>
      </w:r>
    </w:p>
    <w:p>
      <w:pPr>
        <w:spacing w:line="360" w:lineRule="auto"/>
        <w:jc w:val="center"/>
        <w:rPr>
          <w:rFonts w:ascii="Times New Roman" w:eastAsia="宋体"/>
          <w:b/>
          <w:bCs/>
          <w:color w:val="auto"/>
          <w:sz w:val="21"/>
        </w:rPr>
      </w:pPr>
      <w:r>
        <w:rPr>
          <w:rFonts w:ascii="Times New Roman" w:eastAsia="宋体"/>
          <w:b/>
          <w:bCs/>
          <w:color w:val="auto"/>
          <w:sz w:val="21"/>
        </w:rPr>
        <w:t>表2.</w:t>
      </w:r>
      <w:r>
        <w:rPr>
          <w:rFonts w:hint="eastAsia" w:ascii="Times New Roman" w:eastAsia="宋体"/>
          <w:b/>
          <w:bCs/>
          <w:color w:val="auto"/>
          <w:sz w:val="21"/>
        </w:rPr>
        <w:t>7</w:t>
      </w:r>
      <w:r>
        <w:rPr>
          <w:rFonts w:ascii="Times New Roman" w:eastAsia="宋体"/>
          <w:b/>
          <w:bCs/>
          <w:color w:val="auto"/>
          <w:sz w:val="21"/>
        </w:rPr>
        <w:t>-</w:t>
      </w:r>
      <w:r>
        <w:rPr>
          <w:rFonts w:hint="eastAsia" w:ascii="Times New Roman" w:eastAsia="宋体"/>
          <w:b/>
          <w:bCs/>
          <w:color w:val="auto"/>
          <w:sz w:val="21"/>
        </w:rPr>
        <w:t>11污染影响型项目敏感程度分级表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0"/>
        <w:gridCol w:w="78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50" w:type="dxa"/>
            <w:vAlign w:val="center"/>
          </w:tcPr>
          <w:p>
            <w:pPr>
              <w:contextualSpacing/>
              <w:jc w:val="center"/>
              <w:rPr>
                <w:rFonts w:ascii="Times New Roman" w:eastAsia="宋体"/>
                <w:color w:val="auto"/>
                <w:sz w:val="21"/>
                <w:szCs w:val="21"/>
              </w:rPr>
            </w:pPr>
            <w:r>
              <w:rPr>
                <w:rFonts w:ascii="Times New Roman" w:eastAsia="宋体"/>
                <w:color w:val="auto"/>
                <w:sz w:val="21"/>
                <w:szCs w:val="21"/>
              </w:rPr>
              <w:t>敏感程度</w:t>
            </w:r>
          </w:p>
        </w:tc>
        <w:tc>
          <w:tcPr>
            <w:tcW w:w="7821" w:type="dxa"/>
            <w:vAlign w:val="center"/>
          </w:tcPr>
          <w:p>
            <w:pPr>
              <w:contextualSpacing/>
              <w:jc w:val="center"/>
              <w:rPr>
                <w:rFonts w:ascii="Times New Roman" w:eastAsia="宋体"/>
                <w:color w:val="auto"/>
                <w:sz w:val="21"/>
                <w:szCs w:val="21"/>
              </w:rPr>
            </w:pPr>
            <w:r>
              <w:rPr>
                <w:rFonts w:ascii="Times New Roman" w:eastAsia="宋体"/>
                <w:color w:val="auto"/>
                <w:sz w:val="21"/>
                <w:szCs w:val="21"/>
              </w:rPr>
              <w:t>判别依据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50" w:type="dxa"/>
            <w:shd w:val="clear" w:color="auto" w:fill="BEBEBE" w:themeFill="background1" w:themeFillShade="BF"/>
            <w:vAlign w:val="center"/>
          </w:tcPr>
          <w:p>
            <w:pPr>
              <w:contextualSpacing/>
              <w:jc w:val="center"/>
              <w:rPr>
                <w:rFonts w:ascii="Times New Roman" w:eastAsia="宋体"/>
                <w:color w:val="auto"/>
                <w:sz w:val="21"/>
                <w:szCs w:val="21"/>
              </w:rPr>
            </w:pPr>
            <w:r>
              <w:rPr>
                <w:rFonts w:ascii="Times New Roman" w:eastAsia="宋体"/>
                <w:color w:val="auto"/>
                <w:sz w:val="21"/>
                <w:szCs w:val="21"/>
              </w:rPr>
              <w:t>敏感</w:t>
            </w:r>
          </w:p>
        </w:tc>
        <w:tc>
          <w:tcPr>
            <w:tcW w:w="7821" w:type="dxa"/>
            <w:shd w:val="clear" w:color="auto" w:fill="BEBEBE" w:themeFill="background1" w:themeFillShade="BF"/>
            <w:vAlign w:val="center"/>
          </w:tcPr>
          <w:p>
            <w:pPr>
              <w:contextualSpacing/>
              <w:jc w:val="center"/>
              <w:rPr>
                <w:rFonts w:ascii="Times New Roman" w:eastAsia="宋体"/>
                <w:color w:val="auto"/>
                <w:sz w:val="21"/>
                <w:szCs w:val="21"/>
              </w:rPr>
            </w:pPr>
            <w:r>
              <w:rPr>
                <w:rFonts w:ascii="Times New Roman" w:eastAsia="宋体"/>
                <w:color w:val="auto"/>
                <w:sz w:val="21"/>
                <w:szCs w:val="21"/>
              </w:rPr>
              <w:t>建设项目周边存在耕地、园地、牧草地、饮用水源地或居民区、学校、医院、疗养院等土壤环境敏感目标的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50" w:type="dxa"/>
            <w:vAlign w:val="center"/>
          </w:tcPr>
          <w:p>
            <w:pPr>
              <w:contextualSpacing/>
              <w:jc w:val="center"/>
              <w:rPr>
                <w:rFonts w:ascii="Times New Roman" w:eastAsia="宋体"/>
                <w:color w:val="auto"/>
                <w:sz w:val="21"/>
                <w:szCs w:val="21"/>
              </w:rPr>
            </w:pPr>
            <w:r>
              <w:rPr>
                <w:rFonts w:ascii="Times New Roman" w:eastAsia="宋体"/>
                <w:color w:val="auto"/>
                <w:sz w:val="21"/>
                <w:szCs w:val="21"/>
              </w:rPr>
              <w:t>较敏感</w:t>
            </w:r>
          </w:p>
        </w:tc>
        <w:tc>
          <w:tcPr>
            <w:tcW w:w="7821" w:type="dxa"/>
            <w:vAlign w:val="center"/>
          </w:tcPr>
          <w:p>
            <w:pPr>
              <w:contextualSpacing/>
              <w:jc w:val="center"/>
              <w:rPr>
                <w:rFonts w:ascii="Times New Roman" w:eastAsia="宋体"/>
                <w:color w:val="auto"/>
                <w:sz w:val="21"/>
                <w:szCs w:val="21"/>
              </w:rPr>
            </w:pPr>
            <w:r>
              <w:rPr>
                <w:rFonts w:ascii="Times New Roman" w:eastAsia="宋体"/>
                <w:color w:val="auto"/>
                <w:sz w:val="21"/>
                <w:szCs w:val="21"/>
              </w:rPr>
              <w:t>建设项目周边存在其他土壤环境敏感目标的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50" w:type="dxa"/>
            <w:vAlign w:val="center"/>
          </w:tcPr>
          <w:p>
            <w:pPr>
              <w:contextualSpacing/>
              <w:jc w:val="center"/>
              <w:rPr>
                <w:rFonts w:ascii="Times New Roman" w:eastAsia="宋体"/>
                <w:color w:val="auto"/>
                <w:sz w:val="21"/>
                <w:szCs w:val="21"/>
              </w:rPr>
            </w:pPr>
            <w:r>
              <w:rPr>
                <w:rFonts w:ascii="Times New Roman" w:eastAsia="宋体"/>
                <w:color w:val="auto"/>
                <w:sz w:val="21"/>
                <w:szCs w:val="21"/>
              </w:rPr>
              <w:t>不敏感</w:t>
            </w:r>
          </w:p>
        </w:tc>
        <w:tc>
          <w:tcPr>
            <w:tcW w:w="7821" w:type="dxa"/>
            <w:vAlign w:val="center"/>
          </w:tcPr>
          <w:p>
            <w:pPr>
              <w:contextualSpacing/>
              <w:jc w:val="center"/>
              <w:rPr>
                <w:rFonts w:ascii="Times New Roman" w:eastAsia="宋体"/>
                <w:color w:val="auto"/>
                <w:sz w:val="21"/>
                <w:szCs w:val="21"/>
              </w:rPr>
            </w:pPr>
            <w:r>
              <w:rPr>
                <w:rFonts w:ascii="Times New Roman" w:eastAsia="宋体"/>
                <w:color w:val="auto"/>
                <w:sz w:val="21"/>
                <w:szCs w:val="21"/>
              </w:rPr>
              <w:t>其他情况</w:t>
            </w:r>
          </w:p>
        </w:tc>
      </w:tr>
    </w:tbl>
    <w:p>
      <w:pPr>
        <w:spacing w:line="360" w:lineRule="auto"/>
        <w:ind w:firstLine="480"/>
        <w:rPr>
          <w:rFonts w:ascii="Times New Roman" w:eastAsia="宋体"/>
          <w:color w:val="auto"/>
          <w:szCs w:val="21"/>
        </w:rPr>
      </w:pPr>
      <w:r>
        <w:rPr>
          <w:rFonts w:ascii="Times New Roman" w:eastAsia="宋体"/>
          <w:color w:val="auto"/>
          <w:szCs w:val="21"/>
        </w:rPr>
        <w:t>根据表2.</w:t>
      </w:r>
      <w:r>
        <w:rPr>
          <w:rFonts w:hint="eastAsia" w:ascii="Times New Roman" w:eastAsia="宋体"/>
          <w:color w:val="auto"/>
          <w:szCs w:val="21"/>
        </w:rPr>
        <w:t>7</w:t>
      </w:r>
      <w:r>
        <w:rPr>
          <w:rFonts w:ascii="Times New Roman" w:eastAsia="宋体"/>
          <w:color w:val="auto"/>
          <w:szCs w:val="21"/>
        </w:rPr>
        <w:t>-</w:t>
      </w:r>
      <w:r>
        <w:rPr>
          <w:rFonts w:hint="eastAsia" w:ascii="Times New Roman" w:eastAsia="宋体"/>
          <w:color w:val="auto"/>
          <w:szCs w:val="21"/>
        </w:rPr>
        <w:t>11</w:t>
      </w:r>
      <w:r>
        <w:rPr>
          <w:rFonts w:ascii="Times New Roman" w:eastAsia="宋体"/>
          <w:color w:val="auto"/>
          <w:szCs w:val="21"/>
        </w:rPr>
        <w:t>，根据现场勘查，项目拟建地周边分布有居民</w:t>
      </w:r>
      <w:r>
        <w:rPr>
          <w:rFonts w:hint="eastAsia" w:ascii="Times New Roman" w:eastAsia="宋体"/>
          <w:color w:val="auto"/>
          <w:szCs w:val="21"/>
        </w:rPr>
        <w:t>、耕地</w:t>
      </w:r>
      <w:r>
        <w:rPr>
          <w:rFonts w:ascii="Times New Roman" w:eastAsia="宋体"/>
          <w:color w:val="auto"/>
          <w:szCs w:val="21"/>
        </w:rPr>
        <w:t>，故敏感程度归类于</w:t>
      </w:r>
      <w:r>
        <w:rPr>
          <w:rFonts w:hint="eastAsia" w:ascii="Times New Roman" w:eastAsia="宋体"/>
          <w:color w:val="auto"/>
          <w:szCs w:val="21"/>
        </w:rPr>
        <w:t>“</w:t>
      </w:r>
      <w:r>
        <w:rPr>
          <w:rFonts w:ascii="Times New Roman" w:eastAsia="宋体"/>
          <w:color w:val="auto"/>
          <w:szCs w:val="21"/>
        </w:rPr>
        <w:t>敏感</w:t>
      </w:r>
      <w:r>
        <w:rPr>
          <w:rFonts w:hint="eastAsia" w:ascii="Times New Roman" w:eastAsia="宋体"/>
          <w:color w:val="auto"/>
          <w:szCs w:val="21"/>
        </w:rPr>
        <w:t>”</w:t>
      </w:r>
      <w:r>
        <w:rPr>
          <w:rFonts w:ascii="Times New Roman" w:eastAsia="宋体"/>
          <w:color w:val="auto"/>
          <w:szCs w:val="21"/>
        </w:rPr>
        <w:t>。</w:t>
      </w:r>
    </w:p>
    <w:p>
      <w:pPr>
        <w:spacing w:line="360" w:lineRule="auto"/>
        <w:ind w:firstLine="480"/>
        <w:rPr>
          <w:rFonts w:ascii="Times New Roman" w:eastAsia="宋体"/>
          <w:color w:val="auto"/>
          <w:szCs w:val="21"/>
        </w:rPr>
      </w:pPr>
      <w:r>
        <w:rPr>
          <w:rFonts w:ascii="Times New Roman" w:eastAsia="宋体"/>
          <w:color w:val="auto"/>
          <w:szCs w:val="21"/>
        </w:rPr>
        <w:t>根据土壤环境影响评价项目类别、占地规模与敏感程度划分评价工作等级，详见表2.</w:t>
      </w:r>
      <w:r>
        <w:rPr>
          <w:rFonts w:hint="eastAsia" w:ascii="Times New Roman" w:eastAsia="宋体"/>
          <w:color w:val="auto"/>
          <w:szCs w:val="21"/>
        </w:rPr>
        <w:t>7-12</w:t>
      </w:r>
      <w:r>
        <w:rPr>
          <w:rFonts w:ascii="Times New Roman" w:eastAsia="宋体"/>
          <w:color w:val="auto"/>
          <w:szCs w:val="21"/>
        </w:rPr>
        <w:t>。</w:t>
      </w:r>
    </w:p>
    <w:p>
      <w:pPr>
        <w:spacing w:line="360" w:lineRule="auto"/>
        <w:jc w:val="center"/>
        <w:rPr>
          <w:rFonts w:ascii="Times New Roman" w:eastAsia="宋体"/>
          <w:b/>
          <w:bCs/>
          <w:color w:val="auto"/>
          <w:sz w:val="21"/>
        </w:rPr>
      </w:pPr>
      <w:r>
        <w:rPr>
          <w:rFonts w:ascii="Times New Roman" w:eastAsia="宋体"/>
          <w:b/>
          <w:bCs/>
          <w:color w:val="auto"/>
          <w:sz w:val="21"/>
        </w:rPr>
        <w:t>表2.</w:t>
      </w:r>
      <w:r>
        <w:rPr>
          <w:rFonts w:hint="eastAsia" w:ascii="Times New Roman" w:eastAsia="宋体"/>
          <w:b/>
          <w:bCs/>
          <w:color w:val="auto"/>
          <w:sz w:val="21"/>
        </w:rPr>
        <w:t>7</w:t>
      </w:r>
      <w:r>
        <w:rPr>
          <w:rFonts w:ascii="Times New Roman" w:eastAsia="宋体"/>
          <w:b/>
          <w:bCs/>
          <w:color w:val="auto"/>
          <w:sz w:val="21"/>
        </w:rPr>
        <w:t>-</w:t>
      </w:r>
      <w:r>
        <w:rPr>
          <w:rFonts w:hint="eastAsia" w:ascii="Times New Roman" w:eastAsia="宋体"/>
          <w:b/>
          <w:bCs/>
          <w:color w:val="auto"/>
          <w:sz w:val="21"/>
        </w:rPr>
        <w:t>12</w:t>
      </w:r>
      <w:r>
        <w:rPr>
          <w:rFonts w:ascii="Times New Roman" w:eastAsia="宋体"/>
          <w:b/>
          <w:bCs/>
          <w:color w:val="auto"/>
          <w:sz w:val="21"/>
        </w:rPr>
        <w:t>污染型评价工作等级划分表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800"/>
        <w:gridCol w:w="801"/>
        <w:gridCol w:w="801"/>
        <w:gridCol w:w="801"/>
        <w:gridCol w:w="803"/>
        <w:gridCol w:w="802"/>
        <w:gridCol w:w="801"/>
        <w:gridCol w:w="802"/>
        <w:gridCol w:w="8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859" w:type="dxa"/>
            <w:vMerge w:val="restart"/>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敏感程度</w:t>
            </w:r>
          </w:p>
          <w:p>
            <w:pPr>
              <w:contextualSpacing/>
              <w:jc w:val="center"/>
              <w:rPr>
                <w:rFonts w:ascii="Times New Roman" w:eastAsia="宋体" w:cs="宋体"/>
                <w:color w:val="auto"/>
                <w:sz w:val="21"/>
                <w:szCs w:val="21"/>
              </w:rPr>
            </w:pPr>
            <w:r>
              <w:rPr>
                <w:rFonts w:hint="eastAsia" w:ascii="Times New Roman" w:eastAsia="宋体" w:cs="宋体"/>
                <w:color w:val="auto"/>
                <w:sz w:val="21"/>
                <w:szCs w:val="21"/>
              </w:rPr>
              <w:t>评价工作等级</w:t>
            </w:r>
          </w:p>
          <w:p>
            <w:pPr>
              <w:contextualSpacing/>
              <w:jc w:val="center"/>
              <w:rPr>
                <w:rFonts w:ascii="Times New Roman" w:eastAsia="宋体" w:cs="宋体"/>
                <w:color w:val="auto"/>
                <w:sz w:val="21"/>
                <w:szCs w:val="21"/>
              </w:rPr>
            </w:pPr>
            <w:r>
              <w:rPr>
                <w:rFonts w:hint="eastAsia" w:ascii="Times New Roman" w:eastAsia="宋体" w:cs="宋体"/>
                <w:color w:val="auto"/>
                <w:sz w:val="21"/>
                <w:szCs w:val="21"/>
              </w:rPr>
              <w:t>占地规模</w:t>
            </w:r>
          </w:p>
        </w:tc>
        <w:tc>
          <w:tcPr>
            <w:tcW w:w="2402" w:type="dxa"/>
            <w:gridSpan w:val="3"/>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Ⅰ类</w:t>
            </w:r>
          </w:p>
        </w:tc>
        <w:tc>
          <w:tcPr>
            <w:tcW w:w="2406" w:type="dxa"/>
            <w:gridSpan w:val="3"/>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Ⅱ类</w:t>
            </w:r>
          </w:p>
        </w:tc>
        <w:tc>
          <w:tcPr>
            <w:tcW w:w="2404" w:type="dxa"/>
            <w:gridSpan w:val="3"/>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Ⅲ类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vMerge w:val="continue"/>
            <w:vAlign w:val="center"/>
          </w:tcPr>
          <w:p>
            <w:pPr>
              <w:contextualSpacing/>
              <w:jc w:val="center"/>
              <w:rPr>
                <w:rFonts w:ascii="Times New Roman" w:eastAsia="宋体" w:cs="宋体"/>
                <w:color w:val="auto"/>
                <w:sz w:val="21"/>
                <w:szCs w:val="21"/>
              </w:rPr>
            </w:pPr>
          </w:p>
        </w:tc>
        <w:tc>
          <w:tcPr>
            <w:tcW w:w="800"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中</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小</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大</w:t>
            </w:r>
          </w:p>
        </w:tc>
        <w:tc>
          <w:tcPr>
            <w:tcW w:w="803"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中</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小</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大</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中</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敏感</w:t>
            </w:r>
          </w:p>
        </w:tc>
        <w:tc>
          <w:tcPr>
            <w:tcW w:w="800"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一级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一级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一级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3"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shd w:val="clear" w:color="FFFFFF" w:fill="D9D9D9"/>
              </w:rPr>
              <w:t>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较敏感</w:t>
            </w:r>
          </w:p>
        </w:tc>
        <w:tc>
          <w:tcPr>
            <w:tcW w:w="800"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一级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一级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3"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不敏感</w:t>
            </w:r>
          </w:p>
        </w:tc>
        <w:tc>
          <w:tcPr>
            <w:tcW w:w="800"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一级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二级</w:t>
            </w:r>
          </w:p>
        </w:tc>
        <w:tc>
          <w:tcPr>
            <w:tcW w:w="803"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三级</w:t>
            </w:r>
          </w:p>
        </w:tc>
        <w:tc>
          <w:tcPr>
            <w:tcW w:w="802"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w:t>
            </w:r>
          </w:p>
        </w:tc>
        <w:tc>
          <w:tcPr>
            <w:tcW w:w="801" w:type="dxa"/>
            <w:vAlign w:val="center"/>
          </w:tcPr>
          <w:p>
            <w:pPr>
              <w:contextualSpacing/>
              <w:jc w:val="center"/>
              <w:rPr>
                <w:rFonts w:ascii="Times New Roman" w:eastAsia="宋体" w:cs="宋体"/>
                <w:color w:val="auto"/>
                <w:sz w:val="21"/>
                <w:szCs w:val="21"/>
              </w:rPr>
            </w:pPr>
            <w:r>
              <w:rPr>
                <w:rFonts w:hint="eastAsia" w:ascii="Times New Roman" w:eastAsia="宋体" w:cs="宋体"/>
                <w:color w:val="auto"/>
                <w:sz w:val="21"/>
                <w:szCs w:val="21"/>
              </w:rPr>
              <w:t>-</w:t>
            </w:r>
          </w:p>
        </w:tc>
      </w:tr>
    </w:tbl>
    <w:p>
      <w:pPr>
        <w:ind w:firstLine="480"/>
        <w:rPr>
          <w:rFonts w:ascii="Times New Roman" w:eastAsia="宋体"/>
          <w:color w:val="auto"/>
          <w:szCs w:val="21"/>
        </w:rPr>
      </w:pPr>
      <w:r>
        <w:rPr>
          <w:rFonts w:ascii="Times New Roman" w:eastAsia="宋体"/>
          <w:color w:val="auto"/>
          <w:szCs w:val="21"/>
        </w:rPr>
        <w:t>根据表2.</w:t>
      </w:r>
      <w:r>
        <w:rPr>
          <w:rFonts w:hint="eastAsia" w:ascii="Times New Roman" w:eastAsia="宋体"/>
          <w:color w:val="auto"/>
          <w:szCs w:val="21"/>
        </w:rPr>
        <w:t>7</w:t>
      </w:r>
      <w:r>
        <w:rPr>
          <w:rFonts w:ascii="Times New Roman" w:eastAsia="宋体"/>
          <w:color w:val="auto"/>
          <w:szCs w:val="21"/>
        </w:rPr>
        <w:t>-</w:t>
      </w:r>
      <w:r>
        <w:rPr>
          <w:rFonts w:hint="eastAsia" w:ascii="Times New Roman" w:eastAsia="宋体"/>
          <w:color w:val="auto"/>
          <w:szCs w:val="21"/>
        </w:rPr>
        <w:t>10</w:t>
      </w:r>
      <w:r>
        <w:rPr>
          <w:rFonts w:ascii="Times New Roman" w:eastAsia="宋体"/>
          <w:color w:val="auto"/>
          <w:szCs w:val="21"/>
        </w:rPr>
        <w:t>判定，本项目土壤环境评价等级为三级。</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7</w:t>
      </w:r>
      <w:r>
        <w:rPr>
          <w:rFonts w:ascii="Times New Roman" w:eastAsia="宋体"/>
          <w:b/>
          <w:bCs/>
          <w:color w:val="auto"/>
          <w:kern w:val="2"/>
          <w:sz w:val="24"/>
        </w:rPr>
        <w:t>.</w:t>
      </w:r>
      <w:r>
        <w:rPr>
          <w:rFonts w:hint="eastAsia" w:ascii="Times New Roman" w:eastAsia="宋体"/>
          <w:b/>
          <w:bCs/>
          <w:color w:val="auto"/>
          <w:kern w:val="2"/>
          <w:sz w:val="24"/>
        </w:rPr>
        <w:t>6</w:t>
      </w:r>
      <w:r>
        <w:rPr>
          <w:rFonts w:ascii="Times New Roman" w:eastAsia="宋体"/>
          <w:b/>
          <w:bCs/>
          <w:color w:val="auto"/>
          <w:kern w:val="2"/>
          <w:sz w:val="24"/>
        </w:rPr>
        <w:t>生态环境评价等级</w:t>
      </w:r>
    </w:p>
    <w:p>
      <w:pPr>
        <w:pStyle w:val="309"/>
        <w:ind w:firstLine="486"/>
        <w:rPr>
          <w:rFonts w:eastAsia="宋体"/>
          <w:color w:val="auto"/>
          <w:szCs w:val="24"/>
        </w:rPr>
      </w:pPr>
      <w:r>
        <w:rPr>
          <w:rFonts w:eastAsia="宋体"/>
          <w:color w:val="auto"/>
          <w:szCs w:val="24"/>
        </w:rPr>
        <w:t>根据《环境影响评价技术导则生态影响》（HJ 19-2022）中的有关规定，依据建设项目影响区域的生态敏感性和评价项目的工程占地范围或长度，进行生态影响评价工作等级的划分。本项目所在地区生态功能区为集约利用区，不属于生态敏感区。本项目占地面积为</w:t>
      </w:r>
      <w:r>
        <w:rPr>
          <w:rFonts w:hint="eastAsia" w:eastAsia="宋体"/>
          <w:color w:val="auto"/>
          <w:szCs w:val="24"/>
        </w:rPr>
        <w:t>43905</w:t>
      </w:r>
      <w:r>
        <w:rPr>
          <w:rFonts w:eastAsia="宋体"/>
          <w:color w:val="auto"/>
          <w:szCs w:val="24"/>
        </w:rPr>
        <w:t>m</w:t>
      </w:r>
      <w:r>
        <w:rPr>
          <w:rFonts w:eastAsia="宋体"/>
          <w:color w:val="auto"/>
          <w:szCs w:val="24"/>
          <w:vertAlign w:val="superscript"/>
        </w:rPr>
        <w:t>2</w:t>
      </w:r>
      <w:r>
        <w:rPr>
          <w:rFonts w:eastAsia="宋体"/>
          <w:color w:val="auto"/>
          <w:szCs w:val="24"/>
        </w:rPr>
        <w:t>，不涉及国家公园、自然保护区、世界自然遗产、重要生境、自然公园、生态保护红线，地下水水位或土壤影响范围内分布无天然林、公益林、湿地等生态保护目标，根据《环境影响评价技术导则生态影响》（HJ 19-2022）的要求，确定本项目生态环境影响评价工作等级为三级。</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7</w:t>
      </w:r>
      <w:r>
        <w:rPr>
          <w:rFonts w:ascii="Times New Roman" w:eastAsia="宋体"/>
          <w:b/>
          <w:bCs/>
          <w:color w:val="auto"/>
          <w:kern w:val="2"/>
          <w:sz w:val="24"/>
        </w:rPr>
        <w:t>.</w:t>
      </w:r>
      <w:r>
        <w:rPr>
          <w:rFonts w:hint="eastAsia" w:ascii="Times New Roman" w:eastAsia="宋体"/>
          <w:b/>
          <w:bCs/>
          <w:color w:val="auto"/>
          <w:kern w:val="2"/>
          <w:sz w:val="24"/>
        </w:rPr>
        <w:t>7</w:t>
      </w:r>
      <w:r>
        <w:rPr>
          <w:rFonts w:ascii="Times New Roman" w:eastAsia="宋体"/>
          <w:b/>
          <w:bCs/>
          <w:color w:val="auto"/>
          <w:kern w:val="2"/>
          <w:sz w:val="24"/>
        </w:rPr>
        <w:t>环境风险评价等级</w:t>
      </w:r>
    </w:p>
    <w:p>
      <w:pPr>
        <w:pStyle w:val="309"/>
        <w:ind w:firstLine="486"/>
        <w:rPr>
          <w:rFonts w:eastAsia="宋体"/>
          <w:color w:val="auto"/>
          <w:szCs w:val="24"/>
        </w:rPr>
      </w:pPr>
      <w:r>
        <w:rPr>
          <w:rFonts w:eastAsia="宋体"/>
          <w:color w:val="auto"/>
          <w:szCs w:val="24"/>
        </w:rPr>
        <w:t>根据《建设项目环境风险评价技术导则》（HJ169-2018）中的有关规定，本项目环境风险物质</w:t>
      </w:r>
      <w:r>
        <w:rPr>
          <w:rFonts w:hint="eastAsia" w:eastAsia="宋体"/>
          <w:color w:val="auto"/>
          <w:szCs w:val="24"/>
        </w:rPr>
        <w:t>为</w:t>
      </w:r>
      <w:r>
        <w:rPr>
          <w:rFonts w:hint="eastAsia" w:eastAsia="宋体"/>
          <w:color w:val="auto"/>
          <w:szCs w:val="24"/>
          <w:lang w:val="en-US" w:eastAsia="zh-CN"/>
        </w:rPr>
        <w:t>1</w:t>
      </w:r>
      <w:r>
        <w:rPr>
          <w:rFonts w:hint="eastAsia" w:eastAsia="宋体"/>
          <w:color w:val="auto"/>
          <w:szCs w:val="24"/>
        </w:rPr>
        <w:t>t柴油（临界量为2500t）</w:t>
      </w:r>
      <w:r>
        <w:rPr>
          <w:rFonts w:hint="eastAsia" w:eastAsia="宋体"/>
          <w:color w:val="auto"/>
          <w:szCs w:val="24"/>
          <w:lang w:eastAsia="zh-CN"/>
        </w:rPr>
        <w:t>，</w:t>
      </w:r>
      <w:r>
        <w:rPr>
          <w:rFonts w:hint="eastAsia" w:eastAsia="宋体"/>
          <w:color w:val="auto"/>
          <w:szCs w:val="24"/>
          <w:lang w:val="en-US" w:eastAsia="zh-CN"/>
        </w:rPr>
        <w:t>医疗废物0.05t（</w:t>
      </w:r>
      <w:r>
        <w:rPr>
          <w:rFonts w:hint="eastAsia" w:eastAsia="宋体"/>
          <w:color w:val="auto"/>
          <w:szCs w:val="24"/>
        </w:rPr>
        <w:t>临界量为</w:t>
      </w:r>
      <w:r>
        <w:rPr>
          <w:rFonts w:hint="eastAsia" w:eastAsia="宋体"/>
          <w:color w:val="auto"/>
          <w:szCs w:val="24"/>
          <w:lang w:val="en-US" w:eastAsia="zh-CN"/>
        </w:rPr>
        <w:t>2</w:t>
      </w:r>
      <w:r>
        <w:rPr>
          <w:rFonts w:hint="eastAsia" w:eastAsia="宋体"/>
          <w:color w:val="auto"/>
          <w:szCs w:val="24"/>
        </w:rPr>
        <w:t>0t</w:t>
      </w:r>
      <w:r>
        <w:rPr>
          <w:rFonts w:hint="eastAsia" w:eastAsia="宋体"/>
          <w:color w:val="auto"/>
          <w:szCs w:val="24"/>
          <w:lang w:val="en-US" w:eastAsia="zh-CN"/>
        </w:rPr>
        <w:t>）</w:t>
      </w:r>
      <w:r>
        <w:rPr>
          <w:rFonts w:eastAsia="宋体"/>
          <w:color w:val="auto"/>
          <w:szCs w:val="24"/>
        </w:rPr>
        <w:t>，</w:t>
      </w:r>
      <w:r>
        <w:rPr>
          <w:rFonts w:hint="eastAsia" w:eastAsia="宋体"/>
          <w:color w:val="auto"/>
          <w:szCs w:val="24"/>
          <w:lang w:val="en-US" w:eastAsia="zh-CN"/>
        </w:rPr>
        <w:t>0.02</w:t>
      </w:r>
      <w:r>
        <w:rPr>
          <w:rFonts w:hint="eastAsia" w:eastAsia="宋体"/>
          <w:color w:val="auto"/>
          <w:szCs w:val="24"/>
        </w:rPr>
        <w:t>t</w:t>
      </w:r>
      <w:r>
        <w:rPr>
          <w:rFonts w:hint="eastAsia" w:eastAsia="宋体"/>
          <w:color w:val="auto"/>
          <w:szCs w:val="24"/>
          <w:lang w:val="en-US" w:eastAsia="zh-CN"/>
        </w:rPr>
        <w:t>消毒液</w:t>
      </w:r>
      <w:r>
        <w:rPr>
          <w:rFonts w:hint="eastAsia" w:eastAsia="宋体"/>
          <w:color w:val="auto"/>
          <w:szCs w:val="24"/>
        </w:rPr>
        <w:t>（临界量为</w:t>
      </w:r>
      <w:r>
        <w:rPr>
          <w:rFonts w:hint="eastAsia" w:eastAsia="宋体"/>
          <w:color w:val="auto"/>
          <w:szCs w:val="24"/>
          <w:lang w:val="en-US" w:eastAsia="zh-CN"/>
        </w:rPr>
        <w:t>20</w:t>
      </w:r>
      <w:r>
        <w:rPr>
          <w:rFonts w:hint="eastAsia" w:eastAsia="宋体"/>
          <w:color w:val="auto"/>
          <w:szCs w:val="24"/>
        </w:rPr>
        <w:t>t）</w:t>
      </w:r>
      <w:r>
        <w:rPr>
          <w:rFonts w:hint="eastAsia" w:eastAsia="宋体"/>
          <w:color w:val="auto"/>
          <w:szCs w:val="24"/>
          <w:lang w:eastAsia="zh-CN"/>
        </w:rPr>
        <w:t>，</w:t>
      </w:r>
      <w:r>
        <w:rPr>
          <w:rFonts w:hint="eastAsia" w:eastAsia="宋体"/>
          <w:color w:val="auto"/>
          <w:szCs w:val="24"/>
          <w:lang w:val="en-US" w:eastAsia="zh-CN"/>
        </w:rPr>
        <w:t>0.1</w:t>
      </w:r>
      <w:r>
        <w:rPr>
          <w:rFonts w:hint="eastAsia" w:eastAsia="宋体"/>
          <w:color w:val="auto"/>
          <w:szCs w:val="24"/>
        </w:rPr>
        <w:t>t</w:t>
      </w:r>
      <w:r>
        <w:rPr>
          <w:rFonts w:hint="eastAsia" w:eastAsia="宋体"/>
          <w:color w:val="auto"/>
          <w:szCs w:val="24"/>
          <w:lang w:val="en-US" w:eastAsia="zh-CN"/>
        </w:rPr>
        <w:t>免疫药剂</w:t>
      </w:r>
      <w:r>
        <w:rPr>
          <w:rFonts w:hint="eastAsia" w:eastAsia="宋体"/>
          <w:color w:val="auto"/>
          <w:szCs w:val="24"/>
        </w:rPr>
        <w:t>（临界量为</w:t>
      </w:r>
      <w:r>
        <w:rPr>
          <w:rFonts w:hint="eastAsia" w:eastAsia="宋体"/>
          <w:color w:val="auto"/>
          <w:szCs w:val="24"/>
          <w:lang w:val="en-US" w:eastAsia="zh-CN"/>
        </w:rPr>
        <w:t>2</w:t>
      </w:r>
      <w:r>
        <w:rPr>
          <w:rFonts w:hint="eastAsia" w:eastAsia="宋体"/>
          <w:color w:val="auto"/>
          <w:szCs w:val="24"/>
        </w:rPr>
        <w:t>0t）</w:t>
      </w:r>
      <w:r>
        <w:rPr>
          <w:rFonts w:hint="eastAsia" w:eastAsia="宋体"/>
          <w:color w:val="auto"/>
          <w:szCs w:val="24"/>
          <w:lang w:eastAsia="zh-CN"/>
        </w:rPr>
        <w:t>，</w:t>
      </w:r>
      <w:r>
        <w:rPr>
          <w:rFonts w:hint="eastAsia" w:eastAsia="宋体"/>
          <w:color w:val="auto"/>
          <w:szCs w:val="24"/>
          <w:lang w:val="en-US" w:eastAsia="zh-CN"/>
        </w:rPr>
        <w:t>可得出Q=0.0089（</w:t>
      </w:r>
      <w:r>
        <w:rPr>
          <w:rFonts w:eastAsia="宋体"/>
          <w:color w:val="auto"/>
          <w:szCs w:val="24"/>
        </w:rPr>
        <w:t>Q&lt;1</w:t>
      </w:r>
      <w:r>
        <w:rPr>
          <w:rFonts w:hint="eastAsia" w:eastAsia="宋体"/>
          <w:color w:val="auto"/>
          <w:szCs w:val="24"/>
          <w:lang w:eastAsia="zh-CN"/>
        </w:rPr>
        <w:t>）</w:t>
      </w:r>
      <w:r>
        <w:rPr>
          <w:rFonts w:eastAsia="宋体"/>
          <w:color w:val="auto"/>
          <w:szCs w:val="24"/>
        </w:rPr>
        <w:t>，根据《建设项目环境风险评价技术导则》（HJ169-2018）附录C中规定，当 Q＜1时，该项目环境风险潜势为Ⅰ。风险评价工作等级划分见表</w:t>
      </w:r>
      <w:r>
        <w:rPr>
          <w:rFonts w:hint="eastAsia" w:eastAsia="宋体"/>
          <w:color w:val="auto"/>
          <w:szCs w:val="24"/>
        </w:rPr>
        <w:t>2.7-10</w:t>
      </w:r>
      <w:r>
        <w:rPr>
          <w:rFonts w:eastAsia="宋体"/>
          <w:color w:val="auto"/>
          <w:szCs w:val="24"/>
        </w:rPr>
        <w:t>。</w:t>
      </w:r>
    </w:p>
    <w:p>
      <w:pPr>
        <w:pStyle w:val="17"/>
        <w:spacing w:beforeLines="50" w:line="0" w:lineRule="atLeast"/>
        <w:jc w:val="center"/>
        <w:rPr>
          <w:rFonts w:ascii="Times New Roman" w:hAnsi="Times New Roman" w:eastAsia="宋体" w:cs="Times New Roman"/>
          <w:b/>
          <w:bCs/>
          <w:color w:val="auto"/>
          <w:sz w:val="21"/>
        </w:rPr>
      </w:pPr>
      <w:r>
        <w:rPr>
          <w:rFonts w:ascii="Times New Roman" w:hAnsi="Times New Roman" w:eastAsia="宋体" w:cs="Times New Roman"/>
          <w:b/>
          <w:bCs/>
          <w:color w:val="auto"/>
          <w:sz w:val="21"/>
        </w:rPr>
        <w:t>表</w:t>
      </w:r>
      <w:r>
        <w:rPr>
          <w:rFonts w:hint="eastAsia" w:ascii="Times New Roman" w:hAnsi="Times New Roman" w:eastAsia="宋体" w:cs="Times New Roman"/>
          <w:b/>
          <w:bCs/>
          <w:color w:val="auto"/>
          <w:sz w:val="21"/>
        </w:rPr>
        <w:t>2.7-10</w:t>
      </w:r>
      <w:r>
        <w:rPr>
          <w:rFonts w:ascii="Times New Roman" w:hAnsi="Times New Roman" w:eastAsia="宋体" w:cs="Times New Roman"/>
          <w:b/>
          <w:bCs/>
          <w:color w:val="auto"/>
          <w:sz w:val="21"/>
        </w:rPr>
        <w:t>评价工作等级划分</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1703"/>
        <w:gridCol w:w="1704"/>
        <w:gridCol w:w="1703"/>
        <w:gridCol w:w="17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tcBorders>
              <w:tl2br w:val="nil"/>
              <w:tr2bl w:val="nil"/>
            </w:tcBorders>
            <w:vAlign w:val="center"/>
          </w:tcPr>
          <w:p>
            <w:pPr>
              <w:pStyle w:val="373"/>
              <w:widowControl w:val="0"/>
              <w:rPr>
                <w:color w:val="auto"/>
              </w:rPr>
            </w:pPr>
            <w:r>
              <w:rPr>
                <w:color w:val="auto"/>
              </w:rPr>
              <w:t>环境风险潜势</w:t>
            </w:r>
          </w:p>
        </w:tc>
        <w:tc>
          <w:tcPr>
            <w:tcW w:w="1703" w:type="dxa"/>
            <w:tcBorders>
              <w:tl2br w:val="nil"/>
              <w:tr2bl w:val="nil"/>
            </w:tcBorders>
            <w:vAlign w:val="center"/>
          </w:tcPr>
          <w:p>
            <w:pPr>
              <w:pStyle w:val="373"/>
              <w:widowControl w:val="0"/>
              <w:rPr>
                <w:color w:val="auto"/>
              </w:rPr>
            </w:pPr>
            <w:r>
              <w:rPr>
                <w:color w:val="auto"/>
              </w:rPr>
              <w:t>Ⅳ、Ⅳ+</w:t>
            </w:r>
          </w:p>
        </w:tc>
        <w:tc>
          <w:tcPr>
            <w:tcW w:w="1704" w:type="dxa"/>
            <w:tcBorders>
              <w:tl2br w:val="nil"/>
              <w:tr2bl w:val="nil"/>
            </w:tcBorders>
            <w:vAlign w:val="center"/>
          </w:tcPr>
          <w:p>
            <w:pPr>
              <w:pStyle w:val="373"/>
              <w:widowControl w:val="0"/>
              <w:rPr>
                <w:color w:val="auto"/>
              </w:rPr>
            </w:pPr>
            <w:r>
              <w:rPr>
                <w:color w:val="auto"/>
              </w:rPr>
              <w:t>Ⅲ</w:t>
            </w:r>
          </w:p>
        </w:tc>
        <w:tc>
          <w:tcPr>
            <w:tcW w:w="1703" w:type="dxa"/>
            <w:tcBorders>
              <w:tl2br w:val="nil"/>
              <w:tr2bl w:val="nil"/>
            </w:tcBorders>
            <w:vAlign w:val="center"/>
          </w:tcPr>
          <w:p>
            <w:pPr>
              <w:pStyle w:val="373"/>
              <w:widowControl w:val="0"/>
              <w:rPr>
                <w:color w:val="auto"/>
              </w:rPr>
            </w:pPr>
            <w:r>
              <w:rPr>
                <w:color w:val="auto"/>
              </w:rPr>
              <w:t>Ⅱ</w:t>
            </w:r>
          </w:p>
        </w:tc>
        <w:tc>
          <w:tcPr>
            <w:tcW w:w="1703" w:type="dxa"/>
            <w:tcBorders>
              <w:tl2br w:val="nil"/>
              <w:tr2bl w:val="nil"/>
            </w:tcBorders>
            <w:vAlign w:val="center"/>
          </w:tcPr>
          <w:p>
            <w:pPr>
              <w:pStyle w:val="373"/>
              <w:widowControl w:val="0"/>
              <w:rPr>
                <w:color w:val="auto"/>
              </w:rPr>
            </w:pPr>
            <w:r>
              <w:rPr>
                <w:color w:val="auto"/>
              </w:rPr>
              <w:t>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tcBorders>
              <w:tl2br w:val="nil"/>
              <w:tr2bl w:val="nil"/>
            </w:tcBorders>
            <w:shd w:val="clear" w:color="auto" w:fill="auto"/>
            <w:vAlign w:val="center"/>
          </w:tcPr>
          <w:p>
            <w:pPr>
              <w:pStyle w:val="373"/>
              <w:widowControl w:val="0"/>
              <w:rPr>
                <w:color w:val="auto"/>
              </w:rPr>
            </w:pPr>
            <w:r>
              <w:rPr>
                <w:color w:val="auto"/>
              </w:rPr>
              <w:t>评价工作等级</w:t>
            </w:r>
          </w:p>
        </w:tc>
        <w:tc>
          <w:tcPr>
            <w:tcW w:w="1703" w:type="dxa"/>
            <w:tcBorders>
              <w:tl2br w:val="nil"/>
              <w:tr2bl w:val="nil"/>
            </w:tcBorders>
            <w:shd w:val="clear" w:color="auto" w:fill="auto"/>
            <w:vAlign w:val="center"/>
          </w:tcPr>
          <w:p>
            <w:pPr>
              <w:pStyle w:val="373"/>
              <w:widowControl w:val="0"/>
              <w:rPr>
                <w:color w:val="auto"/>
              </w:rPr>
            </w:pPr>
            <w:r>
              <w:rPr>
                <w:color w:val="auto"/>
              </w:rPr>
              <w:t>一</w:t>
            </w:r>
          </w:p>
        </w:tc>
        <w:tc>
          <w:tcPr>
            <w:tcW w:w="1704" w:type="dxa"/>
            <w:tcBorders>
              <w:tl2br w:val="nil"/>
              <w:tr2bl w:val="nil"/>
            </w:tcBorders>
            <w:shd w:val="clear" w:color="auto" w:fill="auto"/>
            <w:vAlign w:val="center"/>
          </w:tcPr>
          <w:p>
            <w:pPr>
              <w:pStyle w:val="373"/>
              <w:widowControl w:val="0"/>
              <w:rPr>
                <w:color w:val="auto"/>
              </w:rPr>
            </w:pPr>
            <w:r>
              <w:rPr>
                <w:color w:val="auto"/>
              </w:rPr>
              <w:t>二</w:t>
            </w:r>
          </w:p>
        </w:tc>
        <w:tc>
          <w:tcPr>
            <w:tcW w:w="1703" w:type="dxa"/>
            <w:tcBorders>
              <w:tl2br w:val="nil"/>
              <w:tr2bl w:val="nil"/>
            </w:tcBorders>
            <w:shd w:val="clear" w:color="auto" w:fill="auto"/>
            <w:vAlign w:val="center"/>
          </w:tcPr>
          <w:p>
            <w:pPr>
              <w:pStyle w:val="373"/>
              <w:widowControl w:val="0"/>
              <w:rPr>
                <w:color w:val="auto"/>
              </w:rPr>
            </w:pPr>
            <w:r>
              <w:rPr>
                <w:color w:val="auto"/>
              </w:rPr>
              <w:t>三</w:t>
            </w:r>
          </w:p>
        </w:tc>
        <w:tc>
          <w:tcPr>
            <w:tcW w:w="1703" w:type="dxa"/>
            <w:tcBorders>
              <w:tl2br w:val="nil"/>
              <w:tr2bl w:val="nil"/>
            </w:tcBorders>
            <w:shd w:val="clear" w:color="auto" w:fill="D7D7D7" w:themeFill="background1" w:themeFillShade="D8"/>
            <w:vAlign w:val="center"/>
          </w:tcPr>
          <w:p>
            <w:pPr>
              <w:pStyle w:val="373"/>
              <w:widowControl w:val="0"/>
              <w:rPr>
                <w:color w:val="auto"/>
              </w:rPr>
            </w:pPr>
            <w:r>
              <w:rPr>
                <w:color w:val="auto"/>
              </w:rPr>
              <w:t>简单分析</w:t>
            </w:r>
          </w:p>
        </w:tc>
      </w:tr>
    </w:tbl>
    <w:p>
      <w:pPr>
        <w:pStyle w:val="309"/>
        <w:ind w:firstLine="486"/>
        <w:rPr>
          <w:rFonts w:eastAsia="宋体"/>
          <w:color w:val="auto"/>
          <w:szCs w:val="24"/>
        </w:rPr>
      </w:pPr>
      <w:r>
        <w:rPr>
          <w:rFonts w:eastAsia="宋体"/>
          <w:color w:val="auto"/>
          <w:szCs w:val="24"/>
        </w:rPr>
        <w:t>本项目评价区内不属于环境敏感地区，没有重大危险源，根据表</w:t>
      </w:r>
      <w:r>
        <w:rPr>
          <w:rFonts w:hint="eastAsia" w:eastAsia="宋体"/>
          <w:color w:val="auto"/>
          <w:szCs w:val="24"/>
        </w:rPr>
        <w:t>2.7-10</w:t>
      </w:r>
      <w:r>
        <w:rPr>
          <w:rFonts w:eastAsia="宋体"/>
          <w:color w:val="auto"/>
          <w:szCs w:val="24"/>
        </w:rPr>
        <w:t>分析结果，拟定本项目环境风险潜势为Ⅰ，可开展简单分析。</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135" w:name="_Toc13698"/>
      <w:bookmarkStart w:id="136" w:name="_Toc31659"/>
      <w:bookmarkStart w:id="137" w:name="_Toc31325"/>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8</w:t>
      </w:r>
      <w:r>
        <w:rPr>
          <w:rFonts w:ascii="Times New Roman" w:hAnsi="Times New Roman" w:eastAsia="宋体"/>
          <w:color w:val="auto"/>
          <w:kern w:val="2"/>
          <w:sz w:val="28"/>
          <w:szCs w:val="28"/>
        </w:rPr>
        <w:t>评价范围</w:t>
      </w:r>
      <w:bookmarkEnd w:id="135"/>
      <w:bookmarkEnd w:id="136"/>
      <w:bookmarkEnd w:id="137"/>
    </w:p>
    <w:p>
      <w:pPr>
        <w:pStyle w:val="309"/>
        <w:ind w:firstLine="486"/>
        <w:rPr>
          <w:rFonts w:eastAsia="宋体"/>
          <w:color w:val="auto"/>
          <w:szCs w:val="24"/>
        </w:rPr>
      </w:pPr>
      <w:r>
        <w:rPr>
          <w:rFonts w:eastAsia="宋体"/>
          <w:color w:val="auto"/>
          <w:szCs w:val="24"/>
        </w:rPr>
        <w:t>根据</w:t>
      </w:r>
      <w:r>
        <w:rPr>
          <w:rFonts w:hint="eastAsia" w:eastAsia="宋体"/>
          <w:color w:val="auto"/>
          <w:szCs w:val="24"/>
        </w:rPr>
        <w:t>各环境要素</w:t>
      </w:r>
      <w:r>
        <w:rPr>
          <w:rFonts w:eastAsia="宋体"/>
          <w:color w:val="auto"/>
          <w:szCs w:val="24"/>
        </w:rPr>
        <w:t>评价分级结果，并结合工程特点及建设项目所在区域</w:t>
      </w:r>
      <w:r>
        <w:rPr>
          <w:rFonts w:hint="eastAsia" w:eastAsia="宋体"/>
          <w:color w:val="auto"/>
          <w:szCs w:val="24"/>
        </w:rPr>
        <w:t>自然</w:t>
      </w:r>
      <w:r>
        <w:rPr>
          <w:rFonts w:eastAsia="宋体"/>
          <w:color w:val="auto"/>
          <w:szCs w:val="24"/>
        </w:rPr>
        <w:t>环境特征，</w:t>
      </w:r>
      <w:r>
        <w:rPr>
          <w:rFonts w:hint="eastAsia" w:eastAsia="宋体"/>
          <w:color w:val="auto"/>
          <w:szCs w:val="24"/>
        </w:rPr>
        <w:t>本次环境影响评价范围</w:t>
      </w:r>
      <w:r>
        <w:rPr>
          <w:rFonts w:eastAsia="宋体"/>
          <w:color w:val="auto"/>
          <w:szCs w:val="24"/>
        </w:rPr>
        <w:t>确定见表</w:t>
      </w:r>
      <w:r>
        <w:rPr>
          <w:rFonts w:hint="eastAsia" w:eastAsia="宋体"/>
          <w:color w:val="auto"/>
          <w:szCs w:val="24"/>
        </w:rPr>
        <w:t>2</w:t>
      </w:r>
      <w:r>
        <w:rPr>
          <w:rFonts w:eastAsia="宋体"/>
          <w:color w:val="auto"/>
          <w:szCs w:val="24"/>
        </w:rPr>
        <w:t>.</w:t>
      </w:r>
      <w:r>
        <w:rPr>
          <w:rFonts w:hint="eastAsia" w:eastAsia="宋体"/>
          <w:color w:val="auto"/>
          <w:szCs w:val="24"/>
        </w:rPr>
        <w:t>8</w:t>
      </w:r>
      <w:r>
        <w:rPr>
          <w:rFonts w:eastAsia="宋体"/>
          <w:color w:val="auto"/>
          <w:szCs w:val="24"/>
        </w:rPr>
        <w:t>-1</w:t>
      </w:r>
      <w:r>
        <w:rPr>
          <w:rFonts w:hint="eastAsia" w:eastAsia="宋体"/>
          <w:color w:val="auto"/>
          <w:szCs w:val="24"/>
        </w:rPr>
        <w:t>，</w:t>
      </w:r>
      <w:r>
        <w:rPr>
          <w:rFonts w:eastAsia="宋体"/>
          <w:color w:val="auto"/>
          <w:szCs w:val="24"/>
        </w:rPr>
        <w:t>环境影响评价范围示意图见附图</w:t>
      </w:r>
      <w:r>
        <w:rPr>
          <w:rFonts w:hint="eastAsia"/>
          <w:color w:val="auto"/>
          <w:szCs w:val="24"/>
        </w:rPr>
        <w:t>2</w:t>
      </w:r>
      <w:r>
        <w:rPr>
          <w:rFonts w:eastAsia="宋体"/>
          <w:color w:val="auto"/>
          <w:szCs w:val="24"/>
        </w:rPr>
        <w:t>.</w:t>
      </w:r>
      <w:r>
        <w:rPr>
          <w:rFonts w:hint="eastAsia" w:eastAsia="宋体"/>
          <w:color w:val="auto"/>
          <w:szCs w:val="24"/>
        </w:rPr>
        <w:t>8.</w:t>
      </w:r>
      <w:r>
        <w:rPr>
          <w:rFonts w:eastAsia="宋体"/>
          <w:color w:val="auto"/>
          <w:szCs w:val="24"/>
        </w:rPr>
        <w:t>1。</w:t>
      </w:r>
    </w:p>
    <w:p>
      <w:pPr>
        <w:pStyle w:val="17"/>
        <w:spacing w:beforeLines="50" w:line="0" w:lineRule="atLeast"/>
        <w:jc w:val="center"/>
        <w:rPr>
          <w:rFonts w:ascii="Times New Roman" w:hAnsi="Times New Roman" w:eastAsia="宋体" w:cs="Times New Roman"/>
          <w:b/>
          <w:bCs/>
          <w:color w:val="auto"/>
          <w:sz w:val="21"/>
        </w:rPr>
      </w:pPr>
      <w:r>
        <w:rPr>
          <w:rFonts w:ascii="Times New Roman" w:hAnsi="Times New Roman" w:eastAsia="宋体" w:cs="Times New Roman"/>
          <w:b/>
          <w:bCs/>
          <w:color w:val="auto"/>
          <w:sz w:val="21"/>
        </w:rPr>
        <w:t>表</w:t>
      </w:r>
      <w:r>
        <w:rPr>
          <w:rFonts w:hint="eastAsia" w:ascii="Times New Roman" w:hAnsi="Times New Roman" w:eastAsia="宋体" w:cs="Times New Roman"/>
          <w:b/>
          <w:bCs/>
          <w:color w:val="auto"/>
          <w:sz w:val="21"/>
        </w:rPr>
        <w:t>2</w:t>
      </w:r>
      <w:r>
        <w:rPr>
          <w:rFonts w:ascii="Times New Roman" w:hAnsi="Times New Roman" w:eastAsia="宋体" w:cs="Times New Roman"/>
          <w:b/>
          <w:bCs/>
          <w:color w:val="auto"/>
          <w:sz w:val="21"/>
        </w:rPr>
        <w:t>.</w:t>
      </w:r>
      <w:r>
        <w:rPr>
          <w:rFonts w:hint="eastAsia" w:ascii="Times New Roman" w:hAnsi="Times New Roman" w:eastAsia="宋体" w:cs="Times New Roman"/>
          <w:b/>
          <w:bCs/>
          <w:color w:val="auto"/>
          <w:sz w:val="21"/>
        </w:rPr>
        <w:t>8</w:t>
      </w:r>
      <w:r>
        <w:rPr>
          <w:rFonts w:ascii="Times New Roman" w:hAnsi="Times New Roman" w:eastAsia="宋体" w:cs="Times New Roman"/>
          <w:b/>
          <w:bCs/>
          <w:color w:val="auto"/>
          <w:sz w:val="21"/>
        </w:rPr>
        <w:t>-1工程各环境要素的评价范围</w:t>
      </w:r>
    </w:p>
    <w:tbl>
      <w:tblPr>
        <w:tblStyle w:val="4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2102"/>
        <w:gridCol w:w="56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6"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序号</w:t>
            </w:r>
          </w:p>
        </w:tc>
        <w:tc>
          <w:tcPr>
            <w:tcW w:w="1234"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环境要素</w:t>
            </w:r>
          </w:p>
        </w:tc>
        <w:tc>
          <w:tcPr>
            <w:tcW w:w="3289"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评价范围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6"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w:t>
            </w:r>
          </w:p>
        </w:tc>
        <w:tc>
          <w:tcPr>
            <w:tcW w:w="123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环境空气</w:t>
            </w:r>
          </w:p>
        </w:tc>
        <w:tc>
          <w:tcPr>
            <w:tcW w:w="3289"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以建设项目拟建地为中心，中心边长5km的矩形区域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6"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w:t>
            </w:r>
          </w:p>
        </w:tc>
        <w:tc>
          <w:tcPr>
            <w:tcW w:w="123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地表水</w:t>
            </w:r>
          </w:p>
        </w:tc>
        <w:tc>
          <w:tcPr>
            <w:tcW w:w="3289"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本项目所在地</w:t>
            </w:r>
            <w:r>
              <w:rPr>
                <w:rFonts w:hint="eastAsia" w:ascii="Times New Roman" w:eastAsia="宋体"/>
                <w:color w:val="auto"/>
                <w:sz w:val="21"/>
                <w:szCs w:val="21"/>
              </w:rPr>
              <w:t>附近水塘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6"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3</w:t>
            </w:r>
          </w:p>
        </w:tc>
        <w:tc>
          <w:tcPr>
            <w:tcW w:w="123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地下水</w:t>
            </w:r>
          </w:p>
        </w:tc>
        <w:tc>
          <w:tcPr>
            <w:tcW w:w="3289"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以厂址中心为中心，6km</w:t>
            </w:r>
            <w:r>
              <w:rPr>
                <w:rFonts w:hint="eastAsia" w:ascii="Times New Roman" w:eastAsia="宋体"/>
                <w:color w:val="auto"/>
                <w:sz w:val="21"/>
                <w:szCs w:val="21"/>
                <w:vertAlign w:val="superscript"/>
              </w:rPr>
              <w:t>2</w:t>
            </w:r>
            <w:r>
              <w:rPr>
                <w:rFonts w:hint="eastAsia" w:ascii="Times New Roman" w:eastAsia="宋体"/>
                <w:color w:val="auto"/>
                <w:sz w:val="21"/>
                <w:szCs w:val="21"/>
              </w:rPr>
              <w:t>范围内的居民水井的地下水环境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6"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4</w:t>
            </w:r>
          </w:p>
        </w:tc>
        <w:tc>
          <w:tcPr>
            <w:tcW w:w="123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声环境</w:t>
            </w:r>
          </w:p>
        </w:tc>
        <w:tc>
          <w:tcPr>
            <w:tcW w:w="3289"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四周厂界外200m范围内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476"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5</w:t>
            </w:r>
          </w:p>
        </w:tc>
        <w:tc>
          <w:tcPr>
            <w:tcW w:w="1234"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土壤</w:t>
            </w:r>
          </w:p>
        </w:tc>
        <w:tc>
          <w:tcPr>
            <w:tcW w:w="3289"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占地范围内及占地范围外0.05km范围内</w:t>
            </w:r>
          </w:p>
        </w:tc>
      </w:tr>
    </w:tbl>
    <w:p>
      <w:pPr>
        <w:pStyle w:val="264"/>
        <w:spacing w:before="0" w:after="0" w:line="360" w:lineRule="auto"/>
        <w:ind w:left="0" w:firstLine="486"/>
        <w:rPr>
          <w:rFonts w:ascii="Times New Roman" w:hAnsi="Times New Roman"/>
          <w:bCs w:val="0"/>
          <w:color w:val="auto"/>
          <w:kern w:val="2"/>
          <w:szCs w:val="24"/>
        </w:rPr>
        <w:sectPr>
          <w:pgSz w:w="11906" w:h="16838"/>
          <w:pgMar w:top="1440" w:right="1803" w:bottom="1440" w:left="1803" w:header="850" w:footer="992" w:gutter="0"/>
          <w:pgNumType w:fmt="decimal"/>
          <w:cols w:space="720" w:num="1"/>
          <w:docGrid w:type="linesAndChars" w:linePitch="319" w:charSpace="577"/>
        </w:sectPr>
      </w:pPr>
    </w:p>
    <w:p>
      <w:pPr>
        <w:pStyle w:val="264"/>
        <w:spacing w:before="0" w:after="0" w:line="360" w:lineRule="auto"/>
        <w:ind w:left="0" w:firstLine="488"/>
        <w:jc w:val="center"/>
        <w:rPr>
          <w:rFonts w:ascii="Times New Roman" w:hAnsi="Times New Roman"/>
          <w:b/>
          <w:color w:val="auto"/>
          <w:kern w:val="2"/>
          <w:sz w:val="21"/>
          <w:szCs w:val="21"/>
        </w:rPr>
        <w:sectPr>
          <w:pgSz w:w="16838" w:h="11906" w:orient="landscape"/>
          <w:pgMar w:top="1803" w:right="1440" w:bottom="1803" w:left="1440" w:header="850" w:footer="992" w:gutter="0"/>
          <w:pgNumType w:fmt="decimal"/>
          <w:cols w:space="720" w:num="1"/>
          <w:docGrid w:type="linesAndChars" w:linePitch="319" w:charSpace="819"/>
        </w:sectPr>
      </w:pPr>
      <w:r>
        <w:rPr>
          <w:rFonts w:hint="eastAsia" w:ascii="Times New Roman" w:hAnsi="Times New Roman" w:eastAsia="宋体" w:cs="Times New Roman"/>
          <w:b/>
          <w:sz w:val="28"/>
          <w:szCs w:val="28"/>
          <w:lang w:val="en-US" w:eastAsia="zh-CN"/>
        </w:rPr>
        <w:drawing>
          <wp:anchor distT="0" distB="0" distL="114300" distR="114300" simplePos="0" relativeHeight="251715584" behindDoc="0" locked="0" layoutInCell="1" allowOverlap="1">
            <wp:simplePos x="0" y="0"/>
            <wp:positionH relativeFrom="column">
              <wp:posOffset>8379460</wp:posOffset>
            </wp:positionH>
            <wp:positionV relativeFrom="paragraph">
              <wp:posOffset>-253365</wp:posOffset>
            </wp:positionV>
            <wp:extent cx="360680" cy="645160"/>
            <wp:effectExtent l="0" t="0" r="7620" b="2540"/>
            <wp:wrapNone/>
            <wp:docPr id="122" name="图片 3" descr="a24107915dac3cc3baa6c1c4471a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3" descr="a24107915dac3cc3baa6c1c4471a862"/>
                    <pic:cNvPicPr>
                      <a:picLocks noChangeAspect="1"/>
                    </pic:cNvPicPr>
                  </pic:nvPicPr>
                  <pic:blipFill>
                    <a:blip r:embed="rId16"/>
                    <a:stretch>
                      <a:fillRect/>
                    </a:stretch>
                  </pic:blipFill>
                  <pic:spPr>
                    <a:xfrm>
                      <a:off x="0" y="0"/>
                      <a:ext cx="360680" cy="645160"/>
                    </a:xfrm>
                    <a:prstGeom prst="rect">
                      <a:avLst/>
                    </a:prstGeom>
                    <a:noFill/>
                    <a:ln>
                      <a:noFill/>
                    </a:ln>
                  </pic:spPr>
                </pic:pic>
              </a:graphicData>
            </a:graphic>
          </wp:anchor>
        </w:drawing>
      </w:r>
      <w:r>
        <w:rPr>
          <w:color w:val="auto"/>
          <w:sz w:val="21"/>
        </w:rPr>
        <mc:AlternateContent>
          <mc:Choice Requires="wps">
            <w:drawing>
              <wp:anchor distT="0" distB="0" distL="114300" distR="114300" simplePos="0" relativeHeight="251708416" behindDoc="0" locked="0" layoutInCell="1" allowOverlap="1">
                <wp:simplePos x="0" y="0"/>
                <wp:positionH relativeFrom="column">
                  <wp:posOffset>7383145</wp:posOffset>
                </wp:positionH>
                <wp:positionV relativeFrom="paragraph">
                  <wp:posOffset>3753485</wp:posOffset>
                </wp:positionV>
                <wp:extent cx="219075" cy="104775"/>
                <wp:effectExtent l="5080" t="4445" r="4445" b="5080"/>
                <wp:wrapNone/>
                <wp:docPr id="107" name="矩形 251"/>
                <wp:cNvGraphicFramePr/>
                <a:graphic xmlns:a="http://schemas.openxmlformats.org/drawingml/2006/main">
                  <a:graphicData uri="http://schemas.microsoft.com/office/word/2010/wordprocessingShape">
                    <wps:wsp>
                      <wps:cNvSpPr/>
                      <wps:spPr>
                        <a:xfrm>
                          <a:off x="0" y="0"/>
                          <a:ext cx="219075" cy="104775"/>
                        </a:xfrm>
                        <a:prstGeom prst="rect">
                          <a:avLst/>
                        </a:prstGeom>
                        <a:solidFill>
                          <a:srgbClr val="FFFFFF"/>
                        </a:solidFill>
                        <a:ln w="9525" cap="flat" cmpd="sng">
                          <a:solidFill>
                            <a:srgbClr val="558ED5"/>
                          </a:solidFill>
                          <a:prstDash val="solid"/>
                          <a:miter/>
                          <a:headEnd type="none" w="med" len="med"/>
                          <a:tailEnd type="none" w="med" len="med"/>
                        </a:ln>
                      </wps:spPr>
                      <wps:bodyPr upright="1"/>
                    </wps:wsp>
                  </a:graphicData>
                </a:graphic>
              </wp:anchor>
            </w:drawing>
          </mc:Choice>
          <mc:Fallback>
            <w:pict>
              <v:rect id="矩形 251" o:spid="_x0000_s1026" o:spt="1" style="position:absolute;left:0pt;margin-left:581.35pt;margin-top:295.55pt;height:8.25pt;width:17.25pt;z-index:251708416;mso-width-relative:page;mso-height-relative:page;" fillcolor="#FFFFFF" filled="t" stroked="t" coordsize="21600,21600" o:gfxdata="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6cGIYNsAAAANAQAADwAAAAAAAAABACAAAAAiAAAAZHJz&#10;L2Rvd25yZXYueG1sUEsBAhQAFAAAAAgAh07iQC1R3mABAgAAIQQAAA4AAAAAAAAAAQAgAAAAKgEA&#10;AGRycy9lMm9Eb2MueG1sUEsFBgAAAAAGAAYAWQEAAJ0FAAAAAA==&#10;">
                <v:fill on="t" focussize="0,0"/>
                <v:stroke color="#558ED5" joinstyle="miter"/>
                <v:imagedata o:title=""/>
                <o:lock v:ext="edit" aspectratio="f"/>
              </v:rect>
            </w:pict>
          </mc:Fallback>
        </mc:AlternateContent>
      </w:r>
      <w:r>
        <w:rPr>
          <w:rFonts w:ascii="Times New Roman" w:hAnsi="Times New Roman"/>
          <w:color w:val="auto"/>
          <w:sz w:val="21"/>
        </w:rPr>
        <mc:AlternateContent>
          <mc:Choice Requires="wpg">
            <w:drawing>
              <wp:anchor distT="0" distB="0" distL="114300" distR="114300" simplePos="0" relativeHeight="251677696" behindDoc="0" locked="0" layoutInCell="1" allowOverlap="1">
                <wp:simplePos x="0" y="0"/>
                <wp:positionH relativeFrom="column">
                  <wp:posOffset>7276465</wp:posOffset>
                </wp:positionH>
                <wp:positionV relativeFrom="paragraph">
                  <wp:posOffset>3412490</wp:posOffset>
                </wp:positionV>
                <wp:extent cx="1801495" cy="1551305"/>
                <wp:effectExtent l="4445" t="5080" r="22860" b="5715"/>
                <wp:wrapNone/>
                <wp:docPr id="82" name="组合 488"/>
                <wp:cNvGraphicFramePr/>
                <a:graphic xmlns:a="http://schemas.openxmlformats.org/drawingml/2006/main">
                  <a:graphicData uri="http://schemas.microsoft.com/office/word/2010/wordprocessingGroup">
                    <wpg:wgp>
                      <wpg:cNvGrpSpPr/>
                      <wpg:grpSpPr>
                        <a:xfrm>
                          <a:off x="0" y="0"/>
                          <a:ext cx="1801495" cy="1551305"/>
                          <a:chOff x="15688" y="344823"/>
                          <a:chExt cx="2837" cy="2279"/>
                        </a:xfrm>
                      </wpg:grpSpPr>
                      <wps:wsp>
                        <wps:cNvPr id="77" name="文本框 214"/>
                        <wps:cNvSpPr txBox="1"/>
                        <wps:spPr>
                          <a:xfrm>
                            <a:off x="15688" y="344823"/>
                            <a:ext cx="2837" cy="227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31"/>
                                <w:spacing w:line="0" w:lineRule="atLeast"/>
                                <w:ind w:left="488" w:firstLine="0" w:firstLineChars="0"/>
                                <w:rPr>
                                  <w:sz w:val="21"/>
                                  <w:szCs w:val="20"/>
                                </w:rPr>
                              </w:pPr>
                              <w:r>
                                <w:rPr>
                                  <w:rFonts w:hint="eastAsia"/>
                                  <w:sz w:val="21"/>
                                  <w:szCs w:val="20"/>
                                </w:rPr>
                                <w:t>：本项目</w:t>
                              </w:r>
                            </w:p>
                            <w:p>
                              <w:pPr>
                                <w:pStyle w:val="231"/>
                                <w:spacing w:line="0" w:lineRule="atLeast"/>
                                <w:ind w:left="488" w:firstLine="0" w:firstLineChars="0"/>
                                <w:rPr>
                                  <w:sz w:val="21"/>
                                  <w:szCs w:val="20"/>
                                </w:rPr>
                              </w:pPr>
                              <w:r>
                                <w:rPr>
                                  <w:rFonts w:hint="eastAsia"/>
                                  <w:sz w:val="21"/>
                                  <w:szCs w:val="20"/>
                                </w:rPr>
                                <w:t>：大气评价范围</w:t>
                              </w:r>
                            </w:p>
                            <w:p>
                              <w:pPr>
                                <w:pStyle w:val="231"/>
                                <w:spacing w:line="0" w:lineRule="atLeast"/>
                                <w:ind w:left="488" w:firstLine="0" w:firstLineChars="0"/>
                                <w:rPr>
                                  <w:sz w:val="21"/>
                                  <w:szCs w:val="20"/>
                                </w:rPr>
                              </w:pPr>
                              <w:r>
                                <w:rPr>
                                  <w:rFonts w:hint="eastAsia"/>
                                  <w:sz w:val="21"/>
                                  <w:szCs w:val="20"/>
                                </w:rPr>
                                <w:t>：噪声评价范围</w:t>
                              </w:r>
                            </w:p>
                            <w:p>
                              <w:pPr>
                                <w:pStyle w:val="231"/>
                                <w:spacing w:line="0" w:lineRule="atLeast"/>
                                <w:ind w:left="488" w:firstLine="0" w:firstLineChars="0"/>
                                <w:rPr>
                                  <w:sz w:val="21"/>
                                  <w:szCs w:val="20"/>
                                </w:rPr>
                              </w:pPr>
                              <w:r>
                                <w:rPr>
                                  <w:rFonts w:hint="eastAsia"/>
                                  <w:sz w:val="21"/>
                                  <w:szCs w:val="20"/>
                                </w:rPr>
                                <w:t>：土壤评价范围</w:t>
                              </w:r>
                            </w:p>
                            <w:p>
                              <w:pPr>
                                <w:pStyle w:val="231"/>
                                <w:spacing w:line="0" w:lineRule="atLeast"/>
                                <w:ind w:left="488" w:firstLine="0" w:firstLineChars="0"/>
                              </w:pPr>
                              <w:r>
                                <w:rPr>
                                  <w:rFonts w:hint="eastAsia"/>
                                  <w:sz w:val="21"/>
                                  <w:szCs w:val="20"/>
                                </w:rPr>
                                <w:t>：地下水评价范围</w:t>
                              </w:r>
                            </w:p>
                          </w:txbxContent>
                        </wps:txbx>
                        <wps:bodyPr upright="1"/>
                      </wps:wsp>
                      <wps:wsp>
                        <wps:cNvPr id="78" name="文本框 483"/>
                        <wps:cNvSpPr txBox="1"/>
                        <wps:spPr>
                          <a:xfrm>
                            <a:off x="15859" y="344991"/>
                            <a:ext cx="362" cy="120"/>
                          </a:xfrm>
                          <a:prstGeom prst="rect">
                            <a:avLst/>
                          </a:prstGeom>
                          <a:solidFill>
                            <a:srgbClr val="FFFFFF"/>
                          </a:solidFill>
                          <a:ln w="12700" cap="flat" cmpd="sng">
                            <a:solidFill>
                              <a:srgbClr val="FF0000"/>
                            </a:solidFill>
                            <a:prstDash val="solid"/>
                            <a:miter/>
                            <a:headEnd type="none" w="med" len="med"/>
                            <a:tailEnd type="none" w="med" len="med"/>
                          </a:ln>
                        </wps:spPr>
                        <wps:txbx>
                          <w:txbxContent>
                            <w:p/>
                          </w:txbxContent>
                        </wps:txbx>
                        <wps:bodyPr upright="1"/>
                      </wps:wsp>
                      <wps:wsp>
                        <wps:cNvPr id="79" name="文本框 485"/>
                        <wps:cNvSpPr txBox="1"/>
                        <wps:spPr>
                          <a:xfrm>
                            <a:off x="15834" y="345692"/>
                            <a:ext cx="362" cy="118"/>
                          </a:xfrm>
                          <a:prstGeom prst="rect">
                            <a:avLst/>
                          </a:prstGeom>
                          <a:solidFill>
                            <a:srgbClr val="FFFFFF"/>
                          </a:solidFill>
                          <a:ln w="12700" cap="flat" cmpd="sng">
                            <a:solidFill>
                              <a:srgbClr val="FFFF00"/>
                            </a:solidFill>
                            <a:prstDash val="solid"/>
                            <a:miter/>
                            <a:headEnd type="none" w="med" len="med"/>
                            <a:tailEnd type="none" w="med" len="med"/>
                          </a:ln>
                        </wps:spPr>
                        <wps:txbx>
                          <w:txbxContent>
                            <w:p/>
                          </w:txbxContent>
                        </wps:txbx>
                        <wps:bodyPr upright="1"/>
                      </wps:wsp>
                      <wps:wsp>
                        <wps:cNvPr id="80" name="文本框 211"/>
                        <wps:cNvSpPr txBox="1"/>
                        <wps:spPr>
                          <a:xfrm>
                            <a:off x="15850" y="346422"/>
                            <a:ext cx="362" cy="120"/>
                          </a:xfrm>
                          <a:prstGeom prst="rect">
                            <a:avLst/>
                          </a:prstGeom>
                          <a:solidFill>
                            <a:srgbClr val="FFFFFF"/>
                          </a:solidFill>
                          <a:ln w="12700" cap="flat" cmpd="sng">
                            <a:solidFill>
                              <a:srgbClr val="92D050"/>
                            </a:solidFill>
                            <a:prstDash val="solid"/>
                            <a:miter/>
                            <a:headEnd type="none" w="med" len="med"/>
                            <a:tailEnd type="none" w="med" len="med"/>
                          </a:ln>
                        </wps:spPr>
                        <wps:txbx>
                          <w:txbxContent>
                            <w:p/>
                          </w:txbxContent>
                        </wps:txbx>
                        <wps:bodyPr upright="1"/>
                      </wps:wsp>
                      <wps:wsp>
                        <wps:cNvPr id="81" name="文本框 487"/>
                        <wps:cNvSpPr txBox="1"/>
                        <wps:spPr>
                          <a:xfrm>
                            <a:off x="15828" y="346013"/>
                            <a:ext cx="362" cy="118"/>
                          </a:xfrm>
                          <a:prstGeom prst="rect">
                            <a:avLst/>
                          </a:prstGeom>
                          <a:solidFill>
                            <a:srgbClr val="FFFFFF"/>
                          </a:solidFill>
                          <a:ln w="12700" cap="flat" cmpd="sng">
                            <a:solidFill>
                              <a:srgbClr val="FDDAF4"/>
                            </a:solidFill>
                            <a:prstDash val="solid"/>
                            <a:miter/>
                            <a:headEnd type="none" w="med" len="med"/>
                            <a:tailEnd type="none" w="med" len="med"/>
                          </a:ln>
                        </wps:spPr>
                        <wps:txbx>
                          <w:txbxContent>
                            <w:p/>
                          </w:txbxContent>
                        </wps:txbx>
                        <wps:bodyPr upright="1"/>
                      </wps:wsp>
                    </wpg:wgp>
                  </a:graphicData>
                </a:graphic>
              </wp:anchor>
            </w:drawing>
          </mc:Choice>
          <mc:Fallback>
            <w:pict>
              <v:group id="组合 488" o:spid="_x0000_s1026" o:spt="203" style="position:absolute;left:0pt;margin-left:572.95pt;margin-top:268.7pt;height:122.15pt;width:141.85pt;z-index:251677696;mso-width-relative:page;mso-height-relative:page;" coordorigin="15688,344823" coordsize="2837,2279" o:gfxdata="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">
                <o:lock v:ext="edit" aspectratio="f"/>
                <v:shape id="文本框 214" o:spid="_x0000_s1026" o:spt="202" type="#_x0000_t202" style="position:absolute;left:15688;top:344823;height:2279;width:2837;" fillcolor="#FFFFFF" filled="t" stroked="t" coordsize="21600,21600" o:gfxdata="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3KiD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31"/>
                          <w:spacing w:line="0" w:lineRule="atLeast"/>
                          <w:ind w:left="488" w:firstLine="0" w:firstLineChars="0"/>
                          <w:rPr>
                            <w:sz w:val="21"/>
                            <w:szCs w:val="20"/>
                          </w:rPr>
                        </w:pPr>
                        <w:r>
                          <w:rPr>
                            <w:rFonts w:hint="eastAsia"/>
                            <w:sz w:val="21"/>
                            <w:szCs w:val="20"/>
                          </w:rPr>
                          <w:t>：本项目</w:t>
                        </w:r>
                      </w:p>
                      <w:p>
                        <w:pPr>
                          <w:pStyle w:val="231"/>
                          <w:spacing w:line="0" w:lineRule="atLeast"/>
                          <w:ind w:left="488" w:firstLine="0" w:firstLineChars="0"/>
                          <w:rPr>
                            <w:sz w:val="21"/>
                            <w:szCs w:val="20"/>
                          </w:rPr>
                        </w:pPr>
                        <w:r>
                          <w:rPr>
                            <w:rFonts w:hint="eastAsia"/>
                            <w:sz w:val="21"/>
                            <w:szCs w:val="20"/>
                          </w:rPr>
                          <w:t>：大气评价范围</w:t>
                        </w:r>
                      </w:p>
                      <w:p>
                        <w:pPr>
                          <w:pStyle w:val="231"/>
                          <w:spacing w:line="0" w:lineRule="atLeast"/>
                          <w:ind w:left="488" w:firstLine="0" w:firstLineChars="0"/>
                          <w:rPr>
                            <w:sz w:val="21"/>
                            <w:szCs w:val="20"/>
                          </w:rPr>
                        </w:pPr>
                        <w:r>
                          <w:rPr>
                            <w:rFonts w:hint="eastAsia"/>
                            <w:sz w:val="21"/>
                            <w:szCs w:val="20"/>
                          </w:rPr>
                          <w:t>：噪声评价范围</w:t>
                        </w:r>
                      </w:p>
                      <w:p>
                        <w:pPr>
                          <w:pStyle w:val="231"/>
                          <w:spacing w:line="0" w:lineRule="atLeast"/>
                          <w:ind w:left="488" w:firstLine="0" w:firstLineChars="0"/>
                          <w:rPr>
                            <w:sz w:val="21"/>
                            <w:szCs w:val="20"/>
                          </w:rPr>
                        </w:pPr>
                        <w:r>
                          <w:rPr>
                            <w:rFonts w:hint="eastAsia"/>
                            <w:sz w:val="21"/>
                            <w:szCs w:val="20"/>
                          </w:rPr>
                          <w:t>：土壤评价范围</w:t>
                        </w:r>
                      </w:p>
                      <w:p>
                        <w:pPr>
                          <w:pStyle w:val="231"/>
                          <w:spacing w:line="0" w:lineRule="atLeast"/>
                          <w:ind w:left="488" w:firstLine="0" w:firstLineChars="0"/>
                        </w:pPr>
                        <w:r>
                          <w:rPr>
                            <w:rFonts w:hint="eastAsia"/>
                            <w:sz w:val="21"/>
                            <w:szCs w:val="20"/>
                          </w:rPr>
                          <w:t>：地下水评价范围</w:t>
                        </w:r>
                      </w:p>
                    </w:txbxContent>
                  </v:textbox>
                </v:shape>
                <v:shape id="文本框 483" o:spid="_x0000_s1026" o:spt="202" type="#_x0000_t202" style="position:absolute;left:15859;top:344991;height:120;width:362;" fillcolor="#FFFFFF" filled="t" stroked="t" coordsize="21600,21600" o:gfxdata="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vIhzugAAANsA&#10;AAAPAAAAAAAAAAEAIAAAACIAAABkcnMvZG93bnJldi54bWxQSwECFAAUAAAACACHTuJAMy8FnjsA&#10;AAA5AAAAEAAAAAAAAAABACAAAAAJAQAAZHJzL3NoYXBleG1sLnhtbFBLBQYAAAAABgAGAFsBAACz&#10;AwAAAAA=&#10;">
                  <v:fill on="t" focussize="0,0"/>
                  <v:stroke weight="1pt" color="#FF0000" joinstyle="miter"/>
                  <v:imagedata o:title=""/>
                  <o:lock v:ext="edit" aspectratio="f"/>
                  <v:textbox>
                    <w:txbxContent>
                      <w:p/>
                    </w:txbxContent>
                  </v:textbox>
                </v:shape>
                <v:shape id="文本框 485" o:spid="_x0000_s1026" o:spt="202" type="#_x0000_t202" style="position:absolute;left:15834;top:345692;height:118;width:362;" fillcolor="#FFFFFF" filled="t" stroked="t" coordsize="21600,21600" o:gfxdata="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4Jyaa/&#10;AAAA2wAAAA8AAAAAAAAAAQAgAAAAIgAAAGRycy9kb3ducmV2LnhtbFBLAQIUABQAAAAIAIdO4kAz&#10;LwWeOwAAADkAAAAQAAAAAAAAAAEAIAAAAA4BAABkcnMvc2hhcGV4bWwueG1sUEsFBgAAAAAGAAYA&#10;WwEAALgDAAAAAA==&#10;">
                  <v:fill on="t" focussize="0,0"/>
                  <v:stroke weight="1pt" color="#FFFF00" joinstyle="miter"/>
                  <v:imagedata o:title=""/>
                  <o:lock v:ext="edit" aspectratio="f"/>
                  <v:textbox>
                    <w:txbxContent>
                      <w:p/>
                    </w:txbxContent>
                  </v:textbox>
                </v:shape>
                <v:shape id="文本框 211" o:spid="_x0000_s1026" o:spt="202" type="#_x0000_t202" style="position:absolute;left:15850;top:346422;height:120;width:362;" fillcolor="#FFFFFF" filled="t" stroked="t" coordsize="21600,21600" o:gfxdata="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eCICrsAAADb&#10;AAAADwAAAAAAAAABACAAAAAiAAAAZHJzL2Rvd25yZXYueG1sUEsBAhQAFAAAAAgAh07iQDMvBZ47&#10;AAAAOQAAABAAAAAAAAAAAQAgAAAACgEAAGRycy9zaGFwZXhtbC54bWxQSwUGAAAAAAYABgBbAQAA&#10;tAMAAAAA&#10;">
                  <v:fill on="t" focussize="0,0"/>
                  <v:stroke weight="1pt" color="#92D050" joinstyle="miter"/>
                  <v:imagedata o:title=""/>
                  <o:lock v:ext="edit" aspectratio="f"/>
                  <v:textbox>
                    <w:txbxContent>
                      <w:p/>
                    </w:txbxContent>
                  </v:textbox>
                </v:shape>
                <v:shape id="文本框 487" o:spid="_x0000_s1026" o:spt="202" type="#_x0000_t202" style="position:absolute;left:15828;top:346013;height:118;width:362;" fillcolor="#FFFFFF" filled="t" stroked="t" coordsize="21600,21600" o:gfxdata="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ke/vQAA&#10;ANsAAAAPAAAAAAAAAAEAIAAAACIAAABkcnMvZG93bnJldi54bWxQSwECFAAUAAAACACHTuJAMy8F&#10;njsAAAA5AAAAEAAAAAAAAAABACAAAAAMAQAAZHJzL3NoYXBleG1sLnhtbFBLBQYAAAAABgAGAFsB&#10;AAC2AwAAAAA=&#10;">
                  <v:fill on="t" focussize="0,0"/>
                  <v:stroke weight="1pt" color="#FDDAF4" joinstyle="miter"/>
                  <v:imagedata o:title=""/>
                  <o:lock v:ext="edit" aspectratio="f"/>
                  <v:textbox>
                    <w:txbxContent>
                      <w:p/>
                    </w:txbxContent>
                  </v:textbox>
                </v:shape>
              </v:group>
            </w:pict>
          </mc:Fallback>
        </mc:AlternateContent>
      </w:r>
      <w:r>
        <w:rPr>
          <w:color w:val="auto"/>
        </w:rPr>
        <w:drawing>
          <wp:anchor distT="0" distB="0" distL="114300" distR="114300" simplePos="0" relativeHeight="251661312" behindDoc="0" locked="0" layoutInCell="1" allowOverlap="1">
            <wp:simplePos x="0" y="0"/>
            <wp:positionH relativeFrom="column">
              <wp:posOffset>1167130</wp:posOffset>
            </wp:positionH>
            <wp:positionV relativeFrom="paragraph">
              <wp:posOffset>-180975</wp:posOffset>
            </wp:positionV>
            <wp:extent cx="6692900" cy="5049520"/>
            <wp:effectExtent l="0" t="0" r="12700" b="17780"/>
            <wp:wrapTopAndBottom/>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22"/>
                    <a:stretch>
                      <a:fillRect/>
                    </a:stretch>
                  </pic:blipFill>
                  <pic:spPr>
                    <a:xfrm>
                      <a:off x="0" y="0"/>
                      <a:ext cx="6692900" cy="5049520"/>
                    </a:xfrm>
                    <a:prstGeom prst="rect">
                      <a:avLst/>
                    </a:prstGeom>
                    <a:noFill/>
                    <a:ln>
                      <a:noFill/>
                    </a:ln>
                  </pic:spPr>
                </pic:pic>
              </a:graphicData>
            </a:graphic>
          </wp:anchor>
        </w:drawing>
      </w:r>
      <w:r>
        <w:rPr>
          <w:color w:val="auto"/>
        </w:rPr>
        <w:drawing>
          <wp:anchor distT="0" distB="0" distL="114300" distR="114300" simplePos="0" relativeHeight="251679744" behindDoc="0" locked="0" layoutInCell="1" allowOverlap="1">
            <wp:simplePos x="0" y="0"/>
            <wp:positionH relativeFrom="column">
              <wp:posOffset>7998460</wp:posOffset>
            </wp:positionH>
            <wp:positionV relativeFrom="paragraph">
              <wp:posOffset>-5472430</wp:posOffset>
            </wp:positionV>
            <wp:extent cx="733425" cy="1143000"/>
            <wp:effectExtent l="0" t="0" r="9525" b="0"/>
            <wp:wrapNone/>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23"/>
                    <a:stretch>
                      <a:fillRect/>
                    </a:stretch>
                  </pic:blipFill>
                  <pic:spPr>
                    <a:xfrm>
                      <a:off x="0" y="0"/>
                      <a:ext cx="733425" cy="1143000"/>
                    </a:xfrm>
                    <a:prstGeom prst="rect">
                      <a:avLst/>
                    </a:prstGeom>
                    <a:pattFill prst="pct5">
                      <a:fgClr>
                        <a:schemeClr val="accent1"/>
                      </a:fgClr>
                      <a:bgClr>
                        <a:schemeClr val="bg1"/>
                      </a:bgClr>
                    </a:pattFill>
                    <a:ln>
                      <a:noFill/>
                    </a:ln>
                  </pic:spPr>
                </pic:pic>
              </a:graphicData>
            </a:graphic>
          </wp:anchor>
        </w:drawing>
      </w:r>
      <w:r>
        <w:rPr>
          <w:color w:val="auto"/>
        </w:rPr>
        <mc:AlternateContent>
          <mc:Choice Requires="wps">
            <w:drawing>
              <wp:anchor distT="0" distB="0" distL="114300" distR="114300" simplePos="0" relativeHeight="251701248" behindDoc="0" locked="0" layoutInCell="1" allowOverlap="1">
                <wp:simplePos x="0" y="0"/>
                <wp:positionH relativeFrom="column">
                  <wp:posOffset>6798310</wp:posOffset>
                </wp:positionH>
                <wp:positionV relativeFrom="paragraph">
                  <wp:posOffset>4596130</wp:posOffset>
                </wp:positionV>
                <wp:extent cx="229870" cy="81915"/>
                <wp:effectExtent l="6350" t="6350" r="11430" b="6985"/>
                <wp:wrapNone/>
                <wp:docPr id="101" name="文本框 486"/>
                <wp:cNvGraphicFramePr/>
                <a:graphic xmlns:a="http://schemas.openxmlformats.org/drawingml/2006/main">
                  <a:graphicData uri="http://schemas.microsoft.com/office/word/2010/wordprocessingShape">
                    <wps:wsp>
                      <wps:cNvSpPr txBox="1"/>
                      <wps:spPr>
                        <a:xfrm>
                          <a:off x="0" y="0"/>
                          <a:ext cx="229870" cy="81683"/>
                        </a:xfrm>
                        <a:prstGeom prst="rect">
                          <a:avLst/>
                        </a:prstGeom>
                        <a:solidFill>
                          <a:srgbClr val="FFFFFF"/>
                        </a:solidFill>
                        <a:ln w="12700" cap="flat" cmpd="sng">
                          <a:solidFill>
                            <a:srgbClr val="92D050"/>
                          </a:solidFill>
                          <a:prstDash val="solid"/>
                          <a:miter/>
                          <a:headEnd type="none" w="med" len="med"/>
                          <a:tailEnd type="none" w="med" len="med"/>
                        </a:ln>
                        <a:effectLst/>
                      </wps:spPr>
                      <wps:txbx>
                        <w:txbxContent>
                          <w:p/>
                        </w:txbxContent>
                      </wps:txbx>
                      <wps:bodyPr vert="horz" wrap="square" anchor="t" anchorCtr="0" upright="1"/>
                    </wps:wsp>
                  </a:graphicData>
                </a:graphic>
              </wp:anchor>
            </w:drawing>
          </mc:Choice>
          <mc:Fallback>
            <w:pict>
              <v:shape id="文本框 486" o:spid="_x0000_s1026" o:spt="202" type="#_x0000_t202" style="position:absolute;left:0pt;margin-left:535.3pt;margin-top:361.9pt;height:6.45pt;width:18.1pt;z-index:251701248;mso-width-relative:page;mso-height-relative:page;" fillcolor="#FFFFFF" filled="t" stroked="t" coordsize="21600,21600" o:gfxdata="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Gz/QY2QAAAA0BAAAPAAAAAAAAAAEAIAAAACIAAABkcnMvZG93bnJl&#10;di54bWxQSwECFAAUAAAACACHTuJA8frFdTUCAAB6BAAADgAAAAAAAAABACAAAAAoAQAAZHJzL2Uy&#10;b0RvYy54bWxQSwUGAAAAAAYABgBZAQAAzwUAAAAA&#10;">
                <v:fill on="t" focussize="0,0"/>
                <v:stroke weight="1pt" color="#92D050" joinstyle="miter"/>
                <v:imagedata o:title=""/>
                <o:lock v:ext="edit" aspectratio="f"/>
                <v:textbox>
                  <w:txbxContent>
                    <w:p/>
                  </w:txbxContent>
                </v:textbox>
              </v:shape>
            </w:pict>
          </mc:Fallback>
        </mc:AlternateContent>
      </w:r>
      <w:r>
        <w:rPr>
          <w:rFonts w:ascii="Times New Roman" w:hAnsi="Times New Roman"/>
          <w:color w:val="auto"/>
          <w:sz w:val="21"/>
        </w:rPr>
        <mc:AlternateContent>
          <mc:Choice Requires="wps">
            <w:drawing>
              <wp:anchor distT="0" distB="0" distL="114300" distR="114300" simplePos="0" relativeHeight="251678720" behindDoc="0" locked="0" layoutInCell="1" allowOverlap="1">
                <wp:simplePos x="0" y="0"/>
                <wp:positionH relativeFrom="column">
                  <wp:posOffset>6757035</wp:posOffset>
                </wp:positionH>
                <wp:positionV relativeFrom="paragraph">
                  <wp:posOffset>3634740</wp:posOffset>
                </wp:positionV>
                <wp:extent cx="238125" cy="76200"/>
                <wp:effectExtent l="6350" t="6350" r="22225" b="12700"/>
                <wp:wrapNone/>
                <wp:docPr id="83" name="矩形 130"/>
                <wp:cNvGraphicFramePr/>
                <a:graphic xmlns:a="http://schemas.openxmlformats.org/drawingml/2006/main">
                  <a:graphicData uri="http://schemas.microsoft.com/office/word/2010/wordprocessingShape">
                    <wps:wsp>
                      <wps:cNvSpPr/>
                      <wps:spPr>
                        <a:xfrm>
                          <a:off x="7928610" y="4884420"/>
                          <a:ext cx="238125" cy="76200"/>
                        </a:xfrm>
                        <a:prstGeom prst="rect">
                          <a:avLst/>
                        </a:prstGeom>
                        <a:noFill/>
                        <a:ln w="12700" cap="flat" cmpd="sng" algn="ctr">
                          <a:solidFill>
                            <a:srgbClr val="7030A0"/>
                          </a:solidFill>
                          <a:prstDash val="solid"/>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30" o:spid="_x0000_s1026" o:spt="1" style="position:absolute;left:0pt;margin-left:532.05pt;margin-top:286.2pt;height:6pt;width:18.75pt;z-index:251678720;v-text-anchor:middle;mso-width-relative:page;mso-height-relative:page;" filled="f" stroked="t" coordsize="21600,21600" o:gfxdata="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HlaVwzbAAAADQEAAA8AAAAAAAAAAQAgAAAAIgAAAGRycy9k&#10;b3ducmV2LnhtbFBLAQIUABQAAAAIAIdO4kBubj2jcQIAAM8EAAAOAAAAAAAAAAEAIAAAACoBAABk&#10;cnMvZTJvRG9jLnhtbFBLBQYAAAAABgAGAFkBAAANBgAAAAA=&#10;">
                <v:fill on="f" focussize="0,0"/>
                <v:stroke weight="1pt" color="#7030A0 [3204]" joinstyle="round"/>
                <v:imagedata o:title=""/>
                <o:lock v:ext="edit" aspectratio="f"/>
              </v:rect>
            </w:pict>
          </mc:Fallback>
        </mc:AlternateContent>
      </w:r>
      <w:r>
        <w:rPr>
          <w:rFonts w:ascii="Times New Roman" w:hAnsi="Times New Roman"/>
          <w:b/>
          <w:color w:val="auto"/>
          <w:kern w:val="2"/>
          <w:sz w:val="21"/>
          <w:szCs w:val="21"/>
        </w:rPr>
        <w:t>图</w:t>
      </w:r>
      <w:r>
        <w:rPr>
          <w:rFonts w:hint="eastAsia" w:ascii="Times New Roman" w:hAnsi="Times New Roman"/>
          <w:b/>
          <w:color w:val="auto"/>
          <w:kern w:val="2"/>
          <w:sz w:val="21"/>
          <w:szCs w:val="21"/>
        </w:rPr>
        <w:t>2</w:t>
      </w:r>
      <w:r>
        <w:rPr>
          <w:rFonts w:ascii="Times New Roman" w:hAnsi="Times New Roman"/>
          <w:b/>
          <w:color w:val="auto"/>
          <w:kern w:val="2"/>
          <w:sz w:val="21"/>
          <w:szCs w:val="21"/>
        </w:rPr>
        <w:t>.</w:t>
      </w:r>
      <w:r>
        <w:rPr>
          <w:rFonts w:hint="eastAsia" w:ascii="Times New Roman" w:hAnsi="Times New Roman"/>
          <w:b/>
          <w:color w:val="auto"/>
          <w:kern w:val="2"/>
          <w:sz w:val="21"/>
          <w:szCs w:val="21"/>
        </w:rPr>
        <w:t>8</w:t>
      </w:r>
      <w:r>
        <w:rPr>
          <w:rFonts w:ascii="Times New Roman" w:hAnsi="Times New Roman"/>
          <w:b/>
          <w:color w:val="auto"/>
          <w:kern w:val="2"/>
          <w:sz w:val="21"/>
          <w:szCs w:val="21"/>
        </w:rPr>
        <w:t>.1环境影响评价范围示意图</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138" w:name="_Toc7132"/>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w:t>
      </w:r>
      <w:bookmarkStart w:id="139" w:name="_Toc8928"/>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污染控制和</w:t>
      </w:r>
      <w:bookmarkEnd w:id="139"/>
      <w:r>
        <w:rPr>
          <w:rFonts w:ascii="Times New Roman" w:hAnsi="Times New Roman" w:eastAsia="宋体"/>
          <w:color w:val="auto"/>
          <w:kern w:val="2"/>
          <w:sz w:val="28"/>
          <w:szCs w:val="28"/>
        </w:rPr>
        <w:t>环境保护目标</w:t>
      </w:r>
      <w:bookmarkEnd w:id="115"/>
      <w:bookmarkEnd w:id="116"/>
      <w:bookmarkEnd w:id="138"/>
    </w:p>
    <w:p>
      <w:pPr>
        <w:pStyle w:val="4"/>
        <w:spacing w:before="0" w:after="0" w:line="360" w:lineRule="auto"/>
        <w:rPr>
          <w:rFonts w:ascii="Times New Roman" w:eastAsia="宋体"/>
          <w:b/>
          <w:bCs/>
          <w:color w:val="auto"/>
          <w:kern w:val="2"/>
          <w:sz w:val="24"/>
          <w:lang w:val="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9</w:t>
      </w:r>
      <w:r>
        <w:rPr>
          <w:rFonts w:ascii="Times New Roman" w:eastAsia="宋体"/>
          <w:b/>
          <w:bCs/>
          <w:color w:val="auto"/>
          <w:kern w:val="2"/>
          <w:sz w:val="24"/>
        </w:rPr>
        <w:t>.1</w:t>
      </w:r>
      <w:r>
        <w:rPr>
          <w:rFonts w:ascii="Times New Roman" w:eastAsia="宋体"/>
          <w:b/>
          <w:bCs/>
          <w:color w:val="auto"/>
          <w:kern w:val="2"/>
          <w:sz w:val="24"/>
          <w:lang w:val="zh-CN"/>
        </w:rPr>
        <w:t>污染控制目标</w:t>
      </w:r>
    </w:p>
    <w:p>
      <w:pPr>
        <w:spacing w:line="360" w:lineRule="auto"/>
        <w:ind w:firstLine="496" w:firstLineChars="200"/>
        <w:rPr>
          <w:rFonts w:ascii="Times New Roman" w:eastAsia="宋体"/>
          <w:color w:val="auto"/>
        </w:rPr>
      </w:pPr>
      <w:r>
        <w:rPr>
          <w:rFonts w:hint="eastAsia" w:ascii="Times New Roman" w:eastAsia="宋体"/>
          <w:color w:val="auto"/>
        </w:rPr>
        <w:t>本项目评价范围内</w:t>
      </w:r>
      <w:r>
        <w:rPr>
          <w:rFonts w:ascii="Times New Roman" w:eastAsia="宋体"/>
          <w:color w:val="auto"/>
        </w:rPr>
        <w:t>无风景名胜区、珍稀动植物保护区等特殊环境敏感区，也没有重点文物保护单位。故本项目的环境敏感对象主要是项目周边的村庄。</w:t>
      </w:r>
    </w:p>
    <w:p>
      <w:pPr>
        <w:spacing w:line="360" w:lineRule="auto"/>
        <w:ind w:firstLine="496" w:firstLineChars="200"/>
        <w:rPr>
          <w:rFonts w:ascii="Times New Roman" w:eastAsia="宋体"/>
          <w:color w:val="auto"/>
        </w:rPr>
      </w:pPr>
      <w:r>
        <w:rPr>
          <w:rFonts w:ascii="Times New Roman" w:eastAsia="宋体"/>
          <w:color w:val="auto"/>
        </w:rPr>
        <w:t>（1）控制项目养殖废水及生活污水中主要污染物的排放浓度和排放量，尽可能节约用水，减少废水产生量。严禁废水排入地表及地下水体，以</w:t>
      </w:r>
      <w:r>
        <w:rPr>
          <w:rFonts w:hint="eastAsia" w:ascii="Times New Roman" w:eastAsia="宋体"/>
          <w:color w:val="auto"/>
        </w:rPr>
        <w:t>减少</w:t>
      </w:r>
      <w:r>
        <w:rPr>
          <w:rFonts w:ascii="Times New Roman" w:eastAsia="宋体"/>
          <w:color w:val="auto"/>
        </w:rPr>
        <w:t>对所在地地表水功能、地下水功能的影响。</w:t>
      </w:r>
    </w:p>
    <w:p>
      <w:pPr>
        <w:spacing w:line="360" w:lineRule="auto"/>
        <w:ind w:firstLine="496" w:firstLineChars="200"/>
        <w:rPr>
          <w:rFonts w:ascii="Times New Roman" w:eastAsia="宋体"/>
          <w:color w:val="auto"/>
        </w:rPr>
      </w:pPr>
      <w:r>
        <w:rPr>
          <w:rFonts w:ascii="Times New Roman" w:eastAsia="宋体"/>
          <w:color w:val="auto"/>
        </w:rPr>
        <w:t>（</w:t>
      </w:r>
      <w:r>
        <w:rPr>
          <w:rFonts w:hint="eastAsia" w:ascii="Times New Roman" w:eastAsia="宋体"/>
          <w:color w:val="auto"/>
        </w:rPr>
        <w:t>2</w:t>
      </w:r>
      <w:r>
        <w:rPr>
          <w:rFonts w:ascii="Times New Roman" w:eastAsia="宋体"/>
          <w:color w:val="auto"/>
        </w:rPr>
        <w:t>）控制</w:t>
      </w:r>
      <w:r>
        <w:rPr>
          <w:rFonts w:hint="eastAsia" w:ascii="Times New Roman" w:eastAsia="宋体"/>
          <w:color w:val="auto"/>
        </w:rPr>
        <w:t>场区</w:t>
      </w:r>
      <w:r>
        <w:rPr>
          <w:rFonts w:ascii="Times New Roman" w:eastAsia="宋体"/>
          <w:color w:val="auto"/>
        </w:rPr>
        <w:t>恶臭浓度满足《畜禽养殖业污染物排放标准》（GB18596-</w:t>
      </w:r>
    </w:p>
    <w:p>
      <w:pPr>
        <w:spacing w:line="360" w:lineRule="auto"/>
        <w:rPr>
          <w:rFonts w:ascii="Times New Roman" w:eastAsia="宋体"/>
          <w:color w:val="auto"/>
        </w:rPr>
      </w:pPr>
      <w:r>
        <w:rPr>
          <w:rFonts w:ascii="Times New Roman" w:eastAsia="宋体"/>
          <w:color w:val="auto"/>
        </w:rPr>
        <w:t>2001）和《恶臭污染物排放标准》（GB14554-93）要求；控制</w:t>
      </w:r>
      <w:r>
        <w:rPr>
          <w:rFonts w:hint="eastAsia" w:ascii="Times New Roman" w:eastAsia="宋体"/>
          <w:color w:val="auto"/>
        </w:rPr>
        <w:t>生物质成型燃料锅炉</w:t>
      </w:r>
      <w:r>
        <w:rPr>
          <w:rFonts w:ascii="Times New Roman" w:eastAsia="宋体"/>
          <w:color w:val="auto"/>
        </w:rPr>
        <w:t>燃烧废气中各污染物的排放浓度，使其满足《锅炉大气污染物排放标准》（GB13271-2014）表</w:t>
      </w:r>
      <w:r>
        <w:rPr>
          <w:rFonts w:hint="eastAsia" w:ascii="Times New Roman" w:eastAsia="宋体"/>
          <w:color w:val="auto"/>
        </w:rPr>
        <w:t>3</w:t>
      </w:r>
      <w:r>
        <w:rPr>
          <w:rFonts w:ascii="Times New Roman" w:eastAsia="宋体"/>
          <w:color w:val="auto"/>
        </w:rPr>
        <w:t>大气污染物特别排放限值中燃煤锅炉的标准；保护该区域的环境空气质量符合《环境空气质量标准》（GB3095-1996）中二级标准。</w:t>
      </w:r>
    </w:p>
    <w:p>
      <w:pPr>
        <w:spacing w:line="360" w:lineRule="auto"/>
        <w:ind w:firstLine="496" w:firstLineChars="200"/>
        <w:rPr>
          <w:rFonts w:ascii="Times New Roman" w:eastAsia="宋体"/>
          <w:color w:val="auto"/>
        </w:rPr>
      </w:pPr>
      <w:r>
        <w:rPr>
          <w:rFonts w:ascii="Times New Roman" w:eastAsia="宋体"/>
          <w:color w:val="auto"/>
        </w:rPr>
        <w:t>（</w:t>
      </w:r>
      <w:r>
        <w:rPr>
          <w:rFonts w:hint="eastAsia" w:ascii="Times New Roman" w:eastAsia="宋体"/>
          <w:color w:val="auto"/>
        </w:rPr>
        <w:t>3</w:t>
      </w:r>
      <w:r>
        <w:rPr>
          <w:rFonts w:ascii="Times New Roman" w:eastAsia="宋体"/>
          <w:color w:val="auto"/>
        </w:rPr>
        <w:t>）控制本项目的噪声源对区域声环境质量影响，使厂界噪声符合《工业企业厂界环境噪声排放标准》（GB12348-2008）中</w:t>
      </w:r>
      <w:r>
        <w:rPr>
          <w:rFonts w:hint="eastAsia" w:ascii="Times New Roman" w:eastAsia="宋体"/>
          <w:color w:val="auto"/>
        </w:rPr>
        <w:t>2</w:t>
      </w:r>
      <w:r>
        <w:rPr>
          <w:rFonts w:ascii="Times New Roman" w:eastAsia="宋体"/>
          <w:color w:val="auto"/>
        </w:rPr>
        <w:t>类标准要求。</w:t>
      </w:r>
    </w:p>
    <w:p>
      <w:pPr>
        <w:spacing w:line="360" w:lineRule="auto"/>
        <w:ind w:firstLine="496" w:firstLineChars="200"/>
        <w:rPr>
          <w:rFonts w:ascii="Times New Roman" w:eastAsia="宋体"/>
          <w:color w:val="auto"/>
        </w:rPr>
      </w:pPr>
      <w:r>
        <w:rPr>
          <w:rFonts w:ascii="Times New Roman" w:eastAsia="宋体"/>
          <w:color w:val="auto"/>
        </w:rPr>
        <w:t>（</w:t>
      </w:r>
      <w:r>
        <w:rPr>
          <w:rFonts w:hint="eastAsia" w:ascii="Times New Roman" w:eastAsia="宋体"/>
          <w:color w:val="auto"/>
        </w:rPr>
        <w:t>4</w:t>
      </w:r>
      <w:r>
        <w:rPr>
          <w:rFonts w:ascii="Times New Roman" w:eastAsia="宋体"/>
          <w:color w:val="auto"/>
        </w:rPr>
        <w:t>）对项目产生的固体废物进行妥善处理处置，做好固</w:t>
      </w:r>
      <w:r>
        <w:rPr>
          <w:rFonts w:hint="eastAsia" w:ascii="Times New Roman" w:eastAsia="宋体"/>
          <w:color w:val="auto"/>
        </w:rPr>
        <w:t>体</w:t>
      </w:r>
      <w:r>
        <w:rPr>
          <w:rFonts w:ascii="Times New Roman" w:eastAsia="宋体"/>
          <w:color w:val="auto"/>
        </w:rPr>
        <w:t>废物临时贮存及运输环境管理工作，避免其对周围环境产生二次污染。</w:t>
      </w:r>
    </w:p>
    <w:p>
      <w:pPr>
        <w:pStyle w:val="4"/>
        <w:spacing w:before="0" w:after="0" w:line="360" w:lineRule="auto"/>
        <w:rPr>
          <w:rFonts w:ascii="Times New Roman" w:eastAsia="宋体"/>
          <w:b/>
          <w:bCs/>
          <w:color w:val="auto"/>
          <w:kern w:val="2"/>
          <w:sz w:val="24"/>
          <w:lang w:val="zh-CN"/>
        </w:rPr>
      </w:pPr>
      <w:r>
        <w:rPr>
          <w:rFonts w:hint="eastAsia" w:ascii="Times New Roman" w:eastAsia="宋体"/>
          <w:b/>
          <w:bCs/>
          <w:color w:val="auto"/>
          <w:kern w:val="2"/>
          <w:sz w:val="24"/>
        </w:rPr>
        <w:t>2</w:t>
      </w:r>
      <w:r>
        <w:rPr>
          <w:rFonts w:ascii="Times New Roman" w:eastAsia="宋体"/>
          <w:b/>
          <w:bCs/>
          <w:color w:val="auto"/>
          <w:kern w:val="2"/>
          <w:sz w:val="24"/>
        </w:rPr>
        <w:t>.</w:t>
      </w:r>
      <w:r>
        <w:rPr>
          <w:rFonts w:hint="eastAsia" w:ascii="Times New Roman" w:eastAsia="宋体"/>
          <w:b/>
          <w:bCs/>
          <w:color w:val="auto"/>
          <w:kern w:val="2"/>
          <w:sz w:val="24"/>
        </w:rPr>
        <w:t>9</w:t>
      </w:r>
      <w:r>
        <w:rPr>
          <w:rFonts w:ascii="Times New Roman" w:eastAsia="宋体"/>
          <w:b/>
          <w:bCs/>
          <w:color w:val="auto"/>
          <w:kern w:val="2"/>
          <w:sz w:val="24"/>
        </w:rPr>
        <w:t>.2</w:t>
      </w:r>
      <w:r>
        <w:rPr>
          <w:rFonts w:ascii="Times New Roman" w:eastAsia="宋体"/>
          <w:b/>
          <w:bCs/>
          <w:color w:val="auto"/>
          <w:kern w:val="2"/>
          <w:sz w:val="24"/>
          <w:lang w:val="zh-CN"/>
        </w:rPr>
        <w:t>环境保护目标</w:t>
      </w:r>
    </w:p>
    <w:p>
      <w:pPr>
        <w:spacing w:line="360" w:lineRule="auto"/>
        <w:ind w:firstLine="496" w:firstLineChars="200"/>
        <w:rPr>
          <w:rFonts w:ascii="Times New Roman" w:eastAsia="宋体"/>
          <w:color w:val="auto"/>
        </w:rPr>
      </w:pPr>
      <w:r>
        <w:rPr>
          <w:rFonts w:ascii="Times New Roman" w:eastAsia="宋体"/>
          <w:color w:val="auto"/>
        </w:rPr>
        <w:t>本项目</w:t>
      </w:r>
      <w:r>
        <w:rPr>
          <w:rFonts w:hint="eastAsia" w:ascii="Times New Roman" w:eastAsia="宋体"/>
          <w:color w:val="auto"/>
        </w:rPr>
        <w:t>选址位于湖南省岳阳市岳阳县新墙镇新华村桃源片</w:t>
      </w:r>
      <w:r>
        <w:rPr>
          <w:rFonts w:ascii="Times New Roman" w:eastAsia="宋体"/>
          <w:color w:val="auto"/>
        </w:rPr>
        <w:t>，根据对项目周边情况调查，评价区内无名胜古迹、旅游景点、文物保护等重点保护目标。本项目主要环境保护目标为项目周边的</w:t>
      </w:r>
      <w:r>
        <w:rPr>
          <w:rFonts w:hint="eastAsia" w:ascii="Times New Roman" w:eastAsia="宋体"/>
          <w:color w:val="auto"/>
        </w:rPr>
        <w:t>自然保护区</w:t>
      </w:r>
      <w:r>
        <w:rPr>
          <w:rFonts w:ascii="Times New Roman" w:eastAsia="宋体"/>
          <w:color w:val="auto"/>
        </w:rPr>
        <w:t>、大气环境、水环境、声环境等。</w:t>
      </w:r>
    </w:p>
    <w:p>
      <w:pPr>
        <w:spacing w:line="360" w:lineRule="auto"/>
        <w:ind w:firstLine="496" w:firstLineChars="200"/>
        <w:rPr>
          <w:rFonts w:ascii="Times New Roman" w:eastAsia="宋体"/>
          <w:b/>
          <w:bCs/>
          <w:color w:val="auto"/>
          <w:spacing w:val="-2"/>
          <w:kern w:val="10"/>
          <w:sz w:val="21"/>
          <w:szCs w:val="21"/>
          <w:lang w:bidi="he-IL"/>
        </w:rPr>
      </w:pPr>
      <w:r>
        <w:rPr>
          <w:rFonts w:ascii="Times New Roman" w:eastAsia="宋体"/>
          <w:color w:val="auto"/>
        </w:rPr>
        <w:t>评价范围内各主要环境保护目标详</w:t>
      </w:r>
      <w:r>
        <w:rPr>
          <w:rFonts w:hint="eastAsia" w:ascii="Times New Roman" w:eastAsia="宋体"/>
          <w:color w:val="auto"/>
        </w:rPr>
        <w:t>见2</w:t>
      </w:r>
      <w:r>
        <w:rPr>
          <w:rFonts w:ascii="Times New Roman" w:eastAsia="宋体"/>
          <w:color w:val="auto"/>
        </w:rPr>
        <w:t>.</w:t>
      </w:r>
      <w:r>
        <w:rPr>
          <w:rFonts w:hint="eastAsia" w:ascii="Times New Roman" w:eastAsia="宋体"/>
          <w:color w:val="auto"/>
        </w:rPr>
        <w:t>9</w:t>
      </w:r>
      <w:r>
        <w:rPr>
          <w:rFonts w:ascii="Times New Roman" w:eastAsia="宋体"/>
          <w:color w:val="auto"/>
        </w:rPr>
        <w:t>-1。</w:t>
      </w:r>
    </w:p>
    <w:p>
      <w:pPr>
        <w:keepNext/>
        <w:spacing w:beforeLines="50" w:line="0" w:lineRule="atLeast"/>
        <w:jc w:val="center"/>
        <w:rPr>
          <w:rFonts w:ascii="Times New Roman" w:eastAsia="宋体"/>
          <w:color w:val="auto"/>
          <w:highlight w:val="yellow"/>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2</w:t>
      </w:r>
      <w:r>
        <w:rPr>
          <w:rFonts w:ascii="Times New Roman" w:eastAsia="宋体"/>
          <w:b/>
          <w:bCs/>
          <w:color w:val="auto"/>
          <w:spacing w:val="-2"/>
          <w:kern w:val="10"/>
          <w:sz w:val="21"/>
          <w:szCs w:val="21"/>
          <w:lang w:bidi="he-IL"/>
        </w:rPr>
        <w:t>.</w:t>
      </w:r>
      <w:r>
        <w:rPr>
          <w:rFonts w:hint="eastAsia" w:ascii="Times New Roman" w:eastAsia="宋体"/>
          <w:b/>
          <w:bCs/>
          <w:color w:val="auto"/>
          <w:spacing w:val="-2"/>
          <w:kern w:val="10"/>
          <w:sz w:val="21"/>
          <w:szCs w:val="21"/>
          <w:lang w:bidi="he-IL"/>
        </w:rPr>
        <w:t>9</w:t>
      </w:r>
      <w:r>
        <w:rPr>
          <w:rFonts w:ascii="Times New Roman" w:eastAsia="宋体"/>
          <w:b/>
          <w:bCs/>
          <w:color w:val="auto"/>
          <w:spacing w:val="-2"/>
          <w:kern w:val="10"/>
          <w:sz w:val="21"/>
          <w:szCs w:val="21"/>
          <w:lang w:bidi="he-IL"/>
        </w:rPr>
        <w:t>-1环境保护目标一览表</w:t>
      </w:r>
    </w:p>
    <w:tbl>
      <w:tblPr>
        <w:tblStyle w:val="47"/>
        <w:tblW w:w="92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1306"/>
        <w:gridCol w:w="1224"/>
        <w:gridCol w:w="684"/>
        <w:gridCol w:w="663"/>
        <w:gridCol w:w="1500"/>
        <w:gridCol w:w="982"/>
        <w:gridCol w:w="829"/>
        <w:gridCol w:w="9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106" w:type="dxa"/>
            <w:vMerge w:val="restar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环境</w:t>
            </w:r>
          </w:p>
          <w:p>
            <w:pPr>
              <w:adjustRightInd w:val="0"/>
              <w:snapToGrid w:val="0"/>
              <w:jc w:val="center"/>
              <w:rPr>
                <w:rFonts w:ascii="Times New Roman" w:eastAsia="宋体"/>
                <w:b/>
                <w:bCs/>
                <w:color w:val="auto"/>
                <w:sz w:val="21"/>
                <w:szCs w:val="21"/>
              </w:rPr>
            </w:pPr>
            <w:r>
              <w:rPr>
                <w:rFonts w:hint="eastAsia" w:ascii="Times New Roman" w:eastAsia="宋体"/>
                <w:b/>
                <w:bCs/>
                <w:color w:val="auto"/>
                <w:sz w:val="21"/>
                <w:szCs w:val="21"/>
              </w:rPr>
              <w:t>目标</w:t>
            </w:r>
          </w:p>
        </w:tc>
        <w:tc>
          <w:tcPr>
            <w:tcW w:w="2530" w:type="dxa"/>
            <w:gridSpan w:val="2"/>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坐标/°</w:t>
            </w:r>
          </w:p>
        </w:tc>
        <w:tc>
          <w:tcPr>
            <w:tcW w:w="684" w:type="dxa"/>
            <w:vMerge w:val="restar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保护内容</w:t>
            </w:r>
          </w:p>
        </w:tc>
        <w:tc>
          <w:tcPr>
            <w:tcW w:w="663" w:type="dxa"/>
            <w:vMerge w:val="restar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保护对象</w:t>
            </w:r>
          </w:p>
        </w:tc>
        <w:tc>
          <w:tcPr>
            <w:tcW w:w="1500" w:type="dxa"/>
            <w:vMerge w:val="restart"/>
            <w:tcBorders>
              <w:tl2br w:val="nil"/>
              <w:tr2bl w:val="nil"/>
            </w:tcBorders>
            <w:vAlign w:val="center"/>
          </w:tcPr>
          <w:p>
            <w:pPr>
              <w:adjustRightInd w:val="0"/>
              <w:snapToGrid w:val="0"/>
              <w:jc w:val="center"/>
              <w:rPr>
                <w:rFonts w:ascii="Times New Roman" w:eastAsia="宋体"/>
                <w:b/>
                <w:bCs/>
                <w:color w:val="auto"/>
                <w:sz w:val="21"/>
                <w:szCs w:val="21"/>
              </w:rPr>
            </w:pPr>
            <w:r>
              <w:rPr>
                <w:rFonts w:hint="eastAsia" w:ascii="Times New Roman" w:eastAsia="宋体"/>
                <w:b/>
                <w:bCs/>
                <w:color w:val="auto"/>
                <w:sz w:val="21"/>
                <w:szCs w:val="21"/>
              </w:rPr>
              <w:t>保护内容</w:t>
            </w:r>
          </w:p>
        </w:tc>
        <w:tc>
          <w:tcPr>
            <w:tcW w:w="982" w:type="dxa"/>
            <w:vMerge w:val="restar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环境</w:t>
            </w:r>
          </w:p>
          <w:p>
            <w:pPr>
              <w:adjustRightInd w:val="0"/>
              <w:snapToGrid w:val="0"/>
              <w:jc w:val="center"/>
              <w:rPr>
                <w:rFonts w:ascii="Times New Roman" w:eastAsia="宋体"/>
                <w:color w:val="auto"/>
                <w:sz w:val="21"/>
                <w:szCs w:val="21"/>
              </w:rPr>
            </w:pPr>
            <w:r>
              <w:rPr>
                <w:rFonts w:ascii="Times New Roman" w:eastAsia="宋体"/>
                <w:b/>
                <w:bCs/>
                <w:color w:val="auto"/>
                <w:sz w:val="21"/>
                <w:szCs w:val="21"/>
              </w:rPr>
              <w:t>功能区</w:t>
            </w:r>
          </w:p>
        </w:tc>
        <w:tc>
          <w:tcPr>
            <w:tcW w:w="829" w:type="dxa"/>
            <w:vMerge w:val="restar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相对厂址方位</w:t>
            </w:r>
          </w:p>
        </w:tc>
        <w:tc>
          <w:tcPr>
            <w:tcW w:w="954" w:type="dxa"/>
            <w:vMerge w:val="restar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相对厂界距离/m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1106"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E</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N</w:t>
            </w:r>
          </w:p>
        </w:tc>
        <w:tc>
          <w:tcPr>
            <w:tcW w:w="684"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1500"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954"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袁家屋</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113.174606</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29.090796</w:t>
            </w:r>
          </w:p>
        </w:tc>
        <w:tc>
          <w:tcPr>
            <w:tcW w:w="684" w:type="dxa"/>
            <w:vMerge w:val="restar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人群</w:t>
            </w:r>
          </w:p>
        </w:tc>
        <w:tc>
          <w:tcPr>
            <w:tcW w:w="663" w:type="dxa"/>
            <w:vMerge w:val="restar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居民点</w:t>
            </w:r>
          </w:p>
        </w:tc>
        <w:tc>
          <w:tcPr>
            <w:tcW w:w="1500" w:type="dxa"/>
            <w:tcBorders>
              <w:tl2br w:val="nil"/>
              <w:tr2bl w:val="nil"/>
            </w:tcBorders>
            <w:vAlign w:val="center"/>
          </w:tcPr>
          <w:p>
            <w:pPr>
              <w:adjustRightInd w:val="0"/>
              <w:snapToGrid w:val="0"/>
              <w:jc w:val="center"/>
              <w:rPr>
                <w:rFonts w:hint="eastAsia" w:ascii="Times New Roman" w:eastAsia="宋体"/>
                <w:color w:val="auto"/>
                <w:sz w:val="21"/>
                <w:szCs w:val="21"/>
                <w:lang w:eastAsia="zh-CN"/>
              </w:rPr>
            </w:pPr>
            <w:r>
              <w:rPr>
                <w:rFonts w:hint="eastAsia" w:ascii="Times New Roman" w:eastAsia="宋体"/>
                <w:color w:val="auto"/>
                <w:sz w:val="21"/>
                <w:szCs w:val="21"/>
              </w:rPr>
              <w:t>47户</w:t>
            </w:r>
            <w:r>
              <w:rPr>
                <w:rFonts w:hint="eastAsia" w:ascii="Times New Roman" w:eastAsia="宋体"/>
                <w:color w:val="auto"/>
                <w:sz w:val="21"/>
                <w:szCs w:val="21"/>
                <w:lang w:val="en-US" w:eastAsia="zh-CN"/>
              </w:rPr>
              <w:t>/165人</w:t>
            </w:r>
          </w:p>
        </w:tc>
        <w:tc>
          <w:tcPr>
            <w:tcW w:w="982" w:type="dxa"/>
            <w:vMerge w:val="restar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lang w:val="en-US" w:eastAsia="zh-CN"/>
              </w:rPr>
              <w:t>环境空气</w:t>
            </w:r>
            <w:r>
              <w:rPr>
                <w:rFonts w:hint="eastAsia" w:ascii="Times New Roman" w:eastAsia="宋体"/>
                <w:color w:val="auto"/>
                <w:sz w:val="21"/>
                <w:szCs w:val="21"/>
              </w:rPr>
              <w:t>二类区</w:t>
            </w: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SW</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190-1120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细蒋家</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113.185571</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29.094611</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eastAsia" w:ascii="Times New Roman" w:eastAsia="宋体"/>
                <w:color w:val="auto"/>
                <w:kern w:val="2"/>
                <w:sz w:val="21"/>
                <w:szCs w:val="21"/>
                <w:lang w:eastAsia="zh-CN"/>
              </w:rPr>
            </w:pPr>
            <w:r>
              <w:rPr>
                <w:rFonts w:hint="eastAsia" w:ascii="Times New Roman" w:eastAsia="宋体"/>
                <w:color w:val="auto"/>
                <w:kern w:val="2"/>
                <w:sz w:val="21"/>
                <w:szCs w:val="21"/>
              </w:rPr>
              <w:t>34户</w:t>
            </w:r>
            <w:r>
              <w:rPr>
                <w:rFonts w:hint="eastAsia" w:ascii="Times New Roman" w:eastAsia="宋体"/>
                <w:color w:val="auto"/>
                <w:kern w:val="2"/>
                <w:sz w:val="21"/>
                <w:szCs w:val="21"/>
                <w:lang w:val="en-US" w:eastAsia="zh-CN"/>
              </w:rPr>
              <w:t>/119人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E</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5</w:t>
            </w:r>
            <w:r>
              <w:rPr>
                <w:rFonts w:hint="eastAsia" w:ascii="Times New Roman" w:eastAsia="宋体"/>
                <w:color w:val="auto"/>
                <w:sz w:val="21"/>
                <w:szCs w:val="21"/>
                <w:lang w:val="en-US" w:eastAsia="zh-CN"/>
              </w:rPr>
              <w:t>6</w:t>
            </w:r>
            <w:r>
              <w:rPr>
                <w:rFonts w:hint="eastAsia" w:ascii="Times New Roman" w:eastAsia="宋体"/>
                <w:color w:val="auto"/>
                <w:sz w:val="21"/>
                <w:szCs w:val="21"/>
              </w:rPr>
              <w:t>0-920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易家细屋</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113.178680</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29.088658</w:t>
            </w:r>
          </w:p>
        </w:tc>
        <w:tc>
          <w:tcPr>
            <w:tcW w:w="684"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sz w:val="21"/>
                <w:szCs w:val="21"/>
                <w:lang w:val="en-US" w:eastAsia="zh-CN"/>
              </w:rPr>
            </w:pPr>
            <w:r>
              <w:rPr>
                <w:rFonts w:hint="eastAsia" w:ascii="Times New Roman" w:eastAsia="宋体"/>
                <w:color w:val="auto"/>
                <w:sz w:val="21"/>
                <w:szCs w:val="21"/>
              </w:rPr>
              <w:t>59户</w:t>
            </w:r>
            <w:r>
              <w:rPr>
                <w:rFonts w:hint="eastAsia" w:ascii="Times New Roman" w:eastAsia="宋体"/>
                <w:color w:val="auto"/>
                <w:sz w:val="21"/>
                <w:szCs w:val="21"/>
                <w:lang w:val="en-US" w:eastAsia="zh-CN"/>
              </w:rPr>
              <w:t>/206人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S</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418-901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何家里</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113.169523</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29.092606</w:t>
            </w:r>
          </w:p>
        </w:tc>
        <w:tc>
          <w:tcPr>
            <w:tcW w:w="684"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sz w:val="21"/>
                <w:szCs w:val="21"/>
                <w:lang w:val="en-US" w:eastAsia="zh-CN"/>
              </w:rPr>
            </w:pPr>
            <w:r>
              <w:rPr>
                <w:rFonts w:hint="eastAsia" w:ascii="Times New Roman" w:eastAsia="宋体"/>
                <w:color w:val="auto"/>
                <w:sz w:val="21"/>
                <w:szCs w:val="21"/>
              </w:rPr>
              <w:t>22户</w:t>
            </w:r>
            <w:r>
              <w:rPr>
                <w:rFonts w:hint="eastAsia" w:ascii="Times New Roman" w:eastAsia="宋体"/>
                <w:color w:val="auto"/>
                <w:sz w:val="21"/>
                <w:szCs w:val="21"/>
                <w:lang w:val="en-US" w:eastAsia="zh-CN"/>
              </w:rPr>
              <w:t>/77人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W</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650-850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唐福禄</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113.167034</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29.087703</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rPr>
              <w:t>33户</w:t>
            </w:r>
            <w:r>
              <w:rPr>
                <w:rFonts w:hint="eastAsia" w:ascii="Times New Roman" w:eastAsia="宋体"/>
                <w:color w:val="auto"/>
                <w:kern w:val="2"/>
                <w:sz w:val="21"/>
                <w:szCs w:val="21"/>
                <w:lang w:val="en-US" w:eastAsia="zh-CN"/>
              </w:rPr>
              <w:t>/116人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sz w:val="21"/>
                <w:szCs w:val="21"/>
              </w:rPr>
              <w:t>SW</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1200-1385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杨家庄</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113.168579</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29.091056</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26户</w:t>
            </w:r>
            <w:r>
              <w:rPr>
                <w:rFonts w:hint="eastAsia" w:ascii="Times New Roman" w:eastAsia="宋体"/>
                <w:color w:val="auto"/>
                <w:sz w:val="21"/>
                <w:szCs w:val="21"/>
                <w:lang w:val="en-US" w:eastAsia="zh-CN"/>
              </w:rPr>
              <w:t>/91人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SW</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880-1056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二房里</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113.179404</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29.084758</w:t>
            </w:r>
          </w:p>
        </w:tc>
        <w:tc>
          <w:tcPr>
            <w:tcW w:w="684"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sz w:val="21"/>
                <w:szCs w:val="21"/>
                <w:lang w:val="en-US"/>
              </w:rPr>
            </w:pPr>
            <w:r>
              <w:rPr>
                <w:rFonts w:hint="eastAsia" w:ascii="Times New Roman" w:eastAsia="宋体"/>
                <w:color w:val="auto"/>
                <w:sz w:val="21"/>
                <w:szCs w:val="21"/>
              </w:rPr>
              <w:t>31户</w:t>
            </w:r>
            <w:r>
              <w:rPr>
                <w:rFonts w:hint="eastAsia" w:ascii="Times New Roman" w:eastAsia="宋体"/>
                <w:color w:val="auto"/>
                <w:sz w:val="21"/>
                <w:szCs w:val="21"/>
                <w:lang w:val="en-US" w:eastAsia="zh-CN"/>
              </w:rPr>
              <w:t>/109人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S</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988-1365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砂子岭</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113.171400</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29.082462</w:t>
            </w:r>
          </w:p>
        </w:tc>
        <w:tc>
          <w:tcPr>
            <w:tcW w:w="684"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sz w:val="21"/>
                <w:szCs w:val="21"/>
                <w:lang w:val="en-US"/>
              </w:rPr>
            </w:pPr>
            <w:r>
              <w:rPr>
                <w:rFonts w:hint="eastAsia" w:ascii="Times New Roman" w:eastAsia="宋体"/>
                <w:color w:val="auto"/>
                <w:sz w:val="21"/>
                <w:szCs w:val="21"/>
              </w:rPr>
              <w:t>71户</w:t>
            </w:r>
            <w:r>
              <w:rPr>
                <w:rFonts w:hint="eastAsia" w:ascii="Times New Roman" w:eastAsia="宋体"/>
                <w:color w:val="auto"/>
                <w:sz w:val="21"/>
                <w:szCs w:val="21"/>
                <w:lang w:val="en-US" w:eastAsia="zh-CN"/>
              </w:rPr>
              <w:t>/248人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S</w:t>
            </w:r>
            <w:r>
              <w:rPr>
                <w:rFonts w:hint="eastAsia" w:ascii="Times New Roman" w:eastAsia="宋体"/>
                <w:color w:val="auto"/>
                <w:sz w:val="21"/>
                <w:szCs w:val="21"/>
              </w:rPr>
              <w:t>W</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1264-1700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吴夏</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113.192236</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29.094468</w:t>
            </w:r>
          </w:p>
        </w:tc>
        <w:tc>
          <w:tcPr>
            <w:tcW w:w="684"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sz w:val="21"/>
                <w:szCs w:val="21"/>
                <w:lang w:val="en-US"/>
              </w:rPr>
            </w:pPr>
            <w:r>
              <w:rPr>
                <w:rFonts w:hint="eastAsia" w:ascii="Times New Roman" w:eastAsia="宋体"/>
                <w:color w:val="auto"/>
                <w:sz w:val="21"/>
                <w:szCs w:val="21"/>
              </w:rPr>
              <w:t>56户</w:t>
            </w:r>
            <w:r>
              <w:rPr>
                <w:rFonts w:hint="eastAsia" w:ascii="Times New Roman" w:eastAsia="宋体"/>
                <w:color w:val="auto"/>
                <w:sz w:val="21"/>
                <w:szCs w:val="21"/>
                <w:lang w:val="en-US" w:eastAsia="zh-CN"/>
              </w:rPr>
              <w:t>/196人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E</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1200-1474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余子椒</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113.195412</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29.089361</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58户</w:t>
            </w:r>
            <w:r>
              <w:rPr>
                <w:rFonts w:hint="eastAsia" w:ascii="Times New Roman" w:eastAsia="宋体"/>
                <w:color w:val="auto"/>
                <w:sz w:val="21"/>
                <w:szCs w:val="21"/>
                <w:lang w:val="en-US" w:eastAsia="zh-CN"/>
              </w:rPr>
              <w:t>/203人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SE</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1422-1793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毛家大屋</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113.185498</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29.104467</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61户</w:t>
            </w:r>
            <w:r>
              <w:rPr>
                <w:rFonts w:hint="eastAsia" w:ascii="Times New Roman" w:eastAsia="宋体"/>
                <w:color w:val="auto"/>
                <w:sz w:val="21"/>
                <w:szCs w:val="21"/>
                <w:lang w:val="en-US" w:eastAsia="zh-CN"/>
              </w:rPr>
              <w:t>/213人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NE</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1020-1596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陈家老屋</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113.181722</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29.108115</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53户</w:t>
            </w:r>
            <w:r>
              <w:rPr>
                <w:rFonts w:hint="eastAsia" w:ascii="Times New Roman" w:eastAsia="宋体"/>
                <w:color w:val="auto"/>
                <w:sz w:val="21"/>
                <w:szCs w:val="21"/>
                <w:lang w:val="en-US" w:eastAsia="zh-CN"/>
              </w:rPr>
              <w:t>/186人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N</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1111-1547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毛杨村</w:t>
            </w:r>
          </w:p>
        </w:tc>
        <w:tc>
          <w:tcPr>
            <w:tcW w:w="1306" w:type="dxa"/>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sz w:val="21"/>
                <w:szCs w:val="21"/>
              </w:rPr>
              <w:t>113.187730</w:t>
            </w:r>
          </w:p>
        </w:tc>
        <w:tc>
          <w:tcPr>
            <w:tcW w:w="1224" w:type="dxa"/>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sz w:val="21"/>
                <w:szCs w:val="21"/>
              </w:rPr>
              <w:t>29.112256</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15户</w:t>
            </w:r>
            <w:r>
              <w:rPr>
                <w:rFonts w:hint="eastAsia" w:ascii="Times New Roman" w:eastAsia="宋体"/>
                <w:color w:val="auto"/>
                <w:sz w:val="21"/>
                <w:szCs w:val="21"/>
                <w:lang w:val="en-US" w:eastAsia="zh-CN"/>
              </w:rPr>
              <w:t>/52人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N</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1905-2055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新华村</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113.192064</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29.110931</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30户</w:t>
            </w:r>
            <w:r>
              <w:rPr>
                <w:rFonts w:hint="eastAsia" w:ascii="Times New Roman" w:eastAsia="宋体"/>
                <w:color w:val="auto"/>
                <w:sz w:val="21"/>
                <w:szCs w:val="21"/>
                <w:lang w:val="en-US" w:eastAsia="zh-CN"/>
              </w:rPr>
              <w:t>/105人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color w:val="auto"/>
                <w:sz w:val="21"/>
                <w:szCs w:val="21"/>
              </w:rPr>
            </w:pPr>
            <w:r>
              <w:rPr>
                <w:rFonts w:hint="eastAsia" w:ascii="Times New Roman"/>
                <w:color w:val="auto"/>
                <w:sz w:val="21"/>
                <w:szCs w:val="21"/>
              </w:rPr>
              <w:t>NE</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2018-2200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孟家庄</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113.192472</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29.105620</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24户</w:t>
            </w:r>
            <w:r>
              <w:rPr>
                <w:rFonts w:hint="eastAsia" w:ascii="Times New Roman" w:eastAsia="宋体"/>
                <w:color w:val="auto"/>
                <w:sz w:val="21"/>
                <w:szCs w:val="21"/>
                <w:lang w:val="en-US" w:eastAsia="zh-CN"/>
              </w:rPr>
              <w:t>/84人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color w:val="auto"/>
                <w:sz w:val="21"/>
                <w:szCs w:val="21"/>
              </w:rPr>
              <w:t>NE</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1667-1887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方杨陈</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113.167946</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29.106779</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65户</w:t>
            </w:r>
            <w:r>
              <w:rPr>
                <w:rFonts w:hint="eastAsia" w:ascii="Times New Roman" w:eastAsia="宋体"/>
                <w:color w:val="auto"/>
                <w:sz w:val="21"/>
                <w:szCs w:val="21"/>
                <w:lang w:val="en-US" w:eastAsia="zh-CN"/>
              </w:rPr>
              <w:t>/228人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color w:val="auto"/>
                <w:sz w:val="21"/>
                <w:szCs w:val="21"/>
              </w:rPr>
            </w:pPr>
            <w:r>
              <w:rPr>
                <w:rFonts w:hint="eastAsia" w:ascii="Times New Roman"/>
                <w:color w:val="auto"/>
                <w:sz w:val="21"/>
                <w:szCs w:val="21"/>
              </w:rPr>
              <w:t>NW</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1357-1658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老侯家</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113.162378</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29.110985</w:t>
            </w:r>
          </w:p>
        </w:tc>
        <w:tc>
          <w:tcPr>
            <w:tcW w:w="684"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1500" w:type="dxa"/>
            <w:tcBorders>
              <w:tl2br w:val="nil"/>
              <w:tr2bl w:val="nil"/>
            </w:tcBorders>
            <w:vAlign w:val="center"/>
          </w:tcPr>
          <w:p>
            <w:pPr>
              <w:adjustRightInd w:val="0"/>
              <w:snapToGrid w:val="0"/>
              <w:jc w:val="center"/>
              <w:rPr>
                <w:rFonts w:hint="default" w:ascii="Times New Roman" w:eastAsia="宋体"/>
                <w:color w:val="auto"/>
                <w:kern w:val="2"/>
                <w:sz w:val="21"/>
                <w:szCs w:val="21"/>
                <w:lang w:val="en-US"/>
              </w:rPr>
            </w:pPr>
            <w:r>
              <w:rPr>
                <w:rFonts w:hint="eastAsia" w:ascii="Times New Roman" w:eastAsia="宋体"/>
                <w:color w:val="auto"/>
                <w:kern w:val="2"/>
                <w:sz w:val="21"/>
                <w:szCs w:val="21"/>
              </w:rPr>
              <w:t>38户</w:t>
            </w:r>
            <w:r>
              <w:rPr>
                <w:rFonts w:hint="eastAsia" w:ascii="Times New Roman" w:eastAsia="宋体"/>
                <w:color w:val="auto"/>
                <w:sz w:val="21"/>
                <w:szCs w:val="21"/>
                <w:lang w:val="en-US" w:eastAsia="zh-CN"/>
              </w:rPr>
              <w:t>/133人</w:t>
            </w:r>
          </w:p>
        </w:tc>
        <w:tc>
          <w:tcPr>
            <w:tcW w:w="982" w:type="dxa"/>
            <w:vMerge w:val="continue"/>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color w:val="auto"/>
                <w:sz w:val="21"/>
                <w:szCs w:val="21"/>
              </w:rPr>
            </w:pPr>
            <w:r>
              <w:rPr>
                <w:rFonts w:hint="eastAsia" w:ascii="Times New Roman"/>
                <w:color w:val="auto"/>
                <w:sz w:val="21"/>
                <w:szCs w:val="21"/>
              </w:rPr>
              <w:t>W</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2121-2600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06"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新墙小学</w:t>
            </w:r>
          </w:p>
        </w:tc>
        <w:tc>
          <w:tcPr>
            <w:tcW w:w="1306"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113.191270</w:t>
            </w:r>
          </w:p>
        </w:tc>
        <w:tc>
          <w:tcPr>
            <w:tcW w:w="1224"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29.114118</w:t>
            </w:r>
          </w:p>
        </w:tc>
        <w:tc>
          <w:tcPr>
            <w:tcW w:w="684" w:type="dxa"/>
            <w:tcBorders>
              <w:tl2br w:val="nil"/>
              <w:tr2bl w:val="nil"/>
            </w:tcBorders>
            <w:vAlign w:val="center"/>
          </w:tcPr>
          <w:p>
            <w:pPr>
              <w:adjustRightInd w:val="0"/>
              <w:snapToGrid w:val="0"/>
              <w:jc w:val="center"/>
              <w:rPr>
                <w:rFonts w:ascii="Times New Roman" w:eastAsia="宋体"/>
                <w:color w:val="auto"/>
                <w:kern w:val="2"/>
                <w:sz w:val="21"/>
                <w:szCs w:val="21"/>
              </w:rPr>
            </w:pPr>
          </w:p>
        </w:tc>
        <w:tc>
          <w:tcPr>
            <w:tcW w:w="663" w:type="dxa"/>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学校</w:t>
            </w:r>
          </w:p>
        </w:tc>
        <w:tc>
          <w:tcPr>
            <w:tcW w:w="1500"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约500人</w:t>
            </w:r>
          </w:p>
        </w:tc>
        <w:tc>
          <w:tcPr>
            <w:tcW w:w="982" w:type="dxa"/>
            <w:tcBorders>
              <w:tl2br w:val="nil"/>
              <w:tr2bl w:val="nil"/>
            </w:tcBorders>
            <w:vAlign w:val="center"/>
          </w:tcPr>
          <w:p>
            <w:pPr>
              <w:adjustRightInd w:val="0"/>
              <w:snapToGrid w:val="0"/>
              <w:jc w:val="center"/>
              <w:rPr>
                <w:rFonts w:ascii="Times New Roman" w:eastAsia="宋体"/>
                <w:color w:val="auto"/>
                <w:sz w:val="21"/>
                <w:szCs w:val="21"/>
              </w:rPr>
            </w:pPr>
          </w:p>
        </w:tc>
        <w:tc>
          <w:tcPr>
            <w:tcW w:w="829" w:type="dxa"/>
            <w:tcBorders>
              <w:tl2br w:val="nil"/>
              <w:tr2bl w:val="nil"/>
            </w:tcBorders>
            <w:vAlign w:val="center"/>
          </w:tcPr>
          <w:p>
            <w:pPr>
              <w:adjustRightInd w:val="0"/>
              <w:snapToGrid w:val="0"/>
              <w:jc w:val="center"/>
              <w:rPr>
                <w:rFonts w:ascii="Times New Roman"/>
                <w:color w:val="auto"/>
                <w:sz w:val="21"/>
                <w:szCs w:val="21"/>
              </w:rPr>
            </w:pPr>
            <w:r>
              <w:rPr>
                <w:rFonts w:hint="eastAsia" w:ascii="Times New Roman"/>
                <w:color w:val="auto"/>
                <w:sz w:val="21"/>
                <w:szCs w:val="21"/>
              </w:rPr>
              <w:t>NE</w:t>
            </w:r>
          </w:p>
        </w:tc>
        <w:tc>
          <w:tcPr>
            <w:tcW w:w="954"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2330-2506</w:t>
            </w:r>
          </w:p>
        </w:tc>
      </w:tr>
    </w:tbl>
    <w:p>
      <w:pPr>
        <w:keepNext/>
        <w:spacing w:beforeLines="50" w:line="0" w:lineRule="atLeast"/>
        <w:jc w:val="center"/>
        <w:rPr>
          <w:rFonts w:ascii="Times New Roman" w:eastAsia="宋体"/>
          <w:color w:val="auto"/>
          <w:highlight w:val="yellow"/>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2</w:t>
      </w:r>
      <w:r>
        <w:rPr>
          <w:rFonts w:ascii="Times New Roman" w:eastAsia="宋体"/>
          <w:b/>
          <w:bCs/>
          <w:color w:val="auto"/>
          <w:spacing w:val="-2"/>
          <w:kern w:val="10"/>
          <w:sz w:val="21"/>
          <w:szCs w:val="21"/>
          <w:lang w:bidi="he-IL"/>
        </w:rPr>
        <w:t>.</w:t>
      </w:r>
      <w:r>
        <w:rPr>
          <w:rFonts w:hint="eastAsia" w:ascii="Times New Roman" w:eastAsia="宋体"/>
          <w:b/>
          <w:bCs/>
          <w:color w:val="auto"/>
          <w:spacing w:val="-2"/>
          <w:kern w:val="10"/>
          <w:sz w:val="21"/>
          <w:szCs w:val="21"/>
          <w:lang w:bidi="he-IL"/>
        </w:rPr>
        <w:t>9</w:t>
      </w:r>
      <w:r>
        <w:rPr>
          <w:rFonts w:ascii="Times New Roman" w:eastAsia="宋体"/>
          <w:b/>
          <w:bCs/>
          <w:color w:val="auto"/>
          <w:spacing w:val="-2"/>
          <w:kern w:val="10"/>
          <w:sz w:val="21"/>
          <w:szCs w:val="21"/>
          <w:lang w:bidi="he-IL"/>
        </w:rPr>
        <w:t>-</w:t>
      </w:r>
      <w:r>
        <w:rPr>
          <w:rFonts w:hint="eastAsia" w:ascii="Times New Roman" w:eastAsia="宋体"/>
          <w:b/>
          <w:bCs/>
          <w:color w:val="auto"/>
          <w:spacing w:val="-2"/>
          <w:kern w:val="10"/>
          <w:sz w:val="21"/>
          <w:szCs w:val="21"/>
          <w:lang w:bidi="he-IL"/>
        </w:rPr>
        <w:t>2</w:t>
      </w:r>
      <w:r>
        <w:rPr>
          <w:rFonts w:ascii="Times New Roman" w:eastAsia="宋体"/>
          <w:b/>
          <w:bCs/>
          <w:color w:val="auto"/>
          <w:spacing w:val="-2"/>
          <w:kern w:val="10"/>
          <w:sz w:val="21"/>
          <w:szCs w:val="21"/>
          <w:lang w:bidi="he-IL"/>
        </w:rPr>
        <w:t>环境保护目标一览表</w:t>
      </w:r>
    </w:p>
    <w:tbl>
      <w:tblPr>
        <w:tblStyle w:val="47"/>
        <w:tblW w:w="92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27"/>
        <w:gridCol w:w="1061"/>
        <w:gridCol w:w="975"/>
        <w:gridCol w:w="945"/>
        <w:gridCol w:w="1065"/>
        <w:gridCol w:w="930"/>
        <w:gridCol w:w="32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027"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环境</w:t>
            </w:r>
          </w:p>
          <w:p>
            <w:pPr>
              <w:adjustRightInd w:val="0"/>
              <w:snapToGrid w:val="0"/>
              <w:jc w:val="center"/>
              <w:rPr>
                <w:rFonts w:ascii="Times New Roman" w:eastAsia="宋体"/>
                <w:color w:val="auto"/>
                <w:sz w:val="21"/>
                <w:szCs w:val="21"/>
              </w:rPr>
            </w:pPr>
            <w:r>
              <w:rPr>
                <w:rFonts w:ascii="Times New Roman" w:eastAsia="宋体"/>
                <w:color w:val="auto"/>
                <w:sz w:val="21"/>
                <w:szCs w:val="21"/>
              </w:rPr>
              <w:t>要素</w:t>
            </w:r>
          </w:p>
        </w:tc>
        <w:tc>
          <w:tcPr>
            <w:tcW w:w="1061"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保护目标名称</w:t>
            </w:r>
          </w:p>
        </w:tc>
        <w:tc>
          <w:tcPr>
            <w:tcW w:w="975"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相对</w:t>
            </w:r>
          </w:p>
          <w:p>
            <w:pPr>
              <w:adjustRightInd w:val="0"/>
              <w:snapToGrid w:val="0"/>
              <w:jc w:val="center"/>
              <w:rPr>
                <w:rFonts w:ascii="Times New Roman" w:eastAsia="宋体"/>
                <w:color w:val="auto"/>
                <w:sz w:val="21"/>
                <w:szCs w:val="21"/>
              </w:rPr>
            </w:pPr>
            <w:r>
              <w:rPr>
                <w:rFonts w:ascii="Times New Roman" w:eastAsia="宋体"/>
                <w:color w:val="auto"/>
                <w:sz w:val="21"/>
                <w:szCs w:val="21"/>
              </w:rPr>
              <w:t>方位</w:t>
            </w:r>
          </w:p>
        </w:tc>
        <w:tc>
          <w:tcPr>
            <w:tcW w:w="945"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相对</w:t>
            </w:r>
          </w:p>
          <w:p>
            <w:pPr>
              <w:adjustRightInd w:val="0"/>
              <w:snapToGrid w:val="0"/>
              <w:jc w:val="center"/>
              <w:rPr>
                <w:rFonts w:ascii="Times New Roman" w:eastAsia="宋体"/>
                <w:color w:val="auto"/>
                <w:sz w:val="21"/>
                <w:szCs w:val="21"/>
              </w:rPr>
            </w:pPr>
            <w:r>
              <w:rPr>
                <w:rFonts w:ascii="Times New Roman" w:eastAsia="宋体"/>
                <w:color w:val="auto"/>
                <w:sz w:val="21"/>
                <w:szCs w:val="21"/>
              </w:rPr>
              <w:t>距离</w:t>
            </w:r>
          </w:p>
        </w:tc>
        <w:tc>
          <w:tcPr>
            <w:tcW w:w="1065"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规模</w:t>
            </w:r>
          </w:p>
        </w:tc>
        <w:tc>
          <w:tcPr>
            <w:tcW w:w="930"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功能</w:t>
            </w:r>
          </w:p>
        </w:tc>
        <w:tc>
          <w:tcPr>
            <w:tcW w:w="3245"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保护级别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027"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地表水</w:t>
            </w:r>
            <w:r>
              <w:rPr>
                <w:rFonts w:hint="eastAsia" w:ascii="Times New Roman" w:eastAsia="宋体"/>
                <w:color w:val="auto"/>
                <w:sz w:val="21"/>
                <w:szCs w:val="21"/>
              </w:rPr>
              <w:t>环境</w:t>
            </w:r>
          </w:p>
        </w:tc>
        <w:tc>
          <w:tcPr>
            <w:tcW w:w="1061" w:type="dxa"/>
            <w:tcBorders>
              <w:tl2br w:val="nil"/>
              <w:tr2bl w:val="nil"/>
            </w:tcBorders>
            <w:vAlign w:val="center"/>
          </w:tcPr>
          <w:p>
            <w:pPr>
              <w:adjustRightInd w:val="0"/>
              <w:snapToGrid w:val="0"/>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水塘</w:t>
            </w:r>
          </w:p>
        </w:tc>
        <w:tc>
          <w:tcPr>
            <w:tcW w:w="975" w:type="dxa"/>
            <w:tcBorders>
              <w:tl2br w:val="nil"/>
              <w:tr2bl w:val="nil"/>
            </w:tcBorders>
            <w:vAlign w:val="center"/>
          </w:tcPr>
          <w:p>
            <w:pPr>
              <w:adjustRightInd w:val="0"/>
              <w:snapToGrid w:val="0"/>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w</w:t>
            </w:r>
          </w:p>
        </w:tc>
        <w:tc>
          <w:tcPr>
            <w:tcW w:w="945"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lang w:val="en-US" w:eastAsia="zh-CN"/>
              </w:rPr>
              <w:t>0</w:t>
            </w:r>
            <w:r>
              <w:rPr>
                <w:rFonts w:hint="eastAsia" w:ascii="Times New Roman" w:eastAsia="宋体"/>
                <w:color w:val="auto"/>
                <w:sz w:val="21"/>
                <w:szCs w:val="21"/>
              </w:rPr>
              <w:t>m</w:t>
            </w:r>
          </w:p>
        </w:tc>
        <w:tc>
          <w:tcPr>
            <w:tcW w:w="1065" w:type="dxa"/>
            <w:tcBorders>
              <w:tl2br w:val="nil"/>
              <w:tr2bl w:val="nil"/>
            </w:tcBorders>
            <w:vAlign w:val="center"/>
          </w:tcPr>
          <w:p>
            <w:pPr>
              <w:adjustRightInd w:val="0"/>
              <w:snapToGrid w:val="0"/>
              <w:jc w:val="center"/>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w:t>
            </w:r>
          </w:p>
        </w:tc>
        <w:tc>
          <w:tcPr>
            <w:tcW w:w="930"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Ⅲ</w:t>
            </w:r>
            <w:r>
              <w:rPr>
                <w:rFonts w:ascii="Times New Roman" w:eastAsia="宋体"/>
                <w:color w:val="auto"/>
                <w:sz w:val="21"/>
                <w:szCs w:val="21"/>
              </w:rPr>
              <w:t>类</w:t>
            </w:r>
          </w:p>
        </w:tc>
        <w:tc>
          <w:tcPr>
            <w:tcW w:w="3245"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《地表水环境质量标准》（GB3838-2002）</w:t>
            </w:r>
            <w:r>
              <w:rPr>
                <w:rFonts w:hint="eastAsia" w:ascii="Times New Roman" w:eastAsia="宋体"/>
                <w:color w:val="auto"/>
                <w:sz w:val="21"/>
                <w:szCs w:val="21"/>
              </w:rPr>
              <w:t>Ⅲ</w:t>
            </w:r>
            <w:r>
              <w:rPr>
                <w:rFonts w:ascii="Times New Roman" w:eastAsia="宋体"/>
                <w:color w:val="auto"/>
                <w:sz w:val="21"/>
                <w:szCs w:val="21"/>
              </w:rPr>
              <w:t>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027" w:type="dxa"/>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土壤环境</w:t>
            </w:r>
          </w:p>
        </w:tc>
        <w:tc>
          <w:tcPr>
            <w:tcW w:w="4976" w:type="dxa"/>
            <w:gridSpan w:val="5"/>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厂界外0.05km范围内</w:t>
            </w:r>
          </w:p>
        </w:tc>
        <w:tc>
          <w:tcPr>
            <w:tcW w:w="3245"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《土壤环境质量标准农用地土壤污染风险管控标准（试行）》(GB15618-2018）中表1农用地土壤污染风险筛选值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027" w:type="dxa"/>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声环境</w:t>
            </w:r>
          </w:p>
        </w:tc>
        <w:tc>
          <w:tcPr>
            <w:tcW w:w="4976" w:type="dxa"/>
            <w:gridSpan w:val="5"/>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WS 19</w:t>
            </w:r>
            <w:r>
              <w:rPr>
                <w:rFonts w:hint="eastAsia" w:ascii="Times New Roman" w:eastAsia="宋体"/>
                <w:color w:val="auto"/>
                <w:sz w:val="21"/>
                <w:szCs w:val="21"/>
                <w:lang w:val="en-US" w:eastAsia="zh-CN"/>
              </w:rPr>
              <w:t>0</w:t>
            </w:r>
            <w:r>
              <w:rPr>
                <w:rFonts w:hint="eastAsia" w:ascii="Times New Roman" w:eastAsia="宋体"/>
                <w:color w:val="auto"/>
                <w:sz w:val="21"/>
                <w:szCs w:val="21"/>
              </w:rPr>
              <w:t>m袁家屋，一栋居民（砖混结构、朝南、2层），周边为耕地</w:t>
            </w:r>
          </w:p>
        </w:tc>
        <w:tc>
          <w:tcPr>
            <w:tcW w:w="3245"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（GB3096-2008）2类标准</w:t>
            </w:r>
          </w:p>
        </w:tc>
      </w:tr>
    </w:tbl>
    <w:p>
      <w:pPr>
        <w:pStyle w:val="231"/>
        <w:pBdr>
          <w:top w:val="none" w:color="000000" w:sz="0" w:space="0"/>
        </w:pBdr>
        <w:ind w:left="0" w:leftChars="0" w:firstLine="0" w:firstLineChars="0"/>
        <w:rPr>
          <w:color w:val="auto"/>
        </w:rPr>
        <w:sectPr>
          <w:pgSz w:w="11906" w:h="16838"/>
          <w:pgMar w:top="1440" w:right="1803" w:bottom="1440" w:left="1803" w:header="850" w:footer="992" w:gutter="0"/>
          <w:pgNumType w:fmt="decimal"/>
          <w:cols w:space="720" w:num="1"/>
          <w:docGrid w:type="linesAndChars" w:linePitch="319" w:charSpace="1724"/>
        </w:sectPr>
      </w:pPr>
    </w:p>
    <w:p>
      <w:pPr>
        <w:pStyle w:val="34"/>
        <w:rPr>
          <w:rFonts w:ascii="Times New Roman"/>
          <w:color w:val="auto"/>
        </w:rPr>
        <w:sectPr>
          <w:type w:val="continuous"/>
          <w:pgSz w:w="11906" w:h="16838"/>
          <w:pgMar w:top="1440" w:right="1803" w:bottom="1440" w:left="1803" w:header="850" w:footer="992" w:gutter="0"/>
          <w:pgNumType w:fmt="decimal"/>
          <w:cols w:space="720" w:num="1"/>
          <w:docGrid w:type="linesAndChars" w:linePitch="319" w:charSpace="1724"/>
        </w:sectPr>
      </w:pPr>
    </w:p>
    <w:p>
      <w:pPr>
        <w:pStyle w:val="2"/>
        <w:numPr>
          <w:ilvl w:val="0"/>
          <w:numId w:val="0"/>
        </w:numPr>
        <w:tabs>
          <w:tab w:val="clear" w:pos="432"/>
        </w:tabs>
        <w:spacing w:before="0" w:after="0" w:line="360" w:lineRule="auto"/>
        <w:rPr>
          <w:rFonts w:ascii="Times New Roman" w:eastAsia="宋体"/>
          <w:color w:val="auto"/>
          <w:sz w:val="36"/>
          <w:szCs w:val="36"/>
        </w:rPr>
      </w:pPr>
      <w:bookmarkStart w:id="140" w:name="_Toc117907430"/>
      <w:bookmarkStart w:id="141" w:name="_Toc61594351"/>
      <w:bookmarkStart w:id="142" w:name="_Toc68225998"/>
      <w:bookmarkStart w:id="143" w:name="_Toc517508961"/>
      <w:bookmarkStart w:id="144" w:name="_Toc131729480"/>
      <w:bookmarkStart w:id="145" w:name="_Toc110497397"/>
      <w:bookmarkStart w:id="146" w:name="_Toc110560404"/>
      <w:bookmarkStart w:id="147" w:name="_Toc129928038"/>
      <w:bookmarkStart w:id="148" w:name="_Toc114533193"/>
      <w:bookmarkStart w:id="149" w:name="_Toc131320023"/>
      <w:bookmarkStart w:id="150" w:name="_Toc514663647"/>
      <w:bookmarkStart w:id="151" w:name="_Toc94083028"/>
      <w:bookmarkStart w:id="152" w:name="_Toc101506549"/>
      <w:bookmarkStart w:id="153" w:name="_Toc131321076"/>
      <w:bookmarkStart w:id="154" w:name="_Toc69529732"/>
      <w:bookmarkStart w:id="155" w:name="_Toc62007702"/>
      <w:bookmarkStart w:id="156" w:name="_Toc101506752"/>
      <w:bookmarkStart w:id="157" w:name="_Toc502152332"/>
      <w:bookmarkStart w:id="158" w:name="_Toc502152537"/>
      <w:bookmarkStart w:id="159" w:name="_Toc94082801"/>
      <w:bookmarkStart w:id="160" w:name="_Toc136433469"/>
      <w:bookmarkStart w:id="161" w:name="_Toc117865876"/>
      <w:bookmarkStart w:id="162" w:name="_Toc200853388"/>
      <w:bookmarkStart w:id="163" w:name="_Toc110751138"/>
      <w:bookmarkStart w:id="164" w:name="_Toc502151430"/>
      <w:bookmarkStart w:id="165" w:name="_Toc68223004"/>
      <w:bookmarkStart w:id="166" w:name="_Toc93214065"/>
      <w:bookmarkStart w:id="167" w:name="_Toc200850815"/>
      <w:bookmarkStart w:id="168" w:name="_Toc92443756"/>
      <w:bookmarkStart w:id="169" w:name="_Toc502151944"/>
      <w:bookmarkStart w:id="170" w:name="_Toc110496847"/>
      <w:bookmarkStart w:id="171" w:name="_Toc283035996"/>
      <w:bookmarkStart w:id="172" w:name="_Toc519907124"/>
      <w:bookmarkStart w:id="173" w:name="_Toc514663181"/>
      <w:bookmarkStart w:id="174" w:name="_Toc68223224"/>
      <w:bookmarkStart w:id="175" w:name="_Toc102363795"/>
      <w:bookmarkStart w:id="176" w:name="_Toc101757726"/>
      <w:bookmarkStart w:id="177" w:name="_Toc131729552"/>
      <w:bookmarkStart w:id="178" w:name="_Toc136162573"/>
      <w:bookmarkStart w:id="179" w:name="_Toc69627069"/>
      <w:bookmarkStart w:id="180" w:name="_Toc62006631"/>
      <w:bookmarkStart w:id="181" w:name="_Toc110497194"/>
      <w:bookmarkStart w:id="182" w:name="_Toc502212554"/>
      <w:bookmarkStart w:id="183" w:name="_Toc62006989"/>
      <w:bookmarkStart w:id="184" w:name="_Toc114534116"/>
      <w:bookmarkStart w:id="185" w:name="_Toc61426112"/>
      <w:bookmarkStart w:id="186" w:name="_Toc502153066"/>
      <w:bookmarkStart w:id="187" w:name="_Toc27915"/>
      <w:bookmarkStart w:id="188" w:name="_Toc21861"/>
      <w:bookmarkStart w:id="189" w:name="_Toc21006"/>
      <w:bookmarkStart w:id="190" w:name="_Toc27505"/>
      <w:bookmarkStart w:id="191" w:name="_Toc397698050"/>
      <w:bookmarkStart w:id="192" w:name="_Toc397698051"/>
      <w:r>
        <w:rPr>
          <w:rFonts w:hint="eastAsia" w:ascii="Times New Roman" w:eastAsia="宋体"/>
          <w:color w:val="auto"/>
          <w:sz w:val="36"/>
          <w:szCs w:val="36"/>
        </w:rPr>
        <w:t>3</w:t>
      </w:r>
      <w:r>
        <w:rPr>
          <w:rFonts w:ascii="Times New Roman" w:eastAsia="宋体"/>
          <w:color w:val="auto"/>
          <w:sz w:val="36"/>
          <w:szCs w:val="36"/>
        </w:rPr>
        <w:t>项目</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Pr>
          <w:rFonts w:hint="eastAsia" w:ascii="Times New Roman" w:eastAsia="宋体"/>
          <w:color w:val="auto"/>
          <w:sz w:val="36"/>
          <w:szCs w:val="36"/>
        </w:rPr>
        <w:t>概况及</w:t>
      </w:r>
      <w:r>
        <w:rPr>
          <w:rFonts w:ascii="Times New Roman" w:eastAsia="宋体"/>
          <w:color w:val="auto"/>
          <w:sz w:val="36"/>
          <w:szCs w:val="36"/>
        </w:rPr>
        <w:t>工程分析</w:t>
      </w:r>
      <w:bookmarkEnd w:id="187"/>
      <w:bookmarkEnd w:id="188"/>
      <w:bookmarkEnd w:id="189"/>
      <w:bookmarkEnd w:id="190"/>
      <w:r>
        <w:rPr>
          <w:rFonts w:hint="eastAsia" w:ascii="Times New Roman" w:eastAsia="宋体"/>
          <w:color w:val="auto"/>
          <w:sz w:val="36"/>
          <w:szCs w:val="36"/>
        </w:rPr>
        <w:t xml:space="preserve"> </w:t>
      </w:r>
    </w:p>
    <w:bookmarkEnd w:id="191"/>
    <w:bookmarkEnd w:id="192"/>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193" w:name="_Toc62006632"/>
      <w:bookmarkStart w:id="194" w:name="_Toc92443757"/>
      <w:bookmarkStart w:id="195" w:name="_Toc502151945"/>
      <w:bookmarkStart w:id="196" w:name="_Toc94082802"/>
      <w:bookmarkStart w:id="197" w:name="_Toc61594352"/>
      <w:bookmarkStart w:id="198" w:name="_Toc101506753"/>
      <w:bookmarkStart w:id="199" w:name="_Toc68223005"/>
      <w:bookmarkStart w:id="200" w:name="_Toc69529733"/>
      <w:bookmarkStart w:id="201" w:name="_Toc502151431"/>
      <w:bookmarkStart w:id="202" w:name="_Toc514663188"/>
      <w:bookmarkStart w:id="203" w:name="_Toc502152333"/>
      <w:bookmarkStart w:id="204" w:name="_Toc502212555"/>
      <w:bookmarkStart w:id="205" w:name="_Toc69627070"/>
      <w:bookmarkStart w:id="206" w:name="_Toc102363796"/>
      <w:bookmarkStart w:id="207" w:name="_Toc101506550"/>
      <w:bookmarkStart w:id="208" w:name="_Toc101757727"/>
      <w:bookmarkStart w:id="209" w:name="_Toc68223225"/>
      <w:bookmarkStart w:id="210" w:name="_Toc502153067"/>
      <w:bookmarkStart w:id="211" w:name="_Toc514663654"/>
      <w:bookmarkStart w:id="212" w:name="_Toc519907125"/>
      <w:bookmarkStart w:id="213" w:name="_Toc93214066"/>
      <w:bookmarkStart w:id="214" w:name="_Toc94083029"/>
      <w:bookmarkStart w:id="215" w:name="_Toc61426113"/>
      <w:bookmarkStart w:id="216" w:name="_Toc62006990"/>
      <w:bookmarkStart w:id="217" w:name="_Toc68225999"/>
      <w:bookmarkStart w:id="218" w:name="_Toc517508962"/>
      <w:bookmarkStart w:id="219" w:name="_Toc62007703"/>
      <w:bookmarkStart w:id="220" w:name="_Toc502152538"/>
      <w:bookmarkStart w:id="221" w:name="_Toc200853389"/>
      <w:bookmarkStart w:id="222" w:name="_Toc117907432"/>
      <w:bookmarkStart w:id="223" w:name="_Toc110497195"/>
      <w:bookmarkStart w:id="224" w:name="_Toc110751139"/>
      <w:bookmarkStart w:id="225" w:name="_Toc131729553"/>
      <w:bookmarkStart w:id="226" w:name="_Toc110560405"/>
      <w:bookmarkStart w:id="227" w:name="_Toc131321077"/>
      <w:bookmarkStart w:id="228" w:name="_Toc30950"/>
      <w:bookmarkStart w:id="229" w:name="_Toc28440"/>
      <w:bookmarkStart w:id="230" w:name="_Toc114534118"/>
      <w:bookmarkStart w:id="231" w:name="_Toc129928040"/>
      <w:bookmarkStart w:id="232" w:name="_Toc117865878"/>
      <w:bookmarkStart w:id="233" w:name="_Toc283035997"/>
      <w:bookmarkStart w:id="234" w:name="_Toc110497398"/>
      <w:bookmarkStart w:id="235" w:name="_Toc110496848"/>
      <w:bookmarkStart w:id="236" w:name="_Toc131320024"/>
      <w:bookmarkStart w:id="237" w:name="_Toc114533195"/>
      <w:bookmarkStart w:id="238" w:name="_Toc32601"/>
      <w:bookmarkStart w:id="239" w:name="_Toc131729481"/>
      <w:bookmarkStart w:id="240" w:name="_Toc24351"/>
      <w:bookmarkStart w:id="241" w:name="_Toc136433470"/>
      <w:bookmarkStart w:id="242" w:name="_Toc136162574"/>
      <w:bookmarkStart w:id="243" w:name="_Toc200850816"/>
      <w:bookmarkStart w:id="244" w:name="_Toc397698052"/>
      <w:r>
        <w:rPr>
          <w:rFonts w:hint="eastAsia" w:ascii="Times New Roman" w:hAnsi="Times New Roman" w:eastAsia="宋体"/>
          <w:color w:val="auto"/>
          <w:kern w:val="2"/>
          <w:sz w:val="28"/>
          <w:szCs w:val="28"/>
        </w:rPr>
        <w:t>3</w:t>
      </w:r>
      <w:r>
        <w:rPr>
          <w:rFonts w:ascii="Times New Roman" w:hAnsi="Times New Roman" w:eastAsia="宋体"/>
          <w:color w:val="auto"/>
          <w:kern w:val="2"/>
          <w:sz w:val="28"/>
          <w:szCs w:val="28"/>
        </w:rPr>
        <w:t>.</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r>
        <w:rPr>
          <w:rFonts w:ascii="Times New Roman" w:hAnsi="Times New Roman" w:eastAsia="宋体"/>
          <w:color w:val="auto"/>
          <w:kern w:val="2"/>
          <w:sz w:val="28"/>
          <w:szCs w:val="28"/>
        </w:rPr>
        <w:t>1建设项目概况</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pPr>
        <w:pStyle w:val="4"/>
        <w:spacing w:before="0" w:after="0" w:line="360" w:lineRule="auto"/>
        <w:rPr>
          <w:rFonts w:ascii="Times New Roman" w:eastAsia="宋体"/>
          <w:b/>
          <w:bCs/>
          <w:color w:val="auto"/>
          <w:kern w:val="2"/>
          <w:sz w:val="24"/>
        </w:rPr>
      </w:pPr>
      <w:bookmarkStart w:id="245" w:name="_Toc502151432"/>
      <w:bookmarkStart w:id="246" w:name="_Toc62006633"/>
      <w:bookmarkStart w:id="247" w:name="_Toc514663189"/>
      <w:bookmarkStart w:id="248" w:name="_Toc68223006"/>
      <w:bookmarkStart w:id="249" w:name="_Toc101757728"/>
      <w:bookmarkStart w:id="250" w:name="_Toc61594353"/>
      <w:bookmarkStart w:id="251" w:name="_Toc68226000"/>
      <w:bookmarkStart w:id="252" w:name="_Toc502153068"/>
      <w:bookmarkStart w:id="253" w:name="_Toc62006991"/>
      <w:bookmarkStart w:id="254" w:name="_Toc110560406"/>
      <w:bookmarkStart w:id="255" w:name="_Toc502152539"/>
      <w:bookmarkStart w:id="256" w:name="_Toc502151946"/>
      <w:bookmarkStart w:id="257" w:name="_Toc110497196"/>
      <w:bookmarkStart w:id="258" w:name="_Toc519907126"/>
      <w:bookmarkStart w:id="259" w:name="_Toc200850817"/>
      <w:bookmarkStart w:id="260" w:name="_Toc517508963"/>
      <w:bookmarkStart w:id="261" w:name="_Toc502152334"/>
      <w:bookmarkStart w:id="262" w:name="_Toc61426114"/>
      <w:bookmarkStart w:id="263" w:name="_Toc102363797"/>
      <w:bookmarkStart w:id="264" w:name="_Toc101506551"/>
      <w:bookmarkStart w:id="265" w:name="_Toc94083030"/>
      <w:bookmarkStart w:id="266" w:name="_Toc110751140"/>
      <w:bookmarkStart w:id="267" w:name="_Toc502212556"/>
      <w:bookmarkStart w:id="268" w:name="_Toc93214067"/>
      <w:bookmarkStart w:id="269" w:name="_Toc92443758"/>
      <w:bookmarkStart w:id="270" w:name="_Toc110496849"/>
      <w:bookmarkStart w:id="271" w:name="_Toc110497399"/>
      <w:bookmarkStart w:id="272" w:name="_Toc514663655"/>
      <w:bookmarkStart w:id="273" w:name="_Toc69627071"/>
      <w:bookmarkStart w:id="274" w:name="_Toc68223226"/>
      <w:bookmarkStart w:id="275" w:name="_Toc101506754"/>
      <w:bookmarkStart w:id="276" w:name="_Toc69529734"/>
      <w:bookmarkStart w:id="277" w:name="_Toc62007704"/>
      <w:bookmarkStart w:id="278" w:name="_Toc94082803"/>
      <w:bookmarkStart w:id="279" w:name="_Toc12241"/>
      <w:r>
        <w:rPr>
          <w:rFonts w:hint="eastAsia" w:ascii="Times New Roman" w:eastAsia="宋体"/>
          <w:b/>
          <w:bCs/>
          <w:color w:val="auto"/>
          <w:kern w:val="2"/>
          <w:sz w:val="24"/>
        </w:rPr>
        <w:t>3</w:t>
      </w:r>
      <w:r>
        <w:rPr>
          <w:rFonts w:ascii="Times New Roman" w:eastAsia="宋体"/>
          <w:b/>
          <w:bCs/>
          <w:color w:val="auto"/>
          <w:kern w:val="2"/>
          <w:sz w:val="24"/>
        </w:rPr>
        <w:t>.1.</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r>
        <w:rPr>
          <w:rFonts w:ascii="Times New Roman" w:eastAsia="宋体"/>
          <w:b/>
          <w:bCs/>
          <w:color w:val="auto"/>
          <w:kern w:val="2"/>
          <w:sz w:val="24"/>
        </w:rPr>
        <w:t>1建设项目基本情况</w:t>
      </w:r>
      <w:bookmarkEnd w:id="279"/>
    </w:p>
    <w:p>
      <w:pPr>
        <w:numPr>
          <w:ilvl w:val="0"/>
          <w:numId w:val="6"/>
        </w:numPr>
        <w:spacing w:line="360" w:lineRule="auto"/>
        <w:ind w:firstLine="496" w:firstLineChars="200"/>
        <w:rPr>
          <w:rFonts w:ascii="Times New Roman" w:eastAsia="宋体"/>
          <w:color w:val="auto"/>
        </w:rPr>
      </w:pPr>
      <w:r>
        <w:rPr>
          <w:rFonts w:ascii="Times New Roman" w:eastAsia="宋体"/>
          <w:color w:val="auto"/>
        </w:rPr>
        <w:t>项目名称：</w:t>
      </w:r>
      <w:r>
        <w:rPr>
          <w:rFonts w:hint="eastAsia" w:ascii="Times New Roman" w:eastAsia="宋体"/>
          <w:color w:val="auto"/>
        </w:rPr>
        <w:t>岳阳湘佳牧业有限公司桃源肉鸡养殖场（年出栏100万羽）建设项目</w:t>
      </w:r>
    </w:p>
    <w:p>
      <w:pPr>
        <w:spacing w:line="360" w:lineRule="auto"/>
        <w:ind w:firstLine="496" w:firstLineChars="200"/>
        <w:rPr>
          <w:rFonts w:ascii="Times New Roman" w:eastAsia="宋体"/>
          <w:color w:val="auto"/>
        </w:rPr>
      </w:pPr>
      <w:r>
        <w:rPr>
          <w:rFonts w:ascii="Times New Roman" w:eastAsia="宋体"/>
          <w:color w:val="auto"/>
        </w:rPr>
        <w:t>（2）建设单位：</w:t>
      </w:r>
      <w:r>
        <w:rPr>
          <w:rFonts w:hint="eastAsia" w:ascii="Times New Roman" w:eastAsia="宋体"/>
          <w:color w:val="auto"/>
        </w:rPr>
        <w:t>岳阳湘佳牧业有限公司</w:t>
      </w:r>
    </w:p>
    <w:p>
      <w:pPr>
        <w:spacing w:line="360" w:lineRule="auto"/>
        <w:ind w:firstLine="496" w:firstLineChars="200"/>
        <w:rPr>
          <w:rFonts w:ascii="Times New Roman" w:eastAsia="宋体"/>
          <w:color w:val="auto"/>
        </w:rPr>
      </w:pPr>
      <w:r>
        <w:rPr>
          <w:rFonts w:ascii="Times New Roman" w:eastAsia="宋体"/>
          <w:color w:val="auto"/>
        </w:rPr>
        <w:t>（3）建设地点：</w:t>
      </w:r>
      <w:r>
        <w:rPr>
          <w:rFonts w:hint="eastAsia" w:ascii="Times New Roman" w:eastAsia="宋体"/>
          <w:color w:val="auto"/>
        </w:rPr>
        <w:t>湖南省岳阳市岳阳县新墙镇新华村桃源片（中心地理坐标E：113.177967，N：29.095563）</w:t>
      </w:r>
    </w:p>
    <w:p>
      <w:pPr>
        <w:spacing w:line="360" w:lineRule="auto"/>
        <w:ind w:firstLine="482"/>
        <w:rPr>
          <w:rFonts w:ascii="Times New Roman" w:eastAsia="宋体"/>
          <w:color w:val="auto"/>
        </w:rPr>
      </w:pPr>
      <w:r>
        <w:rPr>
          <w:rFonts w:hint="eastAsia" w:ascii="Times New Roman" w:eastAsia="宋体"/>
          <w:color w:val="auto"/>
        </w:rPr>
        <w:t>（4）</w:t>
      </w:r>
      <w:r>
        <w:rPr>
          <w:rFonts w:ascii="Times New Roman" w:eastAsia="宋体"/>
          <w:color w:val="auto"/>
        </w:rPr>
        <w:t>建设性质：新建</w:t>
      </w:r>
      <w:r>
        <w:rPr>
          <w:rFonts w:hint="eastAsia" w:ascii="Times New Roman" w:eastAsia="宋体"/>
          <w:color w:val="auto"/>
        </w:rPr>
        <w:t xml:space="preserve"> </w:t>
      </w:r>
    </w:p>
    <w:p>
      <w:pPr>
        <w:spacing w:line="360" w:lineRule="auto"/>
        <w:ind w:firstLine="496" w:firstLineChars="200"/>
        <w:rPr>
          <w:rFonts w:ascii="Times New Roman" w:eastAsia="宋体"/>
          <w:color w:val="auto"/>
        </w:rPr>
      </w:pPr>
      <w:r>
        <w:rPr>
          <w:rFonts w:ascii="Times New Roman" w:eastAsia="宋体"/>
          <w:color w:val="auto"/>
        </w:rPr>
        <w:t>（</w:t>
      </w:r>
      <w:r>
        <w:rPr>
          <w:rFonts w:hint="eastAsia" w:ascii="Times New Roman" w:eastAsia="宋体"/>
          <w:color w:val="auto"/>
        </w:rPr>
        <w:t>5</w:t>
      </w:r>
      <w:r>
        <w:rPr>
          <w:rFonts w:ascii="Times New Roman" w:eastAsia="宋体"/>
          <w:color w:val="auto"/>
        </w:rPr>
        <w:t>）</w:t>
      </w:r>
      <w:r>
        <w:rPr>
          <w:rFonts w:hint="eastAsia" w:ascii="Times New Roman" w:eastAsia="宋体"/>
          <w:color w:val="auto"/>
        </w:rPr>
        <w:t>生产</w:t>
      </w:r>
      <w:r>
        <w:rPr>
          <w:rFonts w:ascii="Times New Roman" w:eastAsia="宋体"/>
          <w:color w:val="auto"/>
        </w:rPr>
        <w:t>规模：常年存栏量</w:t>
      </w:r>
      <w:r>
        <w:rPr>
          <w:rFonts w:hint="eastAsia" w:ascii="Times New Roman" w:eastAsia="宋体"/>
          <w:color w:val="auto"/>
        </w:rPr>
        <w:t>25万羽</w:t>
      </w:r>
      <w:r>
        <w:rPr>
          <w:rFonts w:ascii="Times New Roman" w:eastAsia="宋体"/>
          <w:color w:val="auto"/>
        </w:rPr>
        <w:t>，年出栏商品肉鸡</w:t>
      </w:r>
      <w:r>
        <w:rPr>
          <w:rFonts w:hint="eastAsia" w:ascii="Times New Roman" w:eastAsia="宋体"/>
          <w:color w:val="auto"/>
        </w:rPr>
        <w:t>100万羽，一年出栏四次</w:t>
      </w:r>
      <w:r>
        <w:rPr>
          <w:rFonts w:ascii="Times New Roman" w:eastAsia="宋体"/>
          <w:color w:val="auto"/>
        </w:rPr>
        <w:t>。</w:t>
      </w:r>
    </w:p>
    <w:p>
      <w:pPr>
        <w:spacing w:line="360" w:lineRule="auto"/>
        <w:ind w:firstLine="496" w:firstLineChars="200"/>
        <w:rPr>
          <w:rFonts w:ascii="Times New Roman" w:eastAsia="宋体"/>
          <w:color w:val="auto"/>
        </w:rPr>
      </w:pPr>
      <w:r>
        <w:rPr>
          <w:rFonts w:ascii="Times New Roman" w:eastAsia="宋体"/>
          <w:color w:val="auto"/>
        </w:rPr>
        <w:t>（</w:t>
      </w:r>
      <w:r>
        <w:rPr>
          <w:rFonts w:hint="eastAsia" w:ascii="Times New Roman" w:eastAsia="宋体"/>
          <w:color w:val="auto"/>
        </w:rPr>
        <w:t>6</w:t>
      </w:r>
      <w:r>
        <w:rPr>
          <w:rFonts w:ascii="Times New Roman" w:eastAsia="宋体"/>
          <w:color w:val="auto"/>
        </w:rPr>
        <w:t>）占地面积：</w:t>
      </w:r>
      <w:r>
        <w:rPr>
          <w:rFonts w:hint="eastAsia" w:ascii="Times New Roman" w:eastAsia="宋体"/>
          <w:color w:val="auto"/>
        </w:rPr>
        <w:t>总用地</w:t>
      </w:r>
      <w:r>
        <w:rPr>
          <w:rFonts w:ascii="Times New Roman" w:eastAsia="宋体"/>
          <w:color w:val="auto"/>
        </w:rPr>
        <w:t>面积</w:t>
      </w:r>
      <w:r>
        <w:rPr>
          <w:rFonts w:hint="eastAsia" w:ascii="Times New Roman" w:eastAsia="宋体"/>
          <w:color w:val="auto"/>
        </w:rPr>
        <w:t>43905㎡，建筑面积26000㎡；</w:t>
      </w:r>
    </w:p>
    <w:p>
      <w:pPr>
        <w:spacing w:line="360" w:lineRule="auto"/>
        <w:ind w:firstLine="496" w:firstLineChars="200"/>
        <w:rPr>
          <w:rFonts w:ascii="Times New Roman" w:eastAsia="宋体"/>
          <w:color w:val="auto"/>
        </w:rPr>
      </w:pPr>
      <w:r>
        <w:rPr>
          <w:rFonts w:ascii="Times New Roman" w:eastAsia="宋体"/>
          <w:color w:val="auto"/>
        </w:rPr>
        <w:t>（</w:t>
      </w:r>
      <w:r>
        <w:rPr>
          <w:rFonts w:hint="eastAsia" w:ascii="Times New Roman" w:eastAsia="宋体"/>
          <w:color w:val="auto"/>
        </w:rPr>
        <w:t>7</w:t>
      </w:r>
      <w:r>
        <w:rPr>
          <w:rFonts w:ascii="Times New Roman" w:eastAsia="宋体"/>
          <w:color w:val="auto"/>
        </w:rPr>
        <w:t>）投资总额：项目总投资约为</w:t>
      </w:r>
      <w:r>
        <w:rPr>
          <w:rFonts w:hint="eastAsia" w:ascii="Times New Roman" w:eastAsia="宋体"/>
          <w:color w:val="auto"/>
        </w:rPr>
        <w:t>40</w:t>
      </w:r>
      <w:r>
        <w:rPr>
          <w:rFonts w:ascii="Times New Roman" w:eastAsia="宋体"/>
          <w:color w:val="auto"/>
        </w:rPr>
        <w:t>00万元，环保投资</w:t>
      </w:r>
      <w:r>
        <w:rPr>
          <w:rFonts w:hint="eastAsia" w:ascii="Times New Roman" w:eastAsia="宋体"/>
          <w:color w:val="auto"/>
        </w:rPr>
        <w:t>200</w:t>
      </w:r>
      <w:r>
        <w:rPr>
          <w:rFonts w:ascii="Times New Roman" w:eastAsia="宋体"/>
          <w:color w:val="auto"/>
        </w:rPr>
        <w:t>万元，占总投资的</w:t>
      </w:r>
      <w:r>
        <w:rPr>
          <w:rFonts w:hint="eastAsia" w:ascii="Times New Roman" w:eastAsia="宋体"/>
          <w:color w:val="auto"/>
        </w:rPr>
        <w:t>5</w:t>
      </w:r>
      <w:r>
        <w:rPr>
          <w:rFonts w:ascii="Times New Roman" w:eastAsia="宋体"/>
          <w:color w:val="auto"/>
        </w:rPr>
        <w:t>%</w:t>
      </w:r>
      <w:r>
        <w:rPr>
          <w:rFonts w:hint="eastAsia" w:ascii="Times New Roman" w:eastAsia="宋体"/>
          <w:color w:val="auto"/>
        </w:rPr>
        <w:t>；</w:t>
      </w:r>
    </w:p>
    <w:p>
      <w:pPr>
        <w:spacing w:line="360" w:lineRule="auto"/>
        <w:ind w:firstLine="496" w:firstLineChars="200"/>
        <w:rPr>
          <w:rFonts w:ascii="Times New Roman" w:eastAsia="宋体"/>
          <w:color w:val="auto"/>
          <w:highlight w:val="yellow"/>
        </w:rPr>
      </w:pPr>
      <w:r>
        <w:rPr>
          <w:rFonts w:ascii="Times New Roman" w:eastAsia="宋体"/>
          <w:color w:val="auto"/>
        </w:rPr>
        <w:t>（</w:t>
      </w:r>
      <w:r>
        <w:rPr>
          <w:rFonts w:hint="eastAsia" w:ascii="Times New Roman" w:eastAsia="宋体"/>
          <w:color w:val="auto"/>
        </w:rPr>
        <w:t>8</w:t>
      </w:r>
      <w:r>
        <w:rPr>
          <w:rFonts w:ascii="Times New Roman" w:eastAsia="宋体"/>
          <w:color w:val="auto"/>
        </w:rPr>
        <w:t>）劳动定员及工作制度：劳动定员</w:t>
      </w:r>
      <w:r>
        <w:rPr>
          <w:rFonts w:hint="eastAsia" w:ascii="Times New Roman" w:eastAsia="宋体"/>
          <w:color w:val="auto"/>
        </w:rPr>
        <w:t>15人</w:t>
      </w:r>
      <w:r>
        <w:rPr>
          <w:rFonts w:ascii="Times New Roman" w:eastAsia="宋体"/>
          <w:color w:val="auto"/>
        </w:rPr>
        <w:t>，</w:t>
      </w:r>
      <w:r>
        <w:rPr>
          <w:rFonts w:hint="eastAsia" w:ascii="Times New Roman" w:eastAsia="宋体"/>
          <w:color w:val="auto"/>
        </w:rPr>
        <w:t>管理人员2人，</w:t>
      </w:r>
      <w:r>
        <w:rPr>
          <w:rFonts w:ascii="Times New Roman" w:eastAsia="宋体"/>
          <w:color w:val="auto"/>
        </w:rPr>
        <w:t>年工作3</w:t>
      </w:r>
      <w:r>
        <w:rPr>
          <w:rFonts w:hint="eastAsia" w:ascii="Times New Roman" w:eastAsia="宋体"/>
          <w:color w:val="auto"/>
        </w:rPr>
        <w:t>20</w:t>
      </w:r>
      <w:r>
        <w:rPr>
          <w:rFonts w:ascii="Times New Roman" w:eastAsia="宋体"/>
          <w:color w:val="auto"/>
        </w:rPr>
        <w:t>天</w:t>
      </w:r>
      <w:r>
        <w:rPr>
          <w:rFonts w:hint="eastAsia" w:ascii="Times New Roman" w:eastAsia="宋体"/>
          <w:color w:val="auto"/>
          <w:lang w:eastAsia="zh-CN"/>
        </w:rPr>
        <w:t>，</w:t>
      </w:r>
      <w:r>
        <w:rPr>
          <w:rFonts w:hint="eastAsia" w:ascii="Times New Roman" w:eastAsia="宋体"/>
          <w:color w:val="auto"/>
          <w:lang w:val="en-US" w:eastAsia="zh-CN"/>
        </w:rPr>
        <w:t>包含养殖期240天，清栏空舍期120天（期间员工休假40天</w:t>
      </w:r>
      <w:r>
        <w:rPr>
          <w:rFonts w:hint="eastAsia" w:ascii="Times New Roman" w:eastAsia="宋体"/>
          <w:color w:val="auto"/>
          <w:lang w:eastAsia="zh-CN"/>
        </w:rPr>
        <w:t>）</w:t>
      </w:r>
      <w:r>
        <w:rPr>
          <w:rFonts w:ascii="Times New Roman" w:eastAsia="宋体"/>
          <w:color w:val="auto"/>
        </w:rPr>
        <w:t>，</w:t>
      </w:r>
      <w:r>
        <w:rPr>
          <w:rFonts w:hint="eastAsia" w:ascii="Times New Roman" w:eastAsia="宋体"/>
          <w:color w:val="auto"/>
        </w:rPr>
        <w:t>按一天两班轮班制</w:t>
      </w:r>
      <w:r>
        <w:rPr>
          <w:rFonts w:ascii="Times New Roman" w:eastAsia="宋体"/>
          <w:color w:val="auto"/>
        </w:rPr>
        <w:t>。</w:t>
      </w:r>
    </w:p>
    <w:bookmarkEnd w:id="244"/>
    <w:p>
      <w:pPr>
        <w:pStyle w:val="4"/>
        <w:spacing w:before="0" w:after="0" w:line="360" w:lineRule="auto"/>
        <w:rPr>
          <w:rFonts w:ascii="Times New Roman" w:eastAsia="宋体"/>
          <w:b/>
          <w:bCs/>
          <w:color w:val="auto"/>
          <w:kern w:val="2"/>
          <w:sz w:val="24"/>
        </w:rPr>
      </w:pPr>
      <w:bookmarkStart w:id="280" w:name="_Toc2017"/>
      <w:r>
        <w:rPr>
          <w:rFonts w:hint="eastAsia" w:ascii="Times New Roman" w:eastAsia="宋体"/>
          <w:b/>
          <w:bCs/>
          <w:color w:val="auto"/>
          <w:kern w:val="2"/>
          <w:sz w:val="24"/>
        </w:rPr>
        <w:t>3</w:t>
      </w:r>
      <w:r>
        <w:rPr>
          <w:rFonts w:ascii="Times New Roman" w:eastAsia="宋体"/>
          <w:b/>
          <w:bCs/>
          <w:color w:val="auto"/>
          <w:kern w:val="2"/>
          <w:sz w:val="24"/>
        </w:rPr>
        <w:t>.1.2项目组成</w:t>
      </w:r>
      <w:bookmarkEnd w:id="280"/>
    </w:p>
    <w:p>
      <w:pPr>
        <w:spacing w:line="360" w:lineRule="auto"/>
        <w:ind w:firstLine="496" w:firstLineChars="200"/>
        <w:rPr>
          <w:rFonts w:hint="default" w:ascii="Times New Roman" w:eastAsia="宋体"/>
          <w:color w:val="auto"/>
          <w:lang w:val="en-US" w:eastAsia="zh-CN"/>
        </w:rPr>
      </w:pPr>
      <w:r>
        <w:rPr>
          <w:rFonts w:ascii="Times New Roman" w:eastAsia="宋体"/>
          <w:color w:val="auto"/>
        </w:rPr>
        <w:t>项目占地面积</w:t>
      </w:r>
      <w:r>
        <w:rPr>
          <w:rFonts w:hint="eastAsia" w:ascii="Times New Roman" w:eastAsia="宋体"/>
          <w:color w:val="auto"/>
        </w:rPr>
        <w:t>43905㎡</w:t>
      </w:r>
      <w:r>
        <w:rPr>
          <w:rFonts w:ascii="Times New Roman" w:eastAsia="宋体"/>
          <w:color w:val="auto"/>
        </w:rPr>
        <w:t>，肉鸡常年存栏量</w:t>
      </w:r>
      <w:r>
        <w:rPr>
          <w:rFonts w:hint="eastAsia" w:ascii="Times New Roman" w:eastAsia="宋体"/>
          <w:color w:val="auto"/>
        </w:rPr>
        <w:t>25万羽</w:t>
      </w:r>
      <w:r>
        <w:rPr>
          <w:rFonts w:ascii="Times New Roman" w:eastAsia="宋体"/>
          <w:color w:val="auto"/>
        </w:rPr>
        <w:t>，年出栏量</w:t>
      </w:r>
      <w:r>
        <w:rPr>
          <w:rFonts w:hint="eastAsia" w:ascii="Times New Roman" w:eastAsia="宋体"/>
          <w:color w:val="auto"/>
        </w:rPr>
        <w:t>100万羽，每年出栏四次</w:t>
      </w:r>
      <w:r>
        <w:rPr>
          <w:rFonts w:ascii="Times New Roman" w:eastAsia="宋体"/>
          <w:color w:val="auto"/>
        </w:rPr>
        <w:t>。</w:t>
      </w:r>
      <w:r>
        <w:rPr>
          <w:rFonts w:hint="eastAsia" w:ascii="Times New Roman" w:eastAsia="宋体"/>
          <w:color w:val="auto"/>
        </w:rPr>
        <w:t>建设内容包括</w:t>
      </w:r>
      <w:r>
        <w:rPr>
          <w:rFonts w:ascii="Times New Roman" w:eastAsia="宋体"/>
          <w:color w:val="auto"/>
        </w:rPr>
        <w:t>标准化鸡舍</w:t>
      </w:r>
      <w:r>
        <w:rPr>
          <w:rFonts w:hint="eastAsia" w:ascii="Times New Roman" w:eastAsia="宋体"/>
          <w:color w:val="auto"/>
        </w:rPr>
        <w:t>10</w:t>
      </w:r>
      <w:r>
        <w:rPr>
          <w:rFonts w:ascii="Times New Roman" w:eastAsia="宋体"/>
          <w:color w:val="auto"/>
        </w:rPr>
        <w:t>栋、</w:t>
      </w:r>
      <w:r>
        <w:rPr>
          <w:rFonts w:hint="eastAsia" w:ascii="Times New Roman" w:eastAsia="宋体"/>
          <w:color w:val="auto"/>
        </w:rPr>
        <w:t>综合办公</w:t>
      </w:r>
      <w:r>
        <w:rPr>
          <w:rFonts w:ascii="Times New Roman" w:eastAsia="宋体"/>
          <w:color w:val="auto"/>
        </w:rPr>
        <w:t>用房</w:t>
      </w:r>
      <w:r>
        <w:rPr>
          <w:rFonts w:hint="eastAsia" w:ascii="Times New Roman" w:eastAsia="宋体"/>
          <w:color w:val="auto"/>
        </w:rPr>
        <w:t>1</w:t>
      </w:r>
      <w:r>
        <w:rPr>
          <w:rFonts w:ascii="Times New Roman" w:eastAsia="宋体"/>
          <w:color w:val="auto"/>
        </w:rPr>
        <w:t>座</w:t>
      </w:r>
      <w:r>
        <w:rPr>
          <w:rFonts w:hint="eastAsia" w:ascii="Times New Roman" w:eastAsia="宋体"/>
          <w:color w:val="auto"/>
        </w:rPr>
        <w:t>及</w:t>
      </w:r>
      <w:r>
        <w:rPr>
          <w:rFonts w:ascii="Times New Roman" w:eastAsia="宋体"/>
          <w:color w:val="auto"/>
        </w:rPr>
        <w:t>配套设施。项目组成见表</w:t>
      </w:r>
      <w:r>
        <w:rPr>
          <w:rFonts w:hint="eastAsia" w:ascii="Times New Roman" w:eastAsia="宋体"/>
          <w:color w:val="auto"/>
        </w:rPr>
        <w:t>3</w:t>
      </w:r>
      <w:r>
        <w:rPr>
          <w:rFonts w:ascii="Times New Roman" w:eastAsia="宋体"/>
          <w:color w:val="auto"/>
        </w:rPr>
        <w:t>.</w:t>
      </w:r>
      <w:r>
        <w:rPr>
          <w:rFonts w:hint="eastAsia" w:ascii="Times New Roman" w:eastAsia="宋体"/>
          <w:color w:val="auto"/>
        </w:rPr>
        <w:t>1</w:t>
      </w:r>
      <w:r>
        <w:rPr>
          <w:rFonts w:ascii="Times New Roman" w:eastAsia="宋体"/>
          <w:color w:val="auto"/>
        </w:rPr>
        <w:t>-1。</w:t>
      </w:r>
    </w:p>
    <w:p>
      <w:pPr>
        <w:keepNext/>
        <w:spacing w:beforeLines="50" w:line="0" w:lineRule="atLeast"/>
        <w:jc w:val="center"/>
        <w:rPr>
          <w:rFonts w:ascii="Times New Roman" w:eastAsia="宋体"/>
          <w:b/>
          <w:bCs/>
          <w:color w:val="auto"/>
          <w:spacing w:val="-2"/>
          <w:kern w:val="10"/>
          <w:sz w:val="21"/>
          <w:szCs w:val="21"/>
          <w:lang w:bidi="he-IL"/>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3</w:t>
      </w:r>
      <w:r>
        <w:rPr>
          <w:rFonts w:ascii="Times New Roman" w:eastAsia="宋体"/>
          <w:b/>
          <w:bCs/>
          <w:color w:val="auto"/>
          <w:spacing w:val="-2"/>
          <w:kern w:val="10"/>
          <w:sz w:val="21"/>
          <w:szCs w:val="21"/>
          <w:lang w:bidi="he-IL"/>
        </w:rPr>
        <w:t>.</w:t>
      </w:r>
      <w:r>
        <w:rPr>
          <w:rFonts w:hint="eastAsia" w:ascii="Times New Roman" w:eastAsia="宋体"/>
          <w:b/>
          <w:bCs/>
          <w:color w:val="auto"/>
          <w:spacing w:val="-2"/>
          <w:kern w:val="10"/>
          <w:sz w:val="21"/>
          <w:szCs w:val="21"/>
          <w:lang w:bidi="he-IL"/>
        </w:rPr>
        <w:t>1</w:t>
      </w:r>
      <w:r>
        <w:rPr>
          <w:rFonts w:ascii="Times New Roman" w:eastAsia="宋体"/>
          <w:b/>
          <w:bCs/>
          <w:color w:val="auto"/>
          <w:spacing w:val="-2"/>
          <w:kern w:val="10"/>
          <w:sz w:val="21"/>
          <w:szCs w:val="21"/>
          <w:lang w:bidi="he-IL"/>
        </w:rPr>
        <w:t xml:space="preserve">-1  </w:t>
      </w:r>
      <w:r>
        <w:rPr>
          <w:rFonts w:hint="eastAsia" w:ascii="Times New Roman" w:eastAsia="宋体"/>
          <w:b/>
          <w:bCs/>
          <w:color w:val="auto"/>
          <w:spacing w:val="-2"/>
          <w:kern w:val="10"/>
          <w:sz w:val="21"/>
          <w:szCs w:val="21"/>
          <w:lang w:bidi="he-IL"/>
        </w:rPr>
        <w:t>工程</w:t>
      </w:r>
      <w:r>
        <w:rPr>
          <w:rFonts w:ascii="Times New Roman" w:eastAsia="宋体"/>
          <w:b/>
          <w:bCs/>
          <w:color w:val="auto"/>
          <w:spacing w:val="-2"/>
          <w:kern w:val="10"/>
          <w:sz w:val="21"/>
          <w:szCs w:val="21"/>
          <w:lang w:bidi="he-IL"/>
        </w:rPr>
        <w:t>项目组成</w:t>
      </w:r>
      <w:r>
        <w:rPr>
          <w:rFonts w:hint="eastAsia" w:ascii="Times New Roman" w:eastAsia="宋体"/>
          <w:b/>
          <w:bCs/>
          <w:color w:val="auto"/>
          <w:spacing w:val="-2"/>
          <w:kern w:val="10"/>
          <w:sz w:val="21"/>
          <w:szCs w:val="21"/>
          <w:lang w:bidi="he-IL"/>
        </w:rPr>
        <w:t>一览</w:t>
      </w:r>
      <w:r>
        <w:rPr>
          <w:rFonts w:ascii="Times New Roman" w:eastAsia="宋体"/>
          <w:b/>
          <w:bCs/>
          <w:color w:val="auto"/>
          <w:spacing w:val="-2"/>
          <w:kern w:val="10"/>
          <w:sz w:val="21"/>
          <w:szCs w:val="21"/>
          <w:lang w:bidi="he-IL"/>
        </w:rPr>
        <w:t>表</w:t>
      </w:r>
    </w:p>
    <w:tbl>
      <w:tblPr>
        <w:tblStyle w:val="47"/>
        <w:tblW w:w="83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35"/>
        <w:gridCol w:w="564"/>
        <w:gridCol w:w="1122"/>
        <w:gridCol w:w="47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18" w:type="dxa"/>
            <w:tcBorders>
              <w:tl2br w:val="nil"/>
              <w:tr2bl w:val="nil"/>
            </w:tcBorders>
            <w:vAlign w:val="center"/>
          </w:tcPr>
          <w:p>
            <w:pPr>
              <w:adjustRightInd w:val="0"/>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序号</w:t>
            </w:r>
          </w:p>
        </w:tc>
        <w:tc>
          <w:tcPr>
            <w:tcW w:w="1235" w:type="dxa"/>
            <w:tcBorders>
              <w:tl2br w:val="nil"/>
              <w:tr2bl w:val="nil"/>
            </w:tcBorders>
            <w:vAlign w:val="center"/>
          </w:tcPr>
          <w:p>
            <w:pPr>
              <w:adjustRightInd w:val="0"/>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工程类别</w:t>
            </w:r>
          </w:p>
        </w:tc>
        <w:tc>
          <w:tcPr>
            <w:tcW w:w="1686" w:type="dxa"/>
            <w:gridSpan w:val="2"/>
            <w:tcBorders>
              <w:tl2br w:val="nil"/>
              <w:tr2bl w:val="nil"/>
            </w:tcBorders>
            <w:vAlign w:val="center"/>
          </w:tcPr>
          <w:p>
            <w:pPr>
              <w:adjustRightInd w:val="0"/>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项目</w:t>
            </w:r>
          </w:p>
        </w:tc>
        <w:tc>
          <w:tcPr>
            <w:tcW w:w="4718" w:type="dxa"/>
            <w:tcBorders>
              <w:tl2br w:val="nil"/>
              <w:tr2bl w:val="nil"/>
            </w:tcBorders>
            <w:vAlign w:val="center"/>
          </w:tcPr>
          <w:p>
            <w:pPr>
              <w:adjustRightInd w:val="0"/>
              <w:snapToGrid w:val="0"/>
              <w:jc w:val="center"/>
              <w:rPr>
                <w:rFonts w:ascii="Times New Roman" w:eastAsia="宋体"/>
                <w:b/>
                <w:bCs/>
                <w:color w:val="auto"/>
                <w:sz w:val="21"/>
                <w:szCs w:val="21"/>
                <w:u w:val="single"/>
              </w:rPr>
            </w:pPr>
            <w:r>
              <w:rPr>
                <w:rFonts w:ascii="Times New Roman" w:eastAsia="宋体"/>
                <w:b/>
                <w:bCs/>
                <w:color w:val="auto"/>
                <w:sz w:val="21"/>
                <w:szCs w:val="21"/>
                <w:u w:val="single"/>
              </w:rPr>
              <w:t>内容及规模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1</w:t>
            </w:r>
          </w:p>
        </w:tc>
        <w:tc>
          <w:tcPr>
            <w:tcW w:w="1235"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主体工程</w:t>
            </w:r>
          </w:p>
        </w:tc>
        <w:tc>
          <w:tcPr>
            <w:tcW w:w="1686" w:type="dxa"/>
            <w:gridSpan w:val="2"/>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标准化鸡舍</w:t>
            </w:r>
          </w:p>
        </w:tc>
        <w:tc>
          <w:tcPr>
            <w:tcW w:w="4718" w:type="dxa"/>
            <w:tcBorders>
              <w:tl2br w:val="nil"/>
              <w:tr2bl w:val="nil"/>
            </w:tcBorders>
            <w:vAlign w:val="center"/>
          </w:tcPr>
          <w:p>
            <w:pPr>
              <w:ind w:left="218" w:hanging="218" w:hangingChars="100"/>
              <w:jc w:val="center"/>
              <w:rPr>
                <w:rFonts w:ascii="Times New Roman" w:eastAsia="宋体"/>
                <w:color w:val="auto"/>
                <w:sz w:val="21"/>
                <w:szCs w:val="21"/>
                <w:u w:val="single"/>
              </w:rPr>
            </w:pPr>
            <w:r>
              <w:rPr>
                <w:rFonts w:hint="eastAsia" w:ascii="Times New Roman" w:eastAsia="宋体"/>
                <w:color w:val="auto"/>
                <w:sz w:val="21"/>
                <w:szCs w:val="21"/>
                <w:u w:val="single"/>
              </w:rPr>
              <w:t>10</w:t>
            </w:r>
            <w:r>
              <w:rPr>
                <w:rFonts w:ascii="Times New Roman" w:eastAsia="宋体"/>
                <w:color w:val="auto"/>
                <w:sz w:val="21"/>
                <w:szCs w:val="21"/>
                <w:u w:val="single"/>
              </w:rPr>
              <w:t>栋，每栋长</w:t>
            </w:r>
            <w:r>
              <w:rPr>
                <w:rFonts w:hint="eastAsia" w:ascii="Times New Roman" w:eastAsia="宋体"/>
                <w:color w:val="auto"/>
                <w:sz w:val="21"/>
                <w:szCs w:val="21"/>
                <w:u w:val="single"/>
              </w:rPr>
              <w:t>124</w:t>
            </w:r>
            <w:r>
              <w:rPr>
                <w:rFonts w:ascii="Times New Roman" w:eastAsia="宋体"/>
                <w:color w:val="auto"/>
                <w:sz w:val="21"/>
                <w:szCs w:val="21"/>
                <w:u w:val="single"/>
              </w:rPr>
              <w:t>米，宽1</w:t>
            </w:r>
            <w:r>
              <w:rPr>
                <w:rFonts w:hint="eastAsia" w:ascii="Times New Roman" w:eastAsia="宋体"/>
                <w:color w:val="auto"/>
                <w:sz w:val="21"/>
                <w:szCs w:val="21"/>
                <w:u w:val="single"/>
              </w:rPr>
              <w:t>3.5</w:t>
            </w:r>
            <w:r>
              <w:rPr>
                <w:rFonts w:ascii="Times New Roman" w:eastAsia="宋体"/>
                <w:color w:val="auto"/>
                <w:sz w:val="21"/>
                <w:szCs w:val="21"/>
                <w:u w:val="single"/>
              </w:rPr>
              <w:t>米</w:t>
            </w:r>
            <w:r>
              <w:rPr>
                <w:rFonts w:hint="eastAsia" w:ascii="Times New Roman" w:eastAsia="宋体"/>
                <w:color w:val="auto"/>
                <w:sz w:val="21"/>
                <w:szCs w:val="21"/>
                <w:u w:val="single"/>
                <w:lang w:eastAsia="zh-CN"/>
              </w:rPr>
              <w:t>，含</w:t>
            </w:r>
            <w:r>
              <w:rPr>
                <w:rFonts w:hint="eastAsia" w:ascii="Times New Roman" w:eastAsia="宋体"/>
                <w:color w:val="auto"/>
                <w:sz w:val="21"/>
                <w:szCs w:val="21"/>
                <w:u w:val="single"/>
                <w:lang w:val="en-US" w:eastAsia="zh-CN"/>
              </w:rPr>
              <w:t>10m</w:t>
            </w:r>
            <w:r>
              <w:rPr>
                <w:rFonts w:hint="eastAsia" w:ascii="Times New Roman" w:eastAsia="宋体"/>
                <w:color w:val="auto"/>
                <w:sz w:val="21"/>
                <w:szCs w:val="21"/>
                <w:u w:val="single"/>
                <w:vertAlign w:val="superscript"/>
                <w:lang w:val="en-US" w:eastAsia="zh-CN"/>
              </w:rPr>
              <w:t>2</w:t>
            </w:r>
            <w:r>
              <w:rPr>
                <w:rFonts w:hint="eastAsia" w:ascii="Times New Roman" w:eastAsia="宋体"/>
                <w:color w:val="auto"/>
                <w:sz w:val="21"/>
                <w:szCs w:val="21"/>
                <w:u w:val="single"/>
                <w:lang w:eastAsia="zh-CN"/>
              </w:rPr>
              <w:t>鸡粪暂存区</w:t>
            </w:r>
            <w:r>
              <w:rPr>
                <w:rFonts w:ascii="Times New Roman" w:eastAsia="宋体"/>
                <w:color w:val="auto"/>
                <w:sz w:val="21"/>
                <w:szCs w:val="21"/>
                <w:u w:val="single"/>
              </w:rPr>
              <w:t>，</w:t>
            </w:r>
            <w:r>
              <w:rPr>
                <w:rFonts w:hint="eastAsia" w:ascii="Times New Roman" w:eastAsia="宋体"/>
                <w:color w:val="auto"/>
                <w:sz w:val="21"/>
                <w:szCs w:val="21"/>
                <w:u w:val="single"/>
              </w:rPr>
              <w:t>单舍单批次</w:t>
            </w:r>
            <w:r>
              <w:rPr>
                <w:rFonts w:ascii="Times New Roman" w:eastAsia="宋体"/>
                <w:color w:val="auto"/>
                <w:sz w:val="21"/>
                <w:szCs w:val="21"/>
                <w:u w:val="single"/>
              </w:rPr>
              <w:t>养殖量2.</w:t>
            </w:r>
            <w:r>
              <w:rPr>
                <w:rFonts w:hint="eastAsia" w:ascii="Times New Roman" w:eastAsia="宋体"/>
                <w:color w:val="auto"/>
                <w:sz w:val="21"/>
                <w:szCs w:val="21"/>
                <w:u w:val="single"/>
              </w:rPr>
              <w:t>5</w:t>
            </w:r>
            <w:r>
              <w:rPr>
                <w:rFonts w:ascii="Times New Roman" w:eastAsia="宋体"/>
                <w:color w:val="auto"/>
                <w:sz w:val="21"/>
                <w:szCs w:val="21"/>
                <w:u w:val="single"/>
              </w:rPr>
              <w:t>万只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2</w:t>
            </w:r>
          </w:p>
        </w:tc>
        <w:tc>
          <w:tcPr>
            <w:tcW w:w="1235"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辅助工程</w:t>
            </w:r>
          </w:p>
        </w:tc>
        <w:tc>
          <w:tcPr>
            <w:tcW w:w="1686" w:type="dxa"/>
            <w:gridSpan w:val="2"/>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办公用房</w:t>
            </w:r>
          </w:p>
        </w:tc>
        <w:tc>
          <w:tcPr>
            <w:tcW w:w="4718" w:type="dxa"/>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位于</w:t>
            </w:r>
            <w:r>
              <w:rPr>
                <w:rFonts w:hint="eastAsia" w:ascii="Times New Roman" w:eastAsia="宋体"/>
                <w:color w:val="auto"/>
                <w:sz w:val="21"/>
                <w:szCs w:val="21"/>
                <w:u w:val="single"/>
              </w:rPr>
              <w:t>场区东北侧</w:t>
            </w:r>
            <w:r>
              <w:rPr>
                <w:rFonts w:ascii="Times New Roman" w:eastAsia="宋体"/>
                <w:color w:val="auto"/>
                <w:sz w:val="21"/>
                <w:szCs w:val="21"/>
                <w:u w:val="single"/>
              </w:rPr>
              <w:t>，约</w:t>
            </w:r>
            <w:r>
              <w:rPr>
                <w:rFonts w:hint="eastAsia" w:ascii="Times New Roman" w:eastAsia="宋体"/>
                <w:color w:val="auto"/>
                <w:sz w:val="21"/>
                <w:szCs w:val="21"/>
                <w:u w:val="single"/>
              </w:rPr>
              <w:t>20</w:t>
            </w:r>
            <w:r>
              <w:rPr>
                <w:rFonts w:ascii="Times New Roman" w:eastAsia="宋体"/>
                <w:color w:val="auto"/>
                <w:sz w:val="21"/>
                <w:szCs w:val="21"/>
                <w:u w:val="single"/>
              </w:rPr>
              <w:t>00m</w:t>
            </w:r>
            <w:r>
              <w:rPr>
                <w:rFonts w:ascii="Times New Roman" w:eastAsia="宋体"/>
                <w:color w:val="auto"/>
                <w:sz w:val="21"/>
                <w:szCs w:val="21"/>
                <w:u w:val="single"/>
                <w:vertAlign w:val="superscript"/>
              </w:rPr>
              <w:t>2</w:t>
            </w:r>
            <w:r>
              <w:rPr>
                <w:rFonts w:ascii="Times New Roman" w:eastAsia="宋体"/>
                <w:color w:val="auto"/>
                <w:sz w:val="21"/>
                <w:szCs w:val="21"/>
                <w:u w:val="single"/>
              </w:rPr>
              <w:t>，用于办公、职工休息、食宿</w:t>
            </w:r>
            <w:r>
              <w:rPr>
                <w:rFonts w:hint="eastAsia" w:ascii="Times New Roman" w:eastAsia="宋体"/>
                <w:color w:val="auto"/>
                <w:sz w:val="21"/>
                <w:szCs w:val="21"/>
                <w:u w:val="single"/>
              </w:rPr>
              <w:t>及防疫</w:t>
            </w:r>
            <w:r>
              <w:rPr>
                <w:rFonts w:ascii="Times New Roman" w:eastAsia="宋体"/>
                <w:color w:val="auto"/>
                <w:sz w:val="21"/>
                <w:szCs w:val="21"/>
                <w:u w:val="single"/>
              </w:rPr>
              <w:t>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8" w:type="dxa"/>
            <w:vMerge w:val="restart"/>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3</w:t>
            </w:r>
          </w:p>
        </w:tc>
        <w:tc>
          <w:tcPr>
            <w:tcW w:w="1235" w:type="dxa"/>
            <w:vMerge w:val="restart"/>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公用工程</w:t>
            </w:r>
          </w:p>
        </w:tc>
        <w:tc>
          <w:tcPr>
            <w:tcW w:w="1686" w:type="dxa"/>
            <w:gridSpan w:val="2"/>
            <w:tcBorders>
              <w:tl2br w:val="nil"/>
              <w:tr2bl w:val="nil"/>
            </w:tcBorders>
            <w:vAlign w:val="center"/>
          </w:tcPr>
          <w:p>
            <w:pPr>
              <w:adjustRightInd w:val="0"/>
              <w:snapToGrid w:val="0"/>
              <w:jc w:val="center"/>
              <w:rPr>
                <w:rFonts w:ascii="Times New Roman" w:eastAsia="宋体"/>
                <w:color w:val="auto"/>
                <w:kern w:val="2"/>
                <w:sz w:val="21"/>
                <w:szCs w:val="21"/>
                <w:u w:val="single"/>
              </w:rPr>
            </w:pPr>
            <w:r>
              <w:rPr>
                <w:rFonts w:ascii="Times New Roman" w:eastAsia="宋体"/>
                <w:color w:val="auto"/>
                <w:sz w:val="21"/>
                <w:szCs w:val="21"/>
                <w:u w:val="single"/>
              </w:rPr>
              <w:t>给水</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新建，</w:t>
            </w:r>
            <w:r>
              <w:rPr>
                <w:rFonts w:hint="eastAsia" w:ascii="Times New Roman" w:eastAsia="宋体"/>
                <w:color w:val="auto"/>
                <w:sz w:val="21"/>
                <w:szCs w:val="21"/>
                <w:u w:val="single"/>
              </w:rPr>
              <w:t>地下</w:t>
            </w:r>
            <w:r>
              <w:rPr>
                <w:rFonts w:ascii="Times New Roman" w:eastAsia="宋体"/>
                <w:color w:val="auto"/>
                <w:sz w:val="21"/>
                <w:szCs w:val="21"/>
                <w:u w:val="single"/>
              </w:rPr>
              <w:t>水井1口</w:t>
            </w:r>
            <w:r>
              <w:rPr>
                <w:rFonts w:hint="eastAsia" w:ascii="Times New Roman" w:eastAsia="宋体"/>
                <w:color w:val="auto"/>
                <w:sz w:val="21"/>
                <w:szCs w:val="21"/>
                <w:u w:val="single"/>
                <w:lang w:eastAsia="zh-CN"/>
              </w:rPr>
              <w:t>（</w:t>
            </w:r>
            <w:r>
              <w:rPr>
                <w:rFonts w:hint="eastAsia" w:ascii="Times New Roman" w:eastAsia="宋体"/>
                <w:color w:val="auto"/>
                <w:sz w:val="21"/>
                <w:szCs w:val="21"/>
                <w:u w:val="single"/>
                <w:lang w:val="en-US" w:eastAsia="zh-CN"/>
              </w:rPr>
              <w:t>兼具地下水监测井功能</w:t>
            </w:r>
            <w:r>
              <w:rPr>
                <w:rFonts w:hint="eastAsia" w:ascii="Times New Roman" w:eastAsia="宋体"/>
                <w:color w:val="auto"/>
                <w:sz w:val="21"/>
                <w:szCs w:val="21"/>
                <w:u w:val="single"/>
                <w:lang w:eastAsia="zh-CN"/>
              </w:rPr>
              <w:t>）</w:t>
            </w:r>
            <w:r>
              <w:rPr>
                <w:rFonts w:ascii="Times New Roman" w:eastAsia="宋体"/>
                <w:color w:val="auto"/>
                <w:sz w:val="21"/>
                <w:szCs w:val="21"/>
                <w:u w:val="single"/>
              </w:rPr>
              <w:t>，设</w:t>
            </w:r>
            <w:r>
              <w:rPr>
                <w:rFonts w:hint="eastAsia" w:ascii="Times New Roman" w:eastAsia="宋体"/>
                <w:color w:val="auto"/>
                <w:sz w:val="21"/>
                <w:szCs w:val="21"/>
                <w:u w:val="single"/>
              </w:rPr>
              <w:t>50</w:t>
            </w:r>
            <w:r>
              <w:rPr>
                <w:rFonts w:ascii="Times New Roman" w:eastAsia="宋体"/>
                <w:color w:val="auto"/>
                <w:sz w:val="21"/>
                <w:szCs w:val="21"/>
                <w:u w:val="single"/>
              </w:rPr>
              <w:t>t水塔1座</w:t>
            </w:r>
            <w:r>
              <w:rPr>
                <w:rFonts w:hint="eastAsia"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排水</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新建，雨污分流，雨水随厂区截排水沟沿地势排至</w:t>
            </w:r>
            <w:r>
              <w:rPr>
                <w:rFonts w:hint="eastAsia" w:ascii="Times New Roman" w:eastAsia="宋体"/>
                <w:color w:val="auto"/>
                <w:sz w:val="21"/>
                <w:szCs w:val="21"/>
                <w:u w:val="single"/>
                <w:lang w:val="en-US" w:eastAsia="zh-CN"/>
              </w:rPr>
              <w:t>西侧</w:t>
            </w:r>
            <w:r>
              <w:rPr>
                <w:rFonts w:hint="eastAsia" w:ascii="Times New Roman" w:eastAsia="宋体"/>
                <w:color w:val="auto"/>
                <w:sz w:val="21"/>
                <w:szCs w:val="21"/>
                <w:u w:val="single"/>
              </w:rPr>
              <w:t>水塘</w:t>
            </w:r>
            <w:r>
              <w:rPr>
                <w:rFonts w:ascii="Times New Roman" w:eastAsia="宋体"/>
                <w:color w:val="auto"/>
                <w:sz w:val="21"/>
                <w:szCs w:val="21"/>
                <w:u w:val="single"/>
              </w:rPr>
              <w:t>；生活污水</w:t>
            </w:r>
            <w:r>
              <w:rPr>
                <w:rFonts w:hint="eastAsia" w:ascii="Times New Roman" w:eastAsia="宋体"/>
                <w:color w:val="auto"/>
                <w:sz w:val="21"/>
                <w:szCs w:val="21"/>
                <w:u w:val="single"/>
              </w:rPr>
              <w:t>经过化粪池处理后同</w:t>
            </w:r>
            <w:r>
              <w:rPr>
                <w:rFonts w:ascii="Times New Roman" w:eastAsia="宋体"/>
                <w:color w:val="auto"/>
                <w:sz w:val="21"/>
                <w:szCs w:val="21"/>
                <w:u w:val="single"/>
              </w:rPr>
              <w:t>鸡舍冲洗废水</w:t>
            </w:r>
            <w:r>
              <w:rPr>
                <w:rFonts w:hint="eastAsia" w:ascii="Times New Roman" w:eastAsia="宋体"/>
                <w:color w:val="auto"/>
                <w:sz w:val="21"/>
                <w:szCs w:val="21"/>
                <w:u w:val="single"/>
              </w:rPr>
              <w:t>、除臭废水</w:t>
            </w:r>
            <w:r>
              <w:rPr>
                <w:rFonts w:ascii="Times New Roman" w:eastAsia="宋体"/>
                <w:color w:val="auto"/>
                <w:sz w:val="21"/>
                <w:szCs w:val="21"/>
                <w:u w:val="single"/>
              </w:rPr>
              <w:t>经地下污水管道收集进入</w:t>
            </w:r>
            <w:r>
              <w:rPr>
                <w:rFonts w:hint="eastAsia" w:ascii="Times New Roman" w:eastAsia="宋体"/>
                <w:color w:val="auto"/>
                <w:sz w:val="21"/>
                <w:szCs w:val="21"/>
                <w:u w:val="single"/>
              </w:rPr>
              <w:t>污水沉淀池，后定期由罐车运至公司新华养殖场污水处理；锅炉仅在供暖期结束后产生少量排污水，用于场区运输路线洒水抑尘，不外排；水帘降温水循环使用不外排。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adjustRightInd w:val="0"/>
              <w:snapToGrid w:val="0"/>
              <w:jc w:val="center"/>
              <w:rPr>
                <w:rFonts w:ascii="Times New Roman" w:eastAsia="宋体"/>
                <w:color w:val="auto"/>
                <w:kern w:val="2"/>
                <w:sz w:val="21"/>
                <w:szCs w:val="21"/>
                <w:u w:val="single"/>
              </w:rPr>
            </w:pPr>
            <w:r>
              <w:rPr>
                <w:rFonts w:ascii="Times New Roman" w:eastAsia="宋体"/>
                <w:color w:val="auto"/>
                <w:sz w:val="21"/>
                <w:szCs w:val="21"/>
                <w:u w:val="single"/>
              </w:rPr>
              <w:t>供电</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采用农村电网主供电源，工程场地内设置变配电设施，负责对整个场地的高低压</w:t>
            </w:r>
            <w:r>
              <w:rPr>
                <w:rFonts w:hint="eastAsia" w:ascii="Times New Roman" w:eastAsia="宋体"/>
                <w:color w:val="auto"/>
                <w:sz w:val="21"/>
                <w:szCs w:val="21"/>
                <w:u w:val="single"/>
              </w:rPr>
              <w:t>；</w:t>
            </w:r>
            <w:r>
              <w:rPr>
                <w:rFonts w:ascii="Times New Roman" w:eastAsia="宋体"/>
                <w:color w:val="auto"/>
                <w:sz w:val="21"/>
                <w:szCs w:val="21"/>
                <w:u w:val="single"/>
              </w:rPr>
              <w:t>配</w:t>
            </w:r>
            <w:r>
              <w:rPr>
                <w:rFonts w:hint="eastAsia" w:ascii="Times New Roman" w:eastAsia="宋体"/>
                <w:color w:val="auto"/>
                <w:sz w:val="21"/>
                <w:szCs w:val="21"/>
                <w:u w:val="single"/>
              </w:rPr>
              <w:t>有两台柴油发电机，</w:t>
            </w:r>
            <w:r>
              <w:rPr>
                <w:rFonts w:ascii="Times New Roman" w:eastAsia="宋体"/>
                <w:color w:val="auto"/>
                <w:sz w:val="21"/>
                <w:szCs w:val="21"/>
                <w:u w:val="single"/>
              </w:rPr>
              <w:t>停电时紧急发电使用</w:t>
            </w:r>
            <w:r>
              <w:rPr>
                <w:rFonts w:hint="eastAsia"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供暖</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2台1t/h生物质燃料锅炉用于雏鸡供暖</w:t>
            </w:r>
            <w:r>
              <w:rPr>
                <w:rFonts w:ascii="Times New Roman" w:eastAsia="宋体"/>
                <w:color w:val="auto"/>
                <w:sz w:val="21"/>
                <w:szCs w:val="21"/>
                <w:u w:val="single"/>
              </w:rPr>
              <w:t>，办公用房电取暖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通风</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鸡舍配备风机，机械通风，每个鸡舍配备</w:t>
            </w:r>
            <w:r>
              <w:rPr>
                <w:rFonts w:hint="eastAsia" w:ascii="Times New Roman" w:eastAsia="宋体"/>
                <w:color w:val="auto"/>
                <w:sz w:val="21"/>
                <w:szCs w:val="21"/>
                <w:u w:val="single"/>
              </w:rPr>
              <w:t>1</w:t>
            </w:r>
            <w:r>
              <w:rPr>
                <w:rFonts w:ascii="Times New Roman" w:eastAsia="宋体"/>
                <w:color w:val="auto"/>
                <w:sz w:val="21"/>
                <w:szCs w:val="21"/>
                <w:u w:val="single"/>
              </w:rPr>
              <w:t>个</w:t>
            </w:r>
            <w:r>
              <w:rPr>
                <w:rFonts w:hint="eastAsia" w:ascii="Times New Roman" w:eastAsia="宋体"/>
                <w:color w:val="auto"/>
                <w:sz w:val="21"/>
                <w:szCs w:val="21"/>
                <w:u w:val="single"/>
              </w:rPr>
              <w:t>引风机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降温</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鸡舍配备水帘降温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8" w:type="dxa"/>
            <w:vMerge w:val="restart"/>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4</w:t>
            </w:r>
          </w:p>
        </w:tc>
        <w:tc>
          <w:tcPr>
            <w:tcW w:w="1235" w:type="dxa"/>
            <w:vMerge w:val="restart"/>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储运工程</w:t>
            </w:r>
          </w:p>
        </w:tc>
        <w:tc>
          <w:tcPr>
            <w:tcW w:w="1686" w:type="dxa"/>
            <w:gridSpan w:val="2"/>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饲料间</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用于存放成品饲料及生物质颗粒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运输</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场外运输依托乡村道路、省道；商品鸡运输为社会车辆，饲料由岳阳湘佳牧业有限公司饲料厂配送，鸡苗由湖南湘家现代农业有限公司现有孵化厂提供和配送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restart"/>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5</w:t>
            </w:r>
          </w:p>
        </w:tc>
        <w:tc>
          <w:tcPr>
            <w:tcW w:w="1235" w:type="dxa"/>
            <w:vMerge w:val="restart"/>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环保工程</w:t>
            </w:r>
          </w:p>
        </w:tc>
        <w:tc>
          <w:tcPr>
            <w:tcW w:w="564" w:type="dxa"/>
            <w:vMerge w:val="restar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废气</w:t>
            </w:r>
          </w:p>
          <w:p>
            <w:pPr>
              <w:jc w:val="center"/>
              <w:rPr>
                <w:rFonts w:ascii="Times New Roman" w:eastAsia="宋体"/>
                <w:color w:val="auto"/>
                <w:sz w:val="21"/>
                <w:szCs w:val="21"/>
                <w:u w:val="single"/>
              </w:rPr>
            </w:pPr>
            <w:r>
              <w:rPr>
                <w:rFonts w:ascii="Times New Roman" w:eastAsia="宋体"/>
                <w:color w:val="auto"/>
                <w:sz w:val="21"/>
                <w:szCs w:val="21"/>
                <w:u w:val="single"/>
              </w:rPr>
              <w:t>防治</w:t>
            </w: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锅炉废气</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2台锅炉分别配套</w:t>
            </w:r>
            <w:r>
              <w:rPr>
                <w:rFonts w:hint="eastAsia" w:ascii="Times New Roman" w:eastAsia="宋体"/>
                <w:color w:val="auto"/>
                <w:sz w:val="21"/>
                <w:szCs w:val="21"/>
                <w:u w:val="single"/>
                <w:lang w:eastAsia="zh-CN"/>
              </w:rPr>
              <w:t>布袋除尘</w:t>
            </w:r>
            <w:r>
              <w:rPr>
                <w:rFonts w:hint="eastAsia" w:ascii="Times New Roman" w:eastAsia="宋体"/>
                <w:color w:val="auto"/>
                <w:sz w:val="21"/>
                <w:szCs w:val="21"/>
                <w:u w:val="single"/>
              </w:rPr>
              <w:t>，处理后一起通过1根30m</w:t>
            </w:r>
            <w:r>
              <w:rPr>
                <w:rFonts w:ascii="Times New Roman" w:eastAsia="宋体"/>
                <w:color w:val="auto"/>
                <w:sz w:val="21"/>
                <w:szCs w:val="21"/>
                <w:u w:val="single"/>
              </w:rPr>
              <w:t>排气筒</w:t>
            </w:r>
            <w:r>
              <w:rPr>
                <w:rFonts w:hint="eastAsia" w:ascii="Times New Roman" w:eastAsia="宋体"/>
                <w:color w:val="auto"/>
                <w:sz w:val="21"/>
                <w:szCs w:val="21"/>
                <w:u w:val="single"/>
              </w:rPr>
              <w:t>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鸡舍恶臭</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密闭式鸡舍，采用机械风机排风+侧门进风，抽出恶臭气体经水喷淋后屋顶外排；</w:t>
            </w:r>
            <w:r>
              <w:rPr>
                <w:rFonts w:ascii="Times New Roman" w:eastAsia="宋体"/>
                <w:color w:val="auto"/>
                <w:sz w:val="21"/>
                <w:szCs w:val="21"/>
                <w:u w:val="single"/>
              </w:rPr>
              <w:t>干清粪、喷洒除臭剂、加强绿化、加强管理。污水沉淀池加盖密闭，定期喷洒除臭剂。鸡粪日产日清</w:t>
            </w:r>
            <w:r>
              <w:rPr>
                <w:rFonts w:hint="eastAsia" w:ascii="Times New Roman" w:eastAsia="宋体"/>
                <w:color w:val="auto"/>
                <w:sz w:val="21"/>
                <w:szCs w:val="21"/>
                <w:u w:val="single"/>
              </w:rPr>
              <w:t>，暂存于</w:t>
            </w:r>
            <w:r>
              <w:rPr>
                <w:rFonts w:hint="eastAsia" w:ascii="Times New Roman" w:eastAsia="宋体"/>
                <w:color w:val="auto"/>
                <w:sz w:val="21"/>
                <w:szCs w:val="21"/>
                <w:u w:val="single"/>
                <w:lang w:eastAsia="zh-CN"/>
              </w:rPr>
              <w:t>鸡舍内</w:t>
            </w:r>
            <w:r>
              <w:rPr>
                <w:rFonts w:hint="eastAsia" w:ascii="Times New Roman" w:eastAsia="宋体"/>
                <w:color w:val="auto"/>
                <w:sz w:val="21"/>
                <w:szCs w:val="21"/>
                <w:u w:val="single"/>
              </w:rPr>
              <w:t>鸡粪暂存</w:t>
            </w:r>
            <w:r>
              <w:rPr>
                <w:rFonts w:hint="eastAsia" w:ascii="Times New Roman" w:eastAsia="宋体"/>
                <w:color w:val="auto"/>
                <w:sz w:val="21"/>
                <w:szCs w:val="21"/>
                <w:u w:val="single"/>
                <w:lang w:eastAsia="zh-CN"/>
              </w:rPr>
              <w:t>区</w:t>
            </w:r>
            <w:r>
              <w:rPr>
                <w:rFonts w:hint="eastAsia" w:ascii="Times New Roman" w:eastAsia="宋体"/>
                <w:color w:val="auto"/>
                <w:sz w:val="21"/>
                <w:szCs w:val="21"/>
                <w:u w:val="single"/>
              </w:rPr>
              <w:t>），后定期外售</w:t>
            </w:r>
            <w:r>
              <w:rPr>
                <w:rFonts w:hint="eastAsia" w:ascii="Times New Roman" w:eastAsia="宋体"/>
                <w:color w:val="auto"/>
                <w:sz w:val="21"/>
                <w:szCs w:val="21"/>
                <w:u w:val="single"/>
                <w:lang w:val="en-US" w:eastAsia="zh-CN"/>
              </w:rPr>
              <w:t>制肥</w:t>
            </w:r>
            <w:r>
              <w:rPr>
                <w:rFonts w:hint="eastAsia"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备用发电机烟气</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备</w:t>
            </w:r>
            <w:r>
              <w:rPr>
                <w:rFonts w:hint="eastAsia" w:ascii="Times New Roman" w:eastAsia="宋体"/>
                <w:color w:val="auto"/>
                <w:sz w:val="21"/>
                <w:szCs w:val="21"/>
                <w:u w:val="single"/>
              </w:rPr>
              <w:t>有2台</w:t>
            </w:r>
            <w:r>
              <w:rPr>
                <w:rFonts w:ascii="Times New Roman" w:eastAsia="宋体"/>
                <w:color w:val="auto"/>
                <w:sz w:val="21"/>
                <w:szCs w:val="21"/>
                <w:u w:val="single"/>
              </w:rPr>
              <w:t>柴油发电机</w:t>
            </w:r>
            <w:r>
              <w:rPr>
                <w:rFonts w:hint="eastAsia" w:ascii="Times New Roman" w:eastAsia="宋体"/>
                <w:color w:val="auto"/>
                <w:sz w:val="21"/>
                <w:szCs w:val="21"/>
                <w:u w:val="single"/>
                <w:lang w:eastAsia="zh-CN"/>
              </w:rPr>
              <w:t>，</w:t>
            </w:r>
            <w:r>
              <w:rPr>
                <w:rFonts w:ascii="Times New Roman" w:eastAsia="宋体"/>
                <w:color w:val="auto"/>
                <w:sz w:val="21"/>
                <w:szCs w:val="21"/>
                <w:u w:val="single"/>
              </w:rPr>
              <w:t>废气引至楼顶外排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食堂油烟</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安装1套油烟净化器，去除效率</w:t>
            </w:r>
            <w:r>
              <w:rPr>
                <w:rFonts w:hint="eastAsia" w:ascii="Times New Roman" w:eastAsia="宋体"/>
                <w:color w:val="auto"/>
                <w:sz w:val="21"/>
                <w:szCs w:val="21"/>
                <w:u w:val="single"/>
              </w:rPr>
              <w:t>65</w:t>
            </w:r>
            <w:r>
              <w:rPr>
                <w:rFonts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restar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废水</w:t>
            </w:r>
          </w:p>
          <w:p>
            <w:pPr>
              <w:jc w:val="center"/>
              <w:rPr>
                <w:rFonts w:ascii="Times New Roman" w:eastAsia="宋体"/>
                <w:color w:val="auto"/>
                <w:sz w:val="21"/>
                <w:szCs w:val="21"/>
                <w:u w:val="single"/>
              </w:rPr>
            </w:pPr>
            <w:r>
              <w:rPr>
                <w:rFonts w:ascii="Times New Roman" w:eastAsia="宋体"/>
                <w:color w:val="auto"/>
                <w:sz w:val="21"/>
                <w:szCs w:val="21"/>
                <w:u w:val="single"/>
              </w:rPr>
              <w:t>防治</w:t>
            </w: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鸡舍冲洗水</w:t>
            </w:r>
            <w:r>
              <w:rPr>
                <w:rFonts w:hint="eastAsia" w:ascii="Times New Roman" w:eastAsia="宋体"/>
                <w:color w:val="auto"/>
                <w:sz w:val="21"/>
                <w:szCs w:val="21"/>
                <w:u w:val="single"/>
              </w:rPr>
              <w:t>和除臭喷淋水</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经地下管路排入污水沉淀池（</w:t>
            </w:r>
            <w:r>
              <w:rPr>
                <w:rFonts w:ascii="Times New Roman" w:eastAsia="宋体"/>
                <w:color w:val="auto"/>
                <w:sz w:val="21"/>
                <w:szCs w:val="21"/>
                <w:u w:val="single"/>
              </w:rPr>
              <w:t>总容积为</w:t>
            </w:r>
            <w:r>
              <w:rPr>
                <w:rFonts w:hint="eastAsia" w:ascii="Times New Roman" w:eastAsia="宋体"/>
                <w:color w:val="auto"/>
                <w:sz w:val="21"/>
                <w:szCs w:val="21"/>
                <w:u w:val="single"/>
              </w:rPr>
              <w:t>400m</w:t>
            </w:r>
            <w:r>
              <w:rPr>
                <w:rFonts w:hint="eastAsia" w:ascii="Times New Roman" w:eastAsia="宋体"/>
                <w:color w:val="auto"/>
                <w:sz w:val="21"/>
                <w:szCs w:val="21"/>
                <w:u w:val="single"/>
                <w:vertAlign w:val="superscript"/>
              </w:rPr>
              <w:t>3</w:t>
            </w:r>
            <w:r>
              <w:rPr>
                <w:rFonts w:hint="eastAsia" w:ascii="Times New Roman" w:eastAsia="宋体"/>
                <w:color w:val="auto"/>
                <w:sz w:val="21"/>
                <w:szCs w:val="21"/>
                <w:u w:val="single"/>
              </w:rPr>
              <w:t>），后用密闭槽车运至公司新华养殖场污水处理站处理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锅炉排水</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锅炉</w:t>
            </w:r>
            <w:r>
              <w:rPr>
                <w:rFonts w:hint="eastAsia" w:ascii="Times New Roman" w:eastAsia="宋体"/>
                <w:color w:val="auto"/>
                <w:sz w:val="21"/>
                <w:szCs w:val="21"/>
                <w:u w:val="single"/>
              </w:rPr>
              <w:t>无需制备软水，锅炉用水循环使用，供暖结束后锅炉内少量排污水收集后</w:t>
            </w:r>
            <w:r>
              <w:rPr>
                <w:rFonts w:ascii="Times New Roman" w:eastAsia="宋体"/>
                <w:color w:val="auto"/>
                <w:sz w:val="21"/>
                <w:szCs w:val="21"/>
                <w:u w:val="single"/>
              </w:rPr>
              <w:t>用于</w:t>
            </w:r>
            <w:r>
              <w:rPr>
                <w:rFonts w:hint="eastAsia" w:ascii="Times New Roman" w:eastAsia="宋体"/>
                <w:color w:val="auto"/>
                <w:sz w:val="21"/>
                <w:szCs w:val="21"/>
                <w:u w:val="single"/>
              </w:rPr>
              <w:t>场区</w:t>
            </w:r>
            <w:r>
              <w:rPr>
                <w:rFonts w:ascii="Times New Roman" w:eastAsia="宋体"/>
                <w:color w:val="auto"/>
                <w:sz w:val="21"/>
                <w:szCs w:val="21"/>
                <w:u w:val="single"/>
              </w:rPr>
              <w:t>路面降尘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生活污水</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经化粪池处理后排入沉淀池，后用密闭槽车运至公司新华养殖场污水处理站处理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restart"/>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固体废物</w:t>
            </w: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生活垃圾</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ascii="Times New Roman" w:eastAsia="宋体"/>
                <w:color w:val="auto"/>
                <w:sz w:val="21"/>
                <w:szCs w:val="21"/>
                <w:u w:val="single"/>
              </w:rPr>
              <w:t>收集至自备的垃圾收集桶，及时清理外送至指定垃圾堆放点</w:t>
            </w:r>
            <w:r>
              <w:rPr>
                <w:rFonts w:hint="eastAsia" w:ascii="Times New Roman" w:eastAsia="宋体"/>
                <w:color w:val="auto"/>
                <w:sz w:val="21"/>
                <w:szCs w:val="21"/>
                <w:u w:val="single"/>
              </w:rPr>
              <w:t>，</w:t>
            </w:r>
            <w:r>
              <w:rPr>
                <w:rFonts w:ascii="Times New Roman" w:eastAsia="宋体"/>
                <w:color w:val="auto"/>
                <w:sz w:val="21"/>
                <w:szCs w:val="21"/>
                <w:u w:val="single"/>
              </w:rPr>
              <w:t>由环卫部门处置</w:t>
            </w:r>
            <w:r>
              <w:rPr>
                <w:rFonts w:hint="eastAsia" w:ascii="Times New Roman" w:eastAsia="宋体"/>
                <w:color w:val="auto"/>
                <w:sz w:val="2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hint="default" w:ascii="Times New Roman" w:eastAsia="宋体"/>
                <w:color w:val="auto"/>
                <w:sz w:val="21"/>
                <w:szCs w:val="21"/>
                <w:u w:val="single"/>
                <w:lang w:val="en-US" w:eastAsia="zh-CN"/>
              </w:rPr>
            </w:pPr>
            <w:r>
              <w:rPr>
                <w:rFonts w:ascii="Times New Roman" w:eastAsia="宋体"/>
                <w:color w:val="auto"/>
                <w:sz w:val="21"/>
                <w:szCs w:val="21"/>
                <w:u w:val="single"/>
              </w:rPr>
              <w:t>鸡粪</w:t>
            </w:r>
            <w:r>
              <w:rPr>
                <w:rFonts w:hint="eastAsia" w:ascii="Times New Roman" w:eastAsia="宋体"/>
                <w:color w:val="auto"/>
                <w:sz w:val="21"/>
                <w:szCs w:val="21"/>
                <w:u w:val="single"/>
                <w:lang w:val="en-US" w:eastAsia="zh-CN"/>
              </w:rPr>
              <w:t>和沉淀池污泥</w:t>
            </w:r>
          </w:p>
        </w:tc>
        <w:tc>
          <w:tcPr>
            <w:tcW w:w="4718" w:type="dxa"/>
            <w:tcBorders>
              <w:tl2br w:val="nil"/>
              <w:tr2bl w:val="nil"/>
            </w:tcBorders>
            <w:vAlign w:val="center"/>
          </w:tcPr>
          <w:p>
            <w:pPr>
              <w:adjustRightInd w:val="0"/>
              <w:snapToGrid w:val="0"/>
              <w:jc w:val="center"/>
              <w:rPr>
                <w:rFonts w:hint="default" w:ascii="Times New Roman" w:eastAsia="宋体"/>
                <w:color w:val="auto"/>
                <w:sz w:val="21"/>
                <w:szCs w:val="21"/>
                <w:u w:val="single"/>
                <w:lang w:val="en-US" w:eastAsia="zh-CN"/>
              </w:rPr>
            </w:pPr>
            <w:r>
              <w:rPr>
                <w:rFonts w:ascii="Times New Roman" w:eastAsia="宋体"/>
                <w:color w:val="auto"/>
                <w:sz w:val="21"/>
                <w:szCs w:val="21"/>
                <w:u w:val="single"/>
              </w:rPr>
              <w:t>鸡粪</w:t>
            </w:r>
            <w:r>
              <w:rPr>
                <w:rFonts w:hint="eastAsia" w:ascii="Times New Roman" w:eastAsia="宋体"/>
                <w:color w:val="auto"/>
                <w:sz w:val="21"/>
                <w:szCs w:val="21"/>
                <w:u w:val="single"/>
                <w:lang w:val="en-US" w:eastAsia="zh-CN"/>
              </w:rPr>
              <w:t>暂存于舍内鸡粪暂存区，后与沉淀池污泥一同</w:t>
            </w:r>
            <w:r>
              <w:rPr>
                <w:rFonts w:hint="eastAsia" w:ascii="Times New Roman" w:eastAsia="宋体"/>
                <w:color w:val="auto"/>
                <w:sz w:val="21"/>
                <w:szCs w:val="21"/>
                <w:u w:val="single"/>
              </w:rPr>
              <w:t>外售制肥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病死鸡</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lang w:val="en-US" w:eastAsia="zh-CN"/>
              </w:rPr>
              <w:t>鸡舍病死鸡，收集后</w:t>
            </w:r>
            <w:r>
              <w:rPr>
                <w:rFonts w:hint="eastAsia" w:ascii="Times New Roman" w:eastAsia="宋体"/>
                <w:color w:val="auto"/>
                <w:sz w:val="21"/>
                <w:szCs w:val="21"/>
                <w:u w:val="single"/>
              </w:rPr>
              <w:t>暂存</w:t>
            </w:r>
            <w:r>
              <w:rPr>
                <w:rFonts w:hint="eastAsia" w:ascii="Times New Roman" w:eastAsia="宋体"/>
                <w:color w:val="auto"/>
                <w:sz w:val="21"/>
                <w:szCs w:val="21"/>
                <w:u w:val="single"/>
                <w:lang w:val="en-US" w:eastAsia="zh-CN"/>
              </w:rPr>
              <w:t>于西侧</w:t>
            </w:r>
            <w:r>
              <w:rPr>
                <w:rFonts w:hint="eastAsia" w:ascii="Times New Roman" w:eastAsia="宋体"/>
                <w:color w:val="auto"/>
                <w:sz w:val="21"/>
                <w:szCs w:val="21"/>
                <w:u w:val="single"/>
              </w:rPr>
              <w:t>冷柜，由岳阳县病死禽无害处理厂</w:t>
            </w:r>
            <w:r>
              <w:rPr>
                <w:rFonts w:hint="eastAsia" w:ascii="Times New Roman" w:eastAsia="宋体"/>
                <w:color w:val="auto"/>
                <w:sz w:val="21"/>
                <w:szCs w:val="21"/>
                <w:u w:val="single"/>
                <w:lang w:val="en-US" w:eastAsia="zh-CN"/>
              </w:rPr>
              <w:t>收集后</w:t>
            </w:r>
            <w:r>
              <w:rPr>
                <w:rFonts w:hint="eastAsia" w:ascii="Times New Roman" w:eastAsia="宋体"/>
                <w:color w:val="auto"/>
                <w:sz w:val="21"/>
                <w:szCs w:val="21"/>
                <w:u w:val="single"/>
              </w:rPr>
              <w:t>无害化处理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废布袋、物料包装袋</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s="宋体"/>
                <w:color w:val="auto"/>
                <w:sz w:val="21"/>
                <w:szCs w:val="21"/>
                <w:u w:val="single"/>
              </w:rPr>
              <w:t>集中收集后暂存于</w:t>
            </w:r>
            <w:r>
              <w:rPr>
                <w:rFonts w:hint="eastAsia" w:ascii="Times New Roman" w:eastAsia="宋体" w:cs="宋体"/>
                <w:color w:val="auto"/>
                <w:sz w:val="21"/>
                <w:szCs w:val="21"/>
                <w:u w:val="single"/>
                <w:lang w:val="en-US" w:eastAsia="zh-CN"/>
              </w:rPr>
              <w:t>锅炉房内一般固废暂存间</w:t>
            </w:r>
            <w:r>
              <w:rPr>
                <w:rFonts w:hint="eastAsia" w:ascii="Times New Roman" w:eastAsia="宋体" w:cs="宋体"/>
                <w:color w:val="auto"/>
                <w:sz w:val="21"/>
                <w:szCs w:val="21"/>
                <w:u w:val="single"/>
              </w:rPr>
              <w:t>，废品回收站回收处理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锅炉灰渣、除尘灰</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周边农田追肥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564"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122"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rPr>
              <w:t>医疗废物</w:t>
            </w:r>
          </w:p>
        </w:tc>
        <w:tc>
          <w:tcPr>
            <w:tcW w:w="4718" w:type="dxa"/>
            <w:tcBorders>
              <w:tl2br w:val="nil"/>
              <w:tr2bl w:val="nil"/>
            </w:tcBorders>
            <w:vAlign w:val="center"/>
          </w:tcPr>
          <w:p>
            <w:pPr>
              <w:adjustRightInd w:val="0"/>
              <w:snapToGrid w:val="0"/>
              <w:jc w:val="center"/>
              <w:rPr>
                <w:rFonts w:ascii="Times New Roman" w:eastAsia="宋体"/>
                <w:color w:val="auto"/>
                <w:sz w:val="21"/>
                <w:szCs w:val="21"/>
                <w:u w:val="single"/>
              </w:rPr>
            </w:pPr>
            <w:r>
              <w:rPr>
                <w:rFonts w:hint="eastAsia" w:ascii="Times New Roman" w:eastAsia="宋体"/>
                <w:color w:val="auto"/>
                <w:sz w:val="21"/>
                <w:szCs w:val="21"/>
                <w:u w:val="single"/>
                <w:lang w:val="en-US" w:eastAsia="zh-CN"/>
              </w:rPr>
              <w:t>在厂区南侧</w:t>
            </w:r>
            <w:r>
              <w:rPr>
                <w:rFonts w:hint="eastAsia" w:ascii="Times New Roman" w:eastAsia="宋体"/>
                <w:color w:val="auto"/>
                <w:sz w:val="21"/>
                <w:szCs w:val="21"/>
                <w:u w:val="single"/>
              </w:rPr>
              <w:t>设5㎡危废暂存间，暂存后定期委托有资质单位清运处置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jc w:val="center"/>
              <w:rPr>
                <w:rFonts w:ascii="Times New Roman" w:eastAsia="宋体"/>
                <w:color w:val="auto"/>
                <w:kern w:val="2"/>
                <w:sz w:val="21"/>
                <w:szCs w:val="21"/>
                <w:u w:val="single"/>
              </w:rPr>
            </w:pPr>
            <w:r>
              <w:rPr>
                <w:rFonts w:ascii="Times New Roman" w:eastAsia="宋体"/>
                <w:color w:val="auto"/>
                <w:sz w:val="21"/>
                <w:szCs w:val="21"/>
                <w:u w:val="single"/>
              </w:rPr>
              <w:t>噪声防治</w:t>
            </w:r>
          </w:p>
        </w:tc>
        <w:tc>
          <w:tcPr>
            <w:tcW w:w="4718" w:type="dxa"/>
            <w:tcBorders>
              <w:tl2br w:val="nil"/>
              <w:tr2bl w:val="nil"/>
            </w:tcBorders>
            <w:vAlign w:val="center"/>
          </w:tcPr>
          <w:p>
            <w:pPr>
              <w:jc w:val="center"/>
              <w:rPr>
                <w:rFonts w:ascii="Times New Roman" w:eastAsia="宋体"/>
                <w:color w:val="auto"/>
                <w:kern w:val="2"/>
                <w:sz w:val="21"/>
                <w:szCs w:val="21"/>
                <w:u w:val="single"/>
              </w:rPr>
            </w:pPr>
            <w:r>
              <w:rPr>
                <w:rFonts w:ascii="Times New Roman" w:eastAsia="宋体"/>
                <w:color w:val="auto"/>
                <w:sz w:val="21"/>
                <w:szCs w:val="21"/>
                <w:u w:val="single"/>
              </w:rPr>
              <w:t>减震基础、建筑物隔声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718"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bookmarkStart w:id="281" w:name="_Toc9718"/>
          </w:p>
        </w:tc>
        <w:tc>
          <w:tcPr>
            <w:tcW w:w="1235" w:type="dxa"/>
            <w:vMerge w:val="continue"/>
            <w:tcBorders>
              <w:tl2br w:val="nil"/>
              <w:tr2bl w:val="nil"/>
            </w:tcBorders>
            <w:vAlign w:val="center"/>
          </w:tcPr>
          <w:p>
            <w:pPr>
              <w:adjustRightInd w:val="0"/>
              <w:snapToGrid w:val="0"/>
              <w:jc w:val="center"/>
              <w:rPr>
                <w:rFonts w:ascii="Times New Roman" w:eastAsia="宋体"/>
                <w:color w:val="auto"/>
                <w:sz w:val="21"/>
                <w:szCs w:val="21"/>
                <w:u w:val="single"/>
              </w:rPr>
            </w:pPr>
          </w:p>
        </w:tc>
        <w:tc>
          <w:tcPr>
            <w:tcW w:w="1686" w:type="dxa"/>
            <w:gridSpan w:val="2"/>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地下水监测井</w:t>
            </w:r>
          </w:p>
        </w:tc>
        <w:tc>
          <w:tcPr>
            <w:tcW w:w="4718" w:type="dxa"/>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项目下游建设一口地下水监测井</w:t>
            </w:r>
            <w:r>
              <w:rPr>
                <w:rFonts w:hint="eastAsia" w:ascii="Times New Roman" w:eastAsia="宋体"/>
                <w:color w:val="auto"/>
                <w:sz w:val="21"/>
                <w:szCs w:val="21"/>
                <w:u w:val="single"/>
                <w:lang w:eastAsia="zh-CN"/>
              </w:rPr>
              <w:t>（</w:t>
            </w:r>
            <w:r>
              <w:rPr>
                <w:rFonts w:hint="eastAsia" w:ascii="Times New Roman" w:eastAsia="宋体"/>
                <w:color w:val="auto"/>
                <w:sz w:val="21"/>
                <w:szCs w:val="21"/>
                <w:u w:val="single"/>
                <w:lang w:val="en-US" w:eastAsia="zh-CN"/>
              </w:rPr>
              <w:t>兼具地下水取水功能</w:t>
            </w:r>
            <w:r>
              <w:rPr>
                <w:rFonts w:hint="eastAsia" w:ascii="Times New Roman" w:eastAsia="宋体"/>
                <w:color w:val="auto"/>
                <w:sz w:val="21"/>
                <w:szCs w:val="21"/>
                <w:u w:val="single"/>
                <w:lang w:eastAsia="zh-CN"/>
              </w:rPr>
              <w:t>）</w:t>
            </w:r>
            <w:r>
              <w:rPr>
                <w:rFonts w:hint="eastAsia" w:ascii="Times New Roman" w:eastAsia="宋体"/>
                <w:color w:val="auto"/>
                <w:sz w:val="21"/>
                <w:szCs w:val="21"/>
                <w:u w:val="single"/>
                <w:lang w:val="en-US" w:eastAsia="zh-CN"/>
              </w:rPr>
              <w:t>）</w:t>
            </w:r>
          </w:p>
        </w:tc>
      </w:tr>
    </w:tbl>
    <w:p>
      <w:pPr>
        <w:spacing w:line="360" w:lineRule="auto"/>
        <w:ind w:firstLine="496" w:firstLineChars="200"/>
        <w:rPr>
          <w:rFonts w:hint="eastAsia" w:ascii="Times New Roman" w:eastAsia="宋体"/>
          <w:b/>
          <w:bCs/>
          <w:color w:val="auto"/>
          <w:kern w:val="2"/>
          <w:sz w:val="24"/>
          <w:u w:val="single"/>
        </w:rPr>
      </w:pPr>
      <w:r>
        <w:rPr>
          <w:rFonts w:hint="eastAsia" w:ascii="Times New Roman" w:eastAsia="宋体"/>
          <w:color w:val="auto"/>
          <w:u w:val="single"/>
          <w:lang w:val="en-US" w:eastAsia="zh-CN"/>
        </w:rPr>
        <w:t>岳阳湘佳牧业有限公司在立项后提交的《设施农用地备案申请表》和《岳阳县新建、扩建畜禽规模养殖场选址联合审批备案申请表》中申请“项目用地总规模（亩）”和“申请用地面积”为73亩，“常年存栏（笼）”为80万羽，实际审批用地面积为40313m</w:t>
      </w:r>
      <w:r>
        <w:rPr>
          <w:rFonts w:hint="eastAsia" w:ascii="Times New Roman" w:eastAsia="宋体"/>
          <w:color w:val="auto"/>
          <w:u w:val="single"/>
          <w:vertAlign w:val="superscript"/>
          <w:lang w:val="en-US" w:eastAsia="zh-CN"/>
        </w:rPr>
        <w:t>2</w:t>
      </w:r>
      <w:r>
        <w:rPr>
          <w:rFonts w:hint="eastAsia" w:ascii="Times New Roman" w:eastAsia="宋体"/>
          <w:color w:val="auto"/>
          <w:u w:val="single"/>
          <w:lang w:val="en-US" w:eastAsia="zh-CN"/>
        </w:rPr>
        <w:t>，常年存栏量为25万羽。</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3</w:t>
      </w:r>
      <w:r>
        <w:rPr>
          <w:rFonts w:ascii="Times New Roman" w:eastAsia="宋体"/>
          <w:b/>
          <w:bCs/>
          <w:color w:val="auto"/>
          <w:kern w:val="2"/>
          <w:sz w:val="24"/>
        </w:rPr>
        <w:t>.1.3养殖</w:t>
      </w:r>
      <w:bookmarkEnd w:id="281"/>
      <w:r>
        <w:rPr>
          <w:rFonts w:hint="eastAsia" w:ascii="Times New Roman" w:eastAsia="宋体"/>
          <w:b/>
          <w:bCs/>
          <w:color w:val="auto"/>
          <w:kern w:val="2"/>
          <w:sz w:val="24"/>
        </w:rPr>
        <w:t>规模</w:t>
      </w:r>
    </w:p>
    <w:p>
      <w:pPr>
        <w:spacing w:line="360" w:lineRule="auto"/>
        <w:ind w:firstLine="496" w:firstLineChars="200"/>
        <w:rPr>
          <w:rFonts w:ascii="Times New Roman" w:eastAsia="宋体"/>
          <w:color w:val="auto"/>
        </w:rPr>
      </w:pPr>
      <w:r>
        <w:rPr>
          <w:rFonts w:ascii="Times New Roman" w:eastAsia="宋体"/>
          <w:color w:val="auto"/>
        </w:rPr>
        <w:t>本项目进行肉鸡养殖，肉鸡养殖周期</w:t>
      </w:r>
      <w:r>
        <w:rPr>
          <w:rFonts w:hint="eastAsia" w:ascii="Times New Roman" w:eastAsia="宋体"/>
          <w:color w:val="auto"/>
        </w:rPr>
        <w:t>60</w:t>
      </w:r>
      <w:r>
        <w:rPr>
          <w:rFonts w:ascii="Times New Roman" w:eastAsia="宋体"/>
          <w:color w:val="auto"/>
        </w:rPr>
        <w:t>天，鸡舍空置</w:t>
      </w:r>
      <w:r>
        <w:rPr>
          <w:rFonts w:hint="eastAsia" w:ascii="Times New Roman" w:eastAsia="宋体"/>
          <w:color w:val="auto"/>
        </w:rPr>
        <w:t>30</w:t>
      </w:r>
      <w:r>
        <w:rPr>
          <w:rFonts w:ascii="Times New Roman" w:eastAsia="宋体"/>
          <w:color w:val="auto"/>
        </w:rPr>
        <w:t>天，以</w:t>
      </w:r>
      <w:r>
        <w:rPr>
          <w:rFonts w:hint="eastAsia" w:ascii="Times New Roman" w:eastAsia="宋体"/>
          <w:color w:val="auto"/>
        </w:rPr>
        <w:t>90</w:t>
      </w:r>
      <w:r>
        <w:rPr>
          <w:rFonts w:ascii="Times New Roman" w:eastAsia="宋体"/>
          <w:color w:val="auto"/>
        </w:rPr>
        <w:t>天为一栏进行肉鸡养殖，年养殖肉鸡</w:t>
      </w:r>
      <w:r>
        <w:rPr>
          <w:rFonts w:hint="eastAsia" w:ascii="Times New Roman" w:eastAsia="宋体"/>
          <w:color w:val="auto"/>
        </w:rPr>
        <w:t>4</w:t>
      </w:r>
      <w:r>
        <w:rPr>
          <w:rFonts w:ascii="Times New Roman" w:eastAsia="宋体"/>
          <w:color w:val="auto"/>
        </w:rPr>
        <w:t>栏，每栏出鸡</w:t>
      </w:r>
      <w:r>
        <w:rPr>
          <w:rFonts w:hint="eastAsia" w:ascii="Times New Roman" w:eastAsia="宋体"/>
          <w:color w:val="auto"/>
        </w:rPr>
        <w:t>25</w:t>
      </w:r>
      <w:r>
        <w:rPr>
          <w:rFonts w:ascii="Times New Roman" w:eastAsia="宋体"/>
          <w:color w:val="auto"/>
        </w:rPr>
        <w:t>万只。项目建成后将形成年出栏</w:t>
      </w:r>
      <w:r>
        <w:rPr>
          <w:rFonts w:hint="eastAsia" w:ascii="Times New Roman" w:eastAsia="宋体"/>
          <w:color w:val="auto"/>
        </w:rPr>
        <w:t>1</w:t>
      </w:r>
      <w:r>
        <w:rPr>
          <w:rFonts w:ascii="Times New Roman" w:eastAsia="宋体"/>
          <w:color w:val="auto"/>
        </w:rPr>
        <w:t>00万只肉鸡的养殖能力</w:t>
      </w:r>
      <w:r>
        <w:rPr>
          <w:rFonts w:hint="eastAsia" w:ascii="Times New Roman" w:eastAsia="宋体"/>
          <w:color w:val="auto"/>
        </w:rPr>
        <w:t>，</w:t>
      </w:r>
      <w:r>
        <w:rPr>
          <w:rFonts w:ascii="Times New Roman" w:eastAsia="宋体"/>
          <w:color w:val="auto"/>
        </w:rPr>
        <w:t>常年存栏量</w:t>
      </w:r>
      <w:r>
        <w:rPr>
          <w:rFonts w:hint="eastAsia" w:ascii="Times New Roman" w:eastAsia="宋体"/>
          <w:color w:val="auto"/>
        </w:rPr>
        <w:t>25万只。</w:t>
      </w:r>
      <w:r>
        <w:rPr>
          <w:rFonts w:ascii="Times New Roman" w:eastAsia="宋体"/>
          <w:color w:val="auto"/>
        </w:rPr>
        <w:t>养殖方案见表</w:t>
      </w:r>
      <w:r>
        <w:rPr>
          <w:rFonts w:hint="eastAsia" w:ascii="Times New Roman" w:eastAsia="宋体"/>
          <w:color w:val="auto"/>
        </w:rPr>
        <w:t>3</w:t>
      </w:r>
      <w:r>
        <w:rPr>
          <w:rFonts w:ascii="Times New Roman" w:eastAsia="宋体"/>
          <w:color w:val="auto"/>
        </w:rPr>
        <w:t>.1-2。</w:t>
      </w:r>
    </w:p>
    <w:p>
      <w:pPr>
        <w:keepNext/>
        <w:spacing w:beforeLines="50" w:line="0" w:lineRule="atLeast"/>
        <w:jc w:val="center"/>
        <w:rPr>
          <w:rFonts w:ascii="Times New Roman" w:eastAsia="宋体"/>
          <w:b/>
          <w:bCs/>
          <w:color w:val="auto"/>
          <w:spacing w:val="-2"/>
          <w:kern w:val="10"/>
          <w:sz w:val="21"/>
          <w:szCs w:val="21"/>
          <w:lang w:bidi="he-IL"/>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3</w:t>
      </w:r>
      <w:r>
        <w:rPr>
          <w:rFonts w:ascii="Times New Roman" w:eastAsia="宋体"/>
          <w:b/>
          <w:bCs/>
          <w:color w:val="auto"/>
          <w:spacing w:val="-2"/>
          <w:kern w:val="10"/>
          <w:sz w:val="21"/>
          <w:szCs w:val="21"/>
          <w:lang w:bidi="he-IL"/>
        </w:rPr>
        <w:t>.1-2  养殖方案一览表</w:t>
      </w:r>
    </w:p>
    <w:tbl>
      <w:tblPr>
        <w:tblStyle w:val="4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80"/>
        <w:gridCol w:w="2217"/>
        <w:gridCol w:w="1301"/>
        <w:gridCol w:w="17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9" w:type="dxa"/>
            <w:tcBorders>
              <w:left w:val="single" w:color="auto" w:sz="12" w:space="0"/>
            </w:tcBorders>
            <w:vAlign w:val="center"/>
          </w:tcPr>
          <w:p>
            <w:pPr>
              <w:spacing w:line="240" w:lineRule="exact"/>
              <w:ind w:right="143" w:rightChars="58"/>
              <w:jc w:val="center"/>
              <w:rPr>
                <w:rFonts w:ascii="Times New Roman" w:eastAsia="宋体"/>
                <w:b/>
                <w:color w:val="auto"/>
                <w:sz w:val="21"/>
                <w:szCs w:val="21"/>
              </w:rPr>
            </w:pPr>
            <w:r>
              <w:rPr>
                <w:rFonts w:ascii="Times New Roman" w:eastAsia="宋体"/>
                <w:b/>
                <w:color w:val="auto"/>
                <w:sz w:val="21"/>
                <w:szCs w:val="21"/>
              </w:rPr>
              <w:t>产品名称</w:t>
            </w:r>
          </w:p>
        </w:tc>
        <w:tc>
          <w:tcPr>
            <w:tcW w:w="1480" w:type="dxa"/>
            <w:vAlign w:val="center"/>
          </w:tcPr>
          <w:p>
            <w:pPr>
              <w:spacing w:line="240" w:lineRule="exact"/>
              <w:ind w:right="143" w:rightChars="58"/>
              <w:jc w:val="center"/>
              <w:rPr>
                <w:rFonts w:ascii="Times New Roman" w:eastAsia="宋体"/>
                <w:b/>
                <w:color w:val="auto"/>
                <w:sz w:val="21"/>
                <w:szCs w:val="21"/>
              </w:rPr>
            </w:pPr>
            <w:r>
              <w:rPr>
                <w:rFonts w:ascii="Times New Roman" w:eastAsia="宋体"/>
                <w:b/>
                <w:color w:val="auto"/>
                <w:sz w:val="21"/>
                <w:szCs w:val="21"/>
              </w:rPr>
              <w:t>常年存栏量(万只)</w:t>
            </w:r>
          </w:p>
        </w:tc>
        <w:tc>
          <w:tcPr>
            <w:tcW w:w="2217" w:type="dxa"/>
            <w:vAlign w:val="center"/>
          </w:tcPr>
          <w:p>
            <w:pPr>
              <w:spacing w:line="240" w:lineRule="exact"/>
              <w:ind w:right="143" w:rightChars="58"/>
              <w:jc w:val="center"/>
              <w:rPr>
                <w:rFonts w:ascii="Times New Roman" w:eastAsia="宋体"/>
                <w:b/>
                <w:color w:val="auto"/>
                <w:sz w:val="21"/>
                <w:szCs w:val="21"/>
              </w:rPr>
            </w:pPr>
            <w:r>
              <w:rPr>
                <w:rFonts w:ascii="Times New Roman" w:eastAsia="宋体"/>
                <w:b/>
                <w:color w:val="auto"/>
                <w:sz w:val="21"/>
                <w:szCs w:val="21"/>
              </w:rPr>
              <w:t>养殖周期</w:t>
            </w:r>
          </w:p>
        </w:tc>
        <w:tc>
          <w:tcPr>
            <w:tcW w:w="1301" w:type="dxa"/>
            <w:vAlign w:val="center"/>
          </w:tcPr>
          <w:p>
            <w:pPr>
              <w:spacing w:line="240" w:lineRule="exact"/>
              <w:ind w:right="143" w:rightChars="58"/>
              <w:jc w:val="center"/>
              <w:rPr>
                <w:rFonts w:ascii="Times New Roman" w:eastAsia="宋体"/>
                <w:b/>
                <w:color w:val="auto"/>
                <w:sz w:val="21"/>
                <w:szCs w:val="21"/>
              </w:rPr>
            </w:pPr>
            <w:r>
              <w:rPr>
                <w:rFonts w:ascii="Times New Roman" w:eastAsia="宋体"/>
                <w:b/>
                <w:color w:val="auto"/>
                <w:sz w:val="21"/>
                <w:szCs w:val="21"/>
              </w:rPr>
              <w:t>年出栏量(万只)</w:t>
            </w:r>
          </w:p>
        </w:tc>
        <w:tc>
          <w:tcPr>
            <w:tcW w:w="1776" w:type="dxa"/>
            <w:tcBorders>
              <w:right w:val="single" w:color="auto" w:sz="12" w:space="0"/>
            </w:tcBorders>
            <w:vAlign w:val="center"/>
          </w:tcPr>
          <w:p>
            <w:pPr>
              <w:spacing w:line="240" w:lineRule="exact"/>
              <w:ind w:right="143" w:rightChars="58"/>
              <w:jc w:val="center"/>
              <w:rPr>
                <w:rFonts w:ascii="Times New Roman" w:eastAsia="宋体"/>
                <w:b/>
                <w:color w:val="auto"/>
                <w:sz w:val="21"/>
                <w:szCs w:val="21"/>
              </w:rPr>
            </w:pPr>
            <w:r>
              <w:rPr>
                <w:rFonts w:ascii="Times New Roman" w:eastAsia="宋体"/>
                <w:b/>
                <w:color w:val="auto"/>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9" w:type="dxa"/>
            <w:tcBorders>
              <w:left w:val="single" w:color="auto" w:sz="12" w:space="0"/>
            </w:tcBorders>
            <w:vAlign w:val="center"/>
          </w:tcPr>
          <w:p>
            <w:pPr>
              <w:spacing w:line="240" w:lineRule="exact"/>
              <w:ind w:right="143" w:rightChars="58"/>
              <w:jc w:val="center"/>
              <w:rPr>
                <w:rFonts w:ascii="Times New Roman" w:eastAsia="宋体"/>
                <w:bCs/>
                <w:color w:val="auto"/>
                <w:sz w:val="21"/>
                <w:szCs w:val="21"/>
              </w:rPr>
            </w:pPr>
            <w:r>
              <w:rPr>
                <w:rFonts w:ascii="Times New Roman" w:eastAsia="宋体"/>
                <w:bCs/>
                <w:color w:val="auto"/>
                <w:sz w:val="21"/>
                <w:szCs w:val="21"/>
              </w:rPr>
              <w:t>肉鸡</w:t>
            </w:r>
          </w:p>
        </w:tc>
        <w:tc>
          <w:tcPr>
            <w:tcW w:w="1480" w:type="dxa"/>
            <w:vAlign w:val="center"/>
          </w:tcPr>
          <w:p>
            <w:pPr>
              <w:spacing w:line="240" w:lineRule="exact"/>
              <w:ind w:right="143" w:rightChars="58"/>
              <w:jc w:val="center"/>
              <w:rPr>
                <w:rFonts w:ascii="Times New Roman" w:eastAsia="宋体"/>
                <w:bCs/>
                <w:color w:val="auto"/>
                <w:sz w:val="21"/>
                <w:szCs w:val="21"/>
              </w:rPr>
            </w:pPr>
            <w:r>
              <w:rPr>
                <w:rFonts w:hint="eastAsia" w:ascii="Times New Roman" w:eastAsia="宋体"/>
                <w:bCs/>
                <w:color w:val="auto"/>
                <w:sz w:val="21"/>
                <w:szCs w:val="21"/>
              </w:rPr>
              <w:t>25</w:t>
            </w:r>
          </w:p>
        </w:tc>
        <w:tc>
          <w:tcPr>
            <w:tcW w:w="2217" w:type="dxa"/>
            <w:vAlign w:val="center"/>
          </w:tcPr>
          <w:p>
            <w:pPr>
              <w:spacing w:line="240" w:lineRule="exact"/>
              <w:ind w:right="143" w:rightChars="58"/>
              <w:jc w:val="center"/>
              <w:rPr>
                <w:rFonts w:ascii="Times New Roman" w:eastAsia="宋体"/>
                <w:bCs/>
                <w:color w:val="auto"/>
                <w:sz w:val="21"/>
                <w:szCs w:val="21"/>
              </w:rPr>
            </w:pPr>
            <w:r>
              <w:rPr>
                <w:rFonts w:hint="eastAsia" w:ascii="Times New Roman" w:eastAsia="宋体"/>
                <w:bCs/>
                <w:color w:val="auto"/>
                <w:sz w:val="21"/>
                <w:szCs w:val="21"/>
              </w:rPr>
              <w:t>60</w:t>
            </w:r>
            <w:r>
              <w:rPr>
                <w:rFonts w:ascii="Times New Roman" w:eastAsia="宋体"/>
                <w:bCs/>
                <w:color w:val="auto"/>
                <w:sz w:val="21"/>
                <w:szCs w:val="21"/>
              </w:rPr>
              <w:t>天/批、</w:t>
            </w:r>
          </w:p>
          <w:p>
            <w:pPr>
              <w:spacing w:line="240" w:lineRule="exact"/>
              <w:ind w:right="143" w:rightChars="58"/>
              <w:jc w:val="center"/>
              <w:rPr>
                <w:rFonts w:ascii="Times New Roman" w:eastAsia="宋体"/>
                <w:bCs/>
                <w:color w:val="auto"/>
                <w:sz w:val="21"/>
                <w:szCs w:val="21"/>
              </w:rPr>
            </w:pPr>
            <w:r>
              <w:rPr>
                <w:rFonts w:hint="eastAsia" w:ascii="Times New Roman" w:eastAsia="宋体"/>
                <w:bCs/>
                <w:color w:val="auto"/>
                <w:sz w:val="21"/>
                <w:szCs w:val="21"/>
              </w:rPr>
              <w:t>4</w:t>
            </w:r>
            <w:r>
              <w:rPr>
                <w:rFonts w:ascii="Times New Roman" w:eastAsia="宋体"/>
                <w:bCs/>
                <w:color w:val="auto"/>
                <w:sz w:val="21"/>
                <w:szCs w:val="21"/>
              </w:rPr>
              <w:t>批/年</w:t>
            </w:r>
          </w:p>
        </w:tc>
        <w:tc>
          <w:tcPr>
            <w:tcW w:w="1301" w:type="dxa"/>
            <w:vAlign w:val="center"/>
          </w:tcPr>
          <w:p>
            <w:pPr>
              <w:spacing w:line="240" w:lineRule="exact"/>
              <w:ind w:right="143" w:rightChars="58"/>
              <w:jc w:val="center"/>
              <w:rPr>
                <w:rFonts w:ascii="Times New Roman" w:eastAsia="宋体"/>
                <w:bCs/>
                <w:color w:val="auto"/>
                <w:sz w:val="21"/>
                <w:szCs w:val="21"/>
              </w:rPr>
            </w:pPr>
            <w:r>
              <w:rPr>
                <w:rFonts w:hint="eastAsia" w:ascii="Times New Roman" w:eastAsia="宋体"/>
                <w:bCs/>
                <w:color w:val="auto"/>
                <w:sz w:val="21"/>
                <w:szCs w:val="21"/>
              </w:rPr>
              <w:t>100</w:t>
            </w:r>
          </w:p>
        </w:tc>
        <w:tc>
          <w:tcPr>
            <w:tcW w:w="1776" w:type="dxa"/>
            <w:tcBorders>
              <w:right w:val="single" w:color="auto" w:sz="12" w:space="0"/>
            </w:tcBorders>
            <w:vAlign w:val="center"/>
          </w:tcPr>
          <w:p>
            <w:pPr>
              <w:spacing w:line="240" w:lineRule="exact"/>
              <w:ind w:right="143" w:rightChars="58"/>
              <w:jc w:val="center"/>
              <w:rPr>
                <w:rFonts w:ascii="Times New Roman" w:eastAsia="宋体"/>
                <w:bCs/>
                <w:color w:val="auto"/>
                <w:sz w:val="21"/>
                <w:szCs w:val="21"/>
              </w:rPr>
            </w:pPr>
            <w:r>
              <w:rPr>
                <w:rFonts w:ascii="Times New Roman" w:eastAsia="宋体"/>
                <w:color w:val="auto"/>
                <w:sz w:val="21"/>
                <w:szCs w:val="21"/>
              </w:rPr>
              <w:t>每批空栏时间约为</w:t>
            </w:r>
            <w:r>
              <w:rPr>
                <w:rFonts w:hint="eastAsia" w:ascii="Times New Roman" w:eastAsia="宋体"/>
                <w:color w:val="auto"/>
                <w:sz w:val="21"/>
                <w:szCs w:val="21"/>
              </w:rPr>
              <w:t>30</w:t>
            </w:r>
            <w:r>
              <w:rPr>
                <w:rFonts w:ascii="Times New Roman" w:eastAsia="宋体"/>
                <w:color w:val="auto"/>
                <w:sz w:val="21"/>
                <w:szCs w:val="21"/>
              </w:rPr>
              <w:t>天</w:t>
            </w:r>
          </w:p>
        </w:tc>
      </w:tr>
    </w:tbl>
    <w:p>
      <w:pPr>
        <w:pStyle w:val="4"/>
        <w:spacing w:before="0" w:after="0" w:line="360" w:lineRule="auto"/>
        <w:rPr>
          <w:rFonts w:ascii="Times New Roman" w:eastAsia="宋体"/>
          <w:b/>
          <w:bCs/>
          <w:color w:val="auto"/>
          <w:kern w:val="2"/>
          <w:sz w:val="24"/>
        </w:rPr>
      </w:pPr>
      <w:bookmarkStart w:id="282" w:name="_Toc28887"/>
      <w:r>
        <w:rPr>
          <w:rFonts w:hint="eastAsia" w:ascii="Times New Roman" w:eastAsia="宋体"/>
          <w:b/>
          <w:bCs/>
          <w:color w:val="auto"/>
          <w:kern w:val="2"/>
          <w:sz w:val="24"/>
        </w:rPr>
        <w:t>3</w:t>
      </w:r>
      <w:r>
        <w:rPr>
          <w:rFonts w:ascii="Times New Roman" w:eastAsia="宋体"/>
          <w:b/>
          <w:bCs/>
          <w:color w:val="auto"/>
          <w:kern w:val="2"/>
          <w:sz w:val="24"/>
        </w:rPr>
        <w:t>.1.4原辅材料及能源消耗</w:t>
      </w:r>
      <w:bookmarkEnd w:id="282"/>
    </w:p>
    <w:p>
      <w:pPr>
        <w:spacing w:line="360" w:lineRule="auto"/>
        <w:ind w:firstLine="496" w:firstLineChars="200"/>
        <w:rPr>
          <w:rFonts w:ascii="Times New Roman" w:eastAsia="宋体"/>
          <w:color w:val="auto"/>
        </w:rPr>
      </w:pPr>
      <w:r>
        <w:rPr>
          <w:rFonts w:ascii="Times New Roman" w:eastAsia="宋体"/>
          <w:color w:val="auto"/>
        </w:rPr>
        <w:t>项目原辅材料主要为</w:t>
      </w:r>
      <w:r>
        <w:rPr>
          <w:rFonts w:ascii="Times New Roman" w:eastAsia="宋体"/>
          <w:color w:val="auto"/>
          <w:sz w:val="21"/>
          <w:szCs w:val="21"/>
        </w:rPr>
        <w:t>肉雏鸡</w:t>
      </w:r>
      <w:r>
        <w:rPr>
          <w:rFonts w:hint="eastAsia" w:ascii="Times New Roman" w:eastAsia="宋体"/>
          <w:color w:val="auto"/>
        </w:rPr>
        <w:t>、</w:t>
      </w:r>
      <w:r>
        <w:rPr>
          <w:rFonts w:ascii="Times New Roman" w:eastAsia="宋体"/>
          <w:color w:val="auto"/>
        </w:rPr>
        <w:t>饲料、防疫用品等，具体见表</w:t>
      </w:r>
      <w:r>
        <w:rPr>
          <w:rFonts w:hint="eastAsia" w:ascii="Times New Roman" w:eastAsia="宋体"/>
          <w:color w:val="auto"/>
        </w:rPr>
        <w:t>3</w:t>
      </w:r>
      <w:r>
        <w:rPr>
          <w:rFonts w:ascii="Times New Roman" w:eastAsia="宋体"/>
          <w:color w:val="auto"/>
        </w:rPr>
        <w:t>.1-3。</w:t>
      </w:r>
    </w:p>
    <w:p>
      <w:pPr>
        <w:keepNext/>
        <w:spacing w:beforeLines="50" w:line="0" w:lineRule="atLeast"/>
        <w:jc w:val="center"/>
        <w:rPr>
          <w:rFonts w:ascii="Times New Roman" w:eastAsia="宋体"/>
          <w:b/>
          <w:bCs/>
          <w:color w:val="auto"/>
          <w:spacing w:val="-2"/>
          <w:kern w:val="10"/>
          <w:sz w:val="21"/>
          <w:szCs w:val="21"/>
          <w:lang w:bidi="he-IL"/>
        </w:rPr>
      </w:pPr>
      <w:bookmarkStart w:id="283" w:name="_Ref490646608"/>
      <w:r>
        <w:rPr>
          <w:rFonts w:ascii="Times New Roman" w:eastAsia="宋体"/>
          <w:b/>
          <w:bCs/>
          <w:color w:val="auto"/>
          <w:spacing w:val="-2"/>
          <w:kern w:val="10"/>
          <w:sz w:val="21"/>
          <w:szCs w:val="21"/>
          <w:lang w:bidi="he-IL"/>
        </w:rPr>
        <w:t>表</w:t>
      </w:r>
      <w:bookmarkEnd w:id="283"/>
      <w:r>
        <w:rPr>
          <w:rFonts w:hint="eastAsia" w:ascii="Times New Roman" w:eastAsia="宋体"/>
          <w:b/>
          <w:bCs/>
          <w:color w:val="auto"/>
          <w:spacing w:val="-2"/>
          <w:kern w:val="10"/>
          <w:sz w:val="21"/>
          <w:szCs w:val="21"/>
          <w:lang w:bidi="he-IL"/>
        </w:rPr>
        <w:t>3</w:t>
      </w:r>
      <w:r>
        <w:rPr>
          <w:rFonts w:ascii="Times New Roman" w:eastAsia="宋体"/>
          <w:b/>
          <w:bCs/>
          <w:color w:val="auto"/>
          <w:spacing w:val="-2"/>
          <w:kern w:val="10"/>
          <w:sz w:val="21"/>
          <w:szCs w:val="21"/>
          <w:lang w:bidi="he-IL"/>
        </w:rPr>
        <w:t>.1-3项目原辅材料及能源消耗情况一览表</w:t>
      </w:r>
    </w:p>
    <w:tbl>
      <w:tblPr>
        <w:tblStyle w:val="4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9"/>
        <w:gridCol w:w="800"/>
        <w:gridCol w:w="726"/>
        <w:gridCol w:w="654"/>
        <w:gridCol w:w="1704"/>
        <w:gridCol w:w="696"/>
        <w:gridCol w:w="957"/>
        <w:gridCol w:w="943"/>
        <w:gridCol w:w="13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59" w:type="dxa"/>
            <w:tcBorders>
              <w:tl2br w:val="nil"/>
              <w:tr2bl w:val="nil"/>
            </w:tcBorders>
            <w:vAlign w:val="center"/>
          </w:tcPr>
          <w:p>
            <w:pPr>
              <w:pStyle w:val="373"/>
              <w:rPr>
                <w:b/>
                <w:color w:val="auto"/>
              </w:rPr>
            </w:pPr>
            <w:r>
              <w:rPr>
                <w:b/>
                <w:color w:val="auto"/>
              </w:rPr>
              <w:t>序号</w:t>
            </w:r>
          </w:p>
        </w:tc>
        <w:tc>
          <w:tcPr>
            <w:tcW w:w="800" w:type="dxa"/>
            <w:tcBorders>
              <w:tl2br w:val="nil"/>
              <w:tr2bl w:val="nil"/>
            </w:tcBorders>
            <w:vAlign w:val="center"/>
          </w:tcPr>
          <w:p>
            <w:pPr>
              <w:pStyle w:val="373"/>
              <w:rPr>
                <w:b/>
                <w:color w:val="auto"/>
              </w:rPr>
            </w:pPr>
            <w:r>
              <w:rPr>
                <w:b/>
                <w:color w:val="auto"/>
              </w:rPr>
              <w:t>名称</w:t>
            </w:r>
          </w:p>
        </w:tc>
        <w:tc>
          <w:tcPr>
            <w:tcW w:w="726" w:type="dxa"/>
            <w:tcBorders>
              <w:tl2br w:val="nil"/>
              <w:tr2bl w:val="nil"/>
            </w:tcBorders>
            <w:vAlign w:val="center"/>
          </w:tcPr>
          <w:p>
            <w:pPr>
              <w:pStyle w:val="373"/>
              <w:rPr>
                <w:b/>
                <w:color w:val="auto"/>
              </w:rPr>
            </w:pPr>
            <w:r>
              <w:rPr>
                <w:b/>
                <w:color w:val="auto"/>
              </w:rPr>
              <w:t>用量</w:t>
            </w:r>
          </w:p>
        </w:tc>
        <w:tc>
          <w:tcPr>
            <w:tcW w:w="654" w:type="dxa"/>
            <w:tcBorders>
              <w:tl2br w:val="nil"/>
              <w:tr2bl w:val="nil"/>
            </w:tcBorders>
            <w:vAlign w:val="center"/>
          </w:tcPr>
          <w:p>
            <w:pPr>
              <w:pStyle w:val="373"/>
              <w:rPr>
                <w:b/>
                <w:color w:val="auto"/>
              </w:rPr>
            </w:pPr>
            <w:r>
              <w:rPr>
                <w:b/>
                <w:color w:val="auto"/>
              </w:rPr>
              <w:t>性状</w:t>
            </w:r>
          </w:p>
        </w:tc>
        <w:tc>
          <w:tcPr>
            <w:tcW w:w="1704" w:type="dxa"/>
            <w:tcBorders>
              <w:tl2br w:val="nil"/>
              <w:tr2bl w:val="nil"/>
            </w:tcBorders>
            <w:vAlign w:val="center"/>
          </w:tcPr>
          <w:p>
            <w:pPr>
              <w:pStyle w:val="373"/>
              <w:rPr>
                <w:b/>
                <w:color w:val="auto"/>
              </w:rPr>
            </w:pPr>
            <w:r>
              <w:rPr>
                <w:b/>
                <w:color w:val="auto"/>
              </w:rPr>
              <w:t>主要成分</w:t>
            </w:r>
          </w:p>
        </w:tc>
        <w:tc>
          <w:tcPr>
            <w:tcW w:w="696" w:type="dxa"/>
            <w:tcBorders>
              <w:tl2br w:val="nil"/>
              <w:tr2bl w:val="nil"/>
            </w:tcBorders>
            <w:vAlign w:val="center"/>
          </w:tcPr>
          <w:p>
            <w:pPr>
              <w:pStyle w:val="373"/>
              <w:rPr>
                <w:b/>
                <w:color w:val="auto"/>
              </w:rPr>
            </w:pPr>
            <w:r>
              <w:rPr>
                <w:b/>
                <w:color w:val="auto"/>
              </w:rPr>
              <w:t>包装</w:t>
            </w:r>
          </w:p>
        </w:tc>
        <w:tc>
          <w:tcPr>
            <w:tcW w:w="957" w:type="dxa"/>
            <w:tcBorders>
              <w:tl2br w:val="nil"/>
              <w:tr2bl w:val="nil"/>
            </w:tcBorders>
            <w:vAlign w:val="center"/>
          </w:tcPr>
          <w:p>
            <w:pPr>
              <w:pStyle w:val="373"/>
              <w:rPr>
                <w:b/>
                <w:color w:val="auto"/>
              </w:rPr>
            </w:pPr>
            <w:r>
              <w:rPr>
                <w:b/>
                <w:color w:val="auto"/>
              </w:rPr>
              <w:t>储存</w:t>
            </w:r>
          </w:p>
        </w:tc>
        <w:tc>
          <w:tcPr>
            <w:tcW w:w="943" w:type="dxa"/>
            <w:tcBorders>
              <w:tl2br w:val="nil"/>
              <w:tr2bl w:val="nil"/>
            </w:tcBorders>
            <w:vAlign w:val="center"/>
          </w:tcPr>
          <w:p>
            <w:pPr>
              <w:pStyle w:val="373"/>
              <w:rPr>
                <w:b/>
                <w:color w:val="auto"/>
              </w:rPr>
            </w:pPr>
            <w:r>
              <w:rPr>
                <w:b/>
                <w:color w:val="auto"/>
              </w:rPr>
              <w:t>来源</w:t>
            </w:r>
          </w:p>
        </w:tc>
        <w:tc>
          <w:tcPr>
            <w:tcW w:w="1317" w:type="dxa"/>
            <w:tcBorders>
              <w:tl2br w:val="nil"/>
              <w:tr2bl w:val="nil"/>
            </w:tcBorders>
            <w:vAlign w:val="center"/>
          </w:tcPr>
          <w:p>
            <w:pPr>
              <w:pStyle w:val="373"/>
              <w:rPr>
                <w:b/>
                <w:color w:val="auto"/>
              </w:rPr>
            </w:pPr>
            <w:r>
              <w:rPr>
                <w:b/>
                <w:color w:val="auto"/>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1" w:hRule="atLeast"/>
        </w:trPr>
        <w:tc>
          <w:tcPr>
            <w:tcW w:w="659" w:type="dxa"/>
            <w:tcBorders>
              <w:tl2br w:val="nil"/>
              <w:tr2bl w:val="nil"/>
            </w:tcBorders>
            <w:vAlign w:val="center"/>
          </w:tcPr>
          <w:p>
            <w:pPr>
              <w:pStyle w:val="373"/>
              <w:rPr>
                <w:color w:val="auto"/>
              </w:rPr>
            </w:pPr>
            <w:r>
              <w:rPr>
                <w:color w:val="auto"/>
              </w:rPr>
              <w:t>1</w:t>
            </w:r>
          </w:p>
        </w:tc>
        <w:tc>
          <w:tcPr>
            <w:tcW w:w="800" w:type="dxa"/>
            <w:tcBorders>
              <w:tl2br w:val="nil"/>
              <w:tr2bl w:val="nil"/>
            </w:tcBorders>
            <w:vAlign w:val="center"/>
          </w:tcPr>
          <w:p>
            <w:pPr>
              <w:pStyle w:val="373"/>
              <w:rPr>
                <w:color w:val="auto"/>
              </w:rPr>
            </w:pPr>
            <w:r>
              <w:rPr>
                <w:color w:val="auto"/>
              </w:rPr>
              <w:t>肉雏鸡</w:t>
            </w:r>
          </w:p>
        </w:tc>
        <w:tc>
          <w:tcPr>
            <w:tcW w:w="726" w:type="dxa"/>
            <w:tcBorders>
              <w:tl2br w:val="nil"/>
              <w:tr2bl w:val="nil"/>
            </w:tcBorders>
            <w:vAlign w:val="center"/>
          </w:tcPr>
          <w:p>
            <w:pPr>
              <w:pStyle w:val="373"/>
              <w:rPr>
                <w:color w:val="auto"/>
                <w:sz w:val="24"/>
                <w:szCs w:val="24"/>
              </w:rPr>
            </w:pPr>
            <w:r>
              <w:rPr>
                <w:rFonts w:hint="eastAsia"/>
                <w:color w:val="auto"/>
              </w:rPr>
              <w:t>100万</w:t>
            </w:r>
            <w:r>
              <w:rPr>
                <w:color w:val="auto"/>
              </w:rPr>
              <w:t>只/年</w:t>
            </w:r>
          </w:p>
        </w:tc>
        <w:tc>
          <w:tcPr>
            <w:tcW w:w="654" w:type="dxa"/>
            <w:tcBorders>
              <w:tl2br w:val="nil"/>
              <w:tr2bl w:val="nil"/>
            </w:tcBorders>
            <w:vAlign w:val="center"/>
          </w:tcPr>
          <w:p>
            <w:pPr>
              <w:pStyle w:val="373"/>
              <w:rPr>
                <w:color w:val="auto"/>
              </w:rPr>
            </w:pPr>
            <w:r>
              <w:rPr>
                <w:color w:val="auto"/>
              </w:rPr>
              <w:t>/</w:t>
            </w:r>
          </w:p>
        </w:tc>
        <w:tc>
          <w:tcPr>
            <w:tcW w:w="1704" w:type="dxa"/>
            <w:tcBorders>
              <w:tl2br w:val="nil"/>
              <w:tr2bl w:val="nil"/>
            </w:tcBorders>
            <w:vAlign w:val="center"/>
          </w:tcPr>
          <w:p>
            <w:pPr>
              <w:pStyle w:val="373"/>
              <w:rPr>
                <w:color w:val="auto"/>
              </w:rPr>
            </w:pPr>
            <w:r>
              <w:rPr>
                <w:color w:val="auto"/>
              </w:rPr>
              <w:t>/</w:t>
            </w:r>
          </w:p>
        </w:tc>
        <w:tc>
          <w:tcPr>
            <w:tcW w:w="696" w:type="dxa"/>
            <w:tcBorders>
              <w:tl2br w:val="nil"/>
              <w:tr2bl w:val="nil"/>
            </w:tcBorders>
            <w:vAlign w:val="center"/>
          </w:tcPr>
          <w:p>
            <w:pPr>
              <w:pStyle w:val="373"/>
              <w:rPr>
                <w:color w:val="auto"/>
              </w:rPr>
            </w:pPr>
            <w:r>
              <w:rPr>
                <w:color w:val="auto"/>
              </w:rPr>
              <w:t>/</w:t>
            </w:r>
          </w:p>
        </w:tc>
        <w:tc>
          <w:tcPr>
            <w:tcW w:w="957" w:type="dxa"/>
            <w:tcBorders>
              <w:tl2br w:val="nil"/>
              <w:tr2bl w:val="nil"/>
            </w:tcBorders>
            <w:vAlign w:val="center"/>
          </w:tcPr>
          <w:p>
            <w:pPr>
              <w:pStyle w:val="373"/>
              <w:rPr>
                <w:color w:val="auto"/>
              </w:rPr>
            </w:pPr>
            <w:r>
              <w:rPr>
                <w:color w:val="auto"/>
              </w:rPr>
              <w:t>/</w:t>
            </w:r>
          </w:p>
        </w:tc>
        <w:tc>
          <w:tcPr>
            <w:tcW w:w="943" w:type="dxa"/>
            <w:tcBorders>
              <w:tl2br w:val="nil"/>
              <w:tr2bl w:val="nil"/>
            </w:tcBorders>
            <w:vAlign w:val="center"/>
          </w:tcPr>
          <w:p>
            <w:pPr>
              <w:pStyle w:val="373"/>
              <w:rPr>
                <w:color w:val="auto"/>
              </w:rPr>
            </w:pPr>
            <w:r>
              <w:rPr>
                <w:rFonts w:hint="eastAsia"/>
                <w:color w:val="auto"/>
              </w:rPr>
              <w:t>湖南湘佳牧业股份有限公司</w:t>
            </w:r>
          </w:p>
        </w:tc>
        <w:tc>
          <w:tcPr>
            <w:tcW w:w="1317" w:type="dxa"/>
            <w:tcBorders>
              <w:tl2br w:val="nil"/>
              <w:tr2bl w:val="nil"/>
            </w:tcBorders>
            <w:vAlign w:val="center"/>
          </w:tcPr>
          <w:p>
            <w:pPr>
              <w:pStyle w:val="373"/>
              <w:rPr>
                <w:color w:val="auto"/>
              </w:rPr>
            </w:pPr>
            <w:r>
              <w:rPr>
                <w:color w:val="auto"/>
              </w:rPr>
              <w:t>根据计划，一年分</w:t>
            </w:r>
            <w:r>
              <w:rPr>
                <w:rFonts w:hint="eastAsia"/>
                <w:color w:val="auto"/>
              </w:rPr>
              <w:t>4</w:t>
            </w:r>
            <w:r>
              <w:rPr>
                <w:color w:val="auto"/>
              </w:rPr>
              <w:t>批次均衡引进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659" w:type="dxa"/>
            <w:tcBorders>
              <w:tl2br w:val="nil"/>
              <w:tr2bl w:val="nil"/>
            </w:tcBorders>
            <w:vAlign w:val="center"/>
          </w:tcPr>
          <w:p>
            <w:pPr>
              <w:pStyle w:val="373"/>
              <w:rPr>
                <w:color w:val="auto"/>
              </w:rPr>
            </w:pPr>
            <w:r>
              <w:rPr>
                <w:color w:val="auto"/>
              </w:rPr>
              <w:t>2</w:t>
            </w:r>
          </w:p>
        </w:tc>
        <w:tc>
          <w:tcPr>
            <w:tcW w:w="800" w:type="dxa"/>
            <w:tcBorders>
              <w:tl2br w:val="nil"/>
              <w:tr2bl w:val="nil"/>
            </w:tcBorders>
            <w:vAlign w:val="center"/>
          </w:tcPr>
          <w:p>
            <w:pPr>
              <w:pStyle w:val="373"/>
              <w:rPr>
                <w:color w:val="auto"/>
              </w:rPr>
            </w:pPr>
            <w:r>
              <w:rPr>
                <w:color w:val="auto"/>
              </w:rPr>
              <w:t>饲料</w:t>
            </w:r>
          </w:p>
        </w:tc>
        <w:tc>
          <w:tcPr>
            <w:tcW w:w="726" w:type="dxa"/>
            <w:tcBorders>
              <w:tl2br w:val="nil"/>
              <w:tr2bl w:val="nil"/>
            </w:tcBorders>
            <w:vAlign w:val="center"/>
          </w:tcPr>
          <w:p>
            <w:pPr>
              <w:pStyle w:val="373"/>
              <w:rPr>
                <w:color w:val="auto"/>
              </w:rPr>
            </w:pPr>
            <w:r>
              <w:rPr>
                <w:rFonts w:hint="eastAsia"/>
                <w:color w:val="auto"/>
              </w:rPr>
              <w:t>8000</w:t>
            </w:r>
          </w:p>
          <w:p>
            <w:pPr>
              <w:pStyle w:val="373"/>
              <w:rPr>
                <w:color w:val="auto"/>
              </w:rPr>
            </w:pPr>
            <w:r>
              <w:rPr>
                <w:color w:val="auto"/>
              </w:rPr>
              <w:t>t/a</w:t>
            </w:r>
          </w:p>
        </w:tc>
        <w:tc>
          <w:tcPr>
            <w:tcW w:w="654" w:type="dxa"/>
            <w:tcBorders>
              <w:tl2br w:val="nil"/>
              <w:tr2bl w:val="nil"/>
            </w:tcBorders>
            <w:vAlign w:val="center"/>
          </w:tcPr>
          <w:p>
            <w:pPr>
              <w:pStyle w:val="373"/>
              <w:rPr>
                <w:color w:val="auto"/>
              </w:rPr>
            </w:pPr>
            <w:r>
              <w:rPr>
                <w:color w:val="auto"/>
              </w:rPr>
              <w:t>粉末</w:t>
            </w:r>
          </w:p>
        </w:tc>
        <w:tc>
          <w:tcPr>
            <w:tcW w:w="1704" w:type="dxa"/>
            <w:tcBorders>
              <w:tl2br w:val="nil"/>
              <w:tr2bl w:val="nil"/>
            </w:tcBorders>
            <w:vAlign w:val="center"/>
          </w:tcPr>
          <w:p>
            <w:pPr>
              <w:pStyle w:val="373"/>
              <w:rPr>
                <w:color w:val="auto"/>
              </w:rPr>
            </w:pPr>
            <w:r>
              <w:rPr>
                <w:rFonts w:hint="eastAsia"/>
                <w:color w:val="auto"/>
              </w:rPr>
              <w:t>玉米、小麦、豆粕等</w:t>
            </w:r>
          </w:p>
        </w:tc>
        <w:tc>
          <w:tcPr>
            <w:tcW w:w="696" w:type="dxa"/>
            <w:tcBorders>
              <w:tl2br w:val="nil"/>
              <w:tr2bl w:val="nil"/>
            </w:tcBorders>
            <w:vAlign w:val="center"/>
          </w:tcPr>
          <w:p>
            <w:pPr>
              <w:pStyle w:val="373"/>
              <w:rPr>
                <w:color w:val="auto"/>
              </w:rPr>
            </w:pPr>
            <w:r>
              <w:rPr>
                <w:color w:val="auto"/>
              </w:rPr>
              <w:t>袋装</w:t>
            </w:r>
          </w:p>
        </w:tc>
        <w:tc>
          <w:tcPr>
            <w:tcW w:w="957" w:type="dxa"/>
            <w:tcBorders>
              <w:tl2br w:val="nil"/>
              <w:tr2bl w:val="nil"/>
            </w:tcBorders>
            <w:vAlign w:val="center"/>
          </w:tcPr>
          <w:p>
            <w:pPr>
              <w:pStyle w:val="373"/>
              <w:rPr>
                <w:color w:val="auto"/>
              </w:rPr>
            </w:pPr>
            <w:r>
              <w:rPr>
                <w:rFonts w:hint="eastAsia"/>
                <w:color w:val="auto"/>
              </w:rPr>
              <w:t>饲料间</w:t>
            </w:r>
          </w:p>
        </w:tc>
        <w:tc>
          <w:tcPr>
            <w:tcW w:w="943" w:type="dxa"/>
            <w:tcBorders>
              <w:tl2br w:val="nil"/>
              <w:tr2bl w:val="nil"/>
            </w:tcBorders>
            <w:vAlign w:val="center"/>
          </w:tcPr>
          <w:p>
            <w:pPr>
              <w:pStyle w:val="373"/>
              <w:rPr>
                <w:color w:val="auto"/>
              </w:rPr>
            </w:pPr>
            <w:r>
              <w:rPr>
                <w:rFonts w:hint="eastAsia"/>
                <w:color w:val="auto"/>
              </w:rPr>
              <w:t>公司饲料厂提供</w:t>
            </w:r>
          </w:p>
        </w:tc>
        <w:tc>
          <w:tcPr>
            <w:tcW w:w="1317" w:type="dxa"/>
            <w:tcBorders>
              <w:tl2br w:val="nil"/>
              <w:tr2bl w:val="nil"/>
            </w:tcBorders>
            <w:vAlign w:val="center"/>
          </w:tcPr>
          <w:p>
            <w:pPr>
              <w:pStyle w:val="373"/>
              <w:rPr>
                <w:color w:val="auto"/>
              </w:rPr>
            </w:pPr>
            <w:r>
              <w:rPr>
                <w:color w:val="auto"/>
              </w:rPr>
              <w:t>成品饲料，</w:t>
            </w:r>
            <w:r>
              <w:rPr>
                <w:rFonts w:hint="eastAsia"/>
                <w:color w:val="auto"/>
              </w:rPr>
              <w:t>场区</w:t>
            </w:r>
            <w:r>
              <w:rPr>
                <w:color w:val="auto"/>
              </w:rPr>
              <w:t>不进行饲料加工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1" w:hRule="atLeast"/>
        </w:trPr>
        <w:tc>
          <w:tcPr>
            <w:tcW w:w="659" w:type="dxa"/>
            <w:tcBorders>
              <w:tl2br w:val="nil"/>
              <w:tr2bl w:val="nil"/>
            </w:tcBorders>
            <w:vAlign w:val="center"/>
          </w:tcPr>
          <w:p>
            <w:pPr>
              <w:pStyle w:val="373"/>
              <w:rPr>
                <w:color w:val="auto"/>
              </w:rPr>
            </w:pPr>
            <w:r>
              <w:rPr>
                <w:color w:val="auto"/>
              </w:rPr>
              <w:t>3</w:t>
            </w:r>
          </w:p>
        </w:tc>
        <w:tc>
          <w:tcPr>
            <w:tcW w:w="800" w:type="dxa"/>
            <w:tcBorders>
              <w:tl2br w:val="nil"/>
              <w:tr2bl w:val="nil"/>
            </w:tcBorders>
            <w:vAlign w:val="center"/>
          </w:tcPr>
          <w:p>
            <w:pPr>
              <w:pStyle w:val="373"/>
              <w:rPr>
                <w:color w:val="auto"/>
              </w:rPr>
            </w:pPr>
            <w:r>
              <w:rPr>
                <w:color w:val="auto"/>
              </w:rPr>
              <w:t>免疫药剂</w:t>
            </w:r>
          </w:p>
        </w:tc>
        <w:tc>
          <w:tcPr>
            <w:tcW w:w="726" w:type="dxa"/>
            <w:tcBorders>
              <w:tl2br w:val="nil"/>
              <w:tr2bl w:val="nil"/>
            </w:tcBorders>
            <w:vAlign w:val="center"/>
          </w:tcPr>
          <w:p>
            <w:pPr>
              <w:pStyle w:val="373"/>
              <w:rPr>
                <w:color w:val="auto"/>
              </w:rPr>
            </w:pPr>
            <w:r>
              <w:rPr>
                <w:color w:val="auto"/>
              </w:rPr>
              <w:t>0.</w:t>
            </w:r>
            <w:r>
              <w:rPr>
                <w:rFonts w:hint="eastAsia"/>
                <w:color w:val="auto"/>
              </w:rPr>
              <w:t>76</w:t>
            </w:r>
            <w:r>
              <w:rPr>
                <w:color w:val="auto"/>
              </w:rPr>
              <w:t>t/a</w:t>
            </w:r>
          </w:p>
        </w:tc>
        <w:tc>
          <w:tcPr>
            <w:tcW w:w="654" w:type="dxa"/>
            <w:tcBorders>
              <w:tl2br w:val="nil"/>
              <w:tr2bl w:val="nil"/>
            </w:tcBorders>
            <w:vAlign w:val="center"/>
          </w:tcPr>
          <w:p>
            <w:pPr>
              <w:pStyle w:val="373"/>
              <w:rPr>
                <w:color w:val="auto"/>
              </w:rPr>
            </w:pPr>
            <w:r>
              <w:rPr>
                <w:color w:val="auto"/>
              </w:rPr>
              <w:t>粉末状</w:t>
            </w:r>
          </w:p>
        </w:tc>
        <w:tc>
          <w:tcPr>
            <w:tcW w:w="1704" w:type="dxa"/>
            <w:tcBorders>
              <w:tl2br w:val="nil"/>
              <w:tr2bl w:val="nil"/>
            </w:tcBorders>
            <w:vAlign w:val="center"/>
          </w:tcPr>
          <w:p>
            <w:pPr>
              <w:pStyle w:val="373"/>
              <w:rPr>
                <w:color w:val="auto"/>
              </w:rPr>
            </w:pPr>
            <w:r>
              <w:rPr>
                <w:rFonts w:hint="eastAsia"/>
                <w:color w:val="auto"/>
              </w:rPr>
              <w:t>新支妥、禽流感H5N1、锐必新</w:t>
            </w:r>
          </w:p>
        </w:tc>
        <w:tc>
          <w:tcPr>
            <w:tcW w:w="696" w:type="dxa"/>
            <w:tcBorders>
              <w:tl2br w:val="nil"/>
              <w:tr2bl w:val="nil"/>
            </w:tcBorders>
            <w:vAlign w:val="center"/>
          </w:tcPr>
          <w:p>
            <w:pPr>
              <w:pStyle w:val="373"/>
              <w:rPr>
                <w:color w:val="auto"/>
              </w:rPr>
            </w:pPr>
            <w:r>
              <w:rPr>
                <w:color w:val="auto"/>
              </w:rPr>
              <w:t>瓶装</w:t>
            </w:r>
          </w:p>
        </w:tc>
        <w:tc>
          <w:tcPr>
            <w:tcW w:w="957" w:type="dxa"/>
            <w:tcBorders>
              <w:tl2br w:val="nil"/>
              <w:tr2bl w:val="nil"/>
            </w:tcBorders>
            <w:vAlign w:val="center"/>
          </w:tcPr>
          <w:p>
            <w:pPr>
              <w:pStyle w:val="373"/>
              <w:rPr>
                <w:color w:val="auto"/>
              </w:rPr>
            </w:pPr>
            <w:r>
              <w:rPr>
                <w:rFonts w:hint="eastAsia"/>
                <w:color w:val="auto"/>
              </w:rPr>
              <w:t>办公室内</w:t>
            </w:r>
            <w:r>
              <w:rPr>
                <w:color w:val="auto"/>
              </w:rPr>
              <w:t>防疫室</w:t>
            </w:r>
          </w:p>
        </w:tc>
        <w:tc>
          <w:tcPr>
            <w:tcW w:w="943" w:type="dxa"/>
            <w:tcBorders>
              <w:tl2br w:val="nil"/>
              <w:tr2bl w:val="nil"/>
            </w:tcBorders>
            <w:vAlign w:val="center"/>
          </w:tcPr>
          <w:p>
            <w:pPr>
              <w:pStyle w:val="373"/>
              <w:rPr>
                <w:color w:val="auto"/>
              </w:rPr>
            </w:pPr>
            <w:r>
              <w:rPr>
                <w:color w:val="auto"/>
              </w:rPr>
              <w:t>外购</w:t>
            </w:r>
          </w:p>
        </w:tc>
        <w:tc>
          <w:tcPr>
            <w:tcW w:w="1317" w:type="dxa"/>
            <w:tcBorders>
              <w:tl2br w:val="nil"/>
              <w:tr2bl w:val="nil"/>
            </w:tcBorders>
            <w:vAlign w:val="center"/>
          </w:tcPr>
          <w:p>
            <w:pPr>
              <w:pStyle w:val="373"/>
              <w:rPr>
                <w:color w:val="auto"/>
              </w:rPr>
            </w:pPr>
            <w:r>
              <w:rPr>
                <w:color w:val="auto"/>
              </w:rPr>
              <w:t>主要为疫苗、防疫药品（含外包装）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1" w:hRule="atLeast"/>
        </w:trPr>
        <w:tc>
          <w:tcPr>
            <w:tcW w:w="659" w:type="dxa"/>
            <w:tcBorders>
              <w:tl2br w:val="nil"/>
              <w:tr2bl w:val="nil"/>
            </w:tcBorders>
            <w:vAlign w:val="center"/>
          </w:tcPr>
          <w:p>
            <w:pPr>
              <w:pStyle w:val="373"/>
              <w:rPr>
                <w:color w:val="auto"/>
              </w:rPr>
            </w:pPr>
            <w:r>
              <w:rPr>
                <w:color w:val="auto"/>
              </w:rPr>
              <w:t>4</w:t>
            </w:r>
          </w:p>
        </w:tc>
        <w:tc>
          <w:tcPr>
            <w:tcW w:w="800" w:type="dxa"/>
            <w:tcBorders>
              <w:tl2br w:val="nil"/>
              <w:tr2bl w:val="nil"/>
            </w:tcBorders>
            <w:vAlign w:val="center"/>
          </w:tcPr>
          <w:p>
            <w:pPr>
              <w:pStyle w:val="373"/>
              <w:rPr>
                <w:color w:val="auto"/>
              </w:rPr>
            </w:pPr>
            <w:r>
              <w:rPr>
                <w:color w:val="auto"/>
              </w:rPr>
              <w:t>消毒液</w:t>
            </w:r>
          </w:p>
        </w:tc>
        <w:tc>
          <w:tcPr>
            <w:tcW w:w="726" w:type="dxa"/>
            <w:tcBorders>
              <w:tl2br w:val="nil"/>
              <w:tr2bl w:val="nil"/>
            </w:tcBorders>
            <w:vAlign w:val="center"/>
          </w:tcPr>
          <w:p>
            <w:pPr>
              <w:pStyle w:val="373"/>
              <w:rPr>
                <w:color w:val="auto"/>
              </w:rPr>
            </w:pPr>
            <w:r>
              <w:rPr>
                <w:rFonts w:hint="eastAsia"/>
                <w:color w:val="auto"/>
              </w:rPr>
              <w:t>0.1</w:t>
            </w:r>
            <w:r>
              <w:rPr>
                <w:color w:val="auto"/>
              </w:rPr>
              <w:t>t/a</w:t>
            </w:r>
          </w:p>
        </w:tc>
        <w:tc>
          <w:tcPr>
            <w:tcW w:w="654" w:type="dxa"/>
            <w:tcBorders>
              <w:tl2br w:val="nil"/>
              <w:tr2bl w:val="nil"/>
            </w:tcBorders>
            <w:vAlign w:val="center"/>
          </w:tcPr>
          <w:p>
            <w:pPr>
              <w:pStyle w:val="373"/>
              <w:rPr>
                <w:color w:val="auto"/>
              </w:rPr>
            </w:pPr>
            <w:r>
              <w:rPr>
                <w:color w:val="auto"/>
              </w:rPr>
              <w:t>液体</w:t>
            </w:r>
          </w:p>
        </w:tc>
        <w:tc>
          <w:tcPr>
            <w:tcW w:w="1704" w:type="dxa"/>
            <w:tcBorders>
              <w:tl2br w:val="nil"/>
              <w:tr2bl w:val="nil"/>
            </w:tcBorders>
            <w:vAlign w:val="center"/>
          </w:tcPr>
          <w:p>
            <w:pPr>
              <w:pStyle w:val="373"/>
              <w:rPr>
                <w:color w:val="auto"/>
              </w:rPr>
            </w:pPr>
            <w:r>
              <w:rPr>
                <w:rFonts w:hint="eastAsia"/>
                <w:color w:val="auto"/>
              </w:rPr>
              <w:t>百毒杀、澳洁康</w:t>
            </w:r>
          </w:p>
        </w:tc>
        <w:tc>
          <w:tcPr>
            <w:tcW w:w="696" w:type="dxa"/>
            <w:tcBorders>
              <w:tl2br w:val="nil"/>
              <w:tr2bl w:val="nil"/>
            </w:tcBorders>
            <w:vAlign w:val="center"/>
          </w:tcPr>
          <w:p>
            <w:pPr>
              <w:pStyle w:val="373"/>
              <w:rPr>
                <w:color w:val="auto"/>
              </w:rPr>
            </w:pPr>
            <w:r>
              <w:rPr>
                <w:color w:val="auto"/>
              </w:rPr>
              <w:t>瓶装</w:t>
            </w:r>
          </w:p>
        </w:tc>
        <w:tc>
          <w:tcPr>
            <w:tcW w:w="957" w:type="dxa"/>
            <w:tcBorders>
              <w:tl2br w:val="nil"/>
              <w:tr2bl w:val="nil"/>
            </w:tcBorders>
            <w:vAlign w:val="center"/>
          </w:tcPr>
          <w:p>
            <w:pPr>
              <w:pStyle w:val="373"/>
              <w:rPr>
                <w:color w:val="auto"/>
              </w:rPr>
            </w:pPr>
            <w:r>
              <w:rPr>
                <w:color w:val="auto"/>
              </w:rPr>
              <w:t>随用随买，不储存</w:t>
            </w:r>
          </w:p>
        </w:tc>
        <w:tc>
          <w:tcPr>
            <w:tcW w:w="943" w:type="dxa"/>
            <w:tcBorders>
              <w:tl2br w:val="nil"/>
              <w:tr2bl w:val="nil"/>
            </w:tcBorders>
            <w:vAlign w:val="center"/>
          </w:tcPr>
          <w:p>
            <w:pPr>
              <w:pStyle w:val="373"/>
              <w:rPr>
                <w:color w:val="auto"/>
              </w:rPr>
            </w:pPr>
            <w:r>
              <w:rPr>
                <w:color w:val="auto"/>
              </w:rPr>
              <w:t>外购</w:t>
            </w:r>
          </w:p>
        </w:tc>
        <w:tc>
          <w:tcPr>
            <w:tcW w:w="1317" w:type="dxa"/>
            <w:tcBorders>
              <w:tl2br w:val="nil"/>
              <w:tr2bl w:val="nil"/>
            </w:tcBorders>
            <w:vAlign w:val="center"/>
          </w:tcPr>
          <w:p>
            <w:pPr>
              <w:pStyle w:val="373"/>
              <w:rPr>
                <w:color w:val="auto"/>
              </w:rPr>
            </w:pPr>
            <w:r>
              <w:rPr>
                <w:color w:val="auto"/>
              </w:rPr>
              <w:t>配置好的消毒液，直接使用，用于鸡舍消毒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59" w:type="dxa"/>
            <w:tcBorders>
              <w:tl2br w:val="nil"/>
              <w:tr2bl w:val="nil"/>
            </w:tcBorders>
            <w:vAlign w:val="center"/>
          </w:tcPr>
          <w:p>
            <w:pPr>
              <w:pStyle w:val="373"/>
              <w:rPr>
                <w:color w:val="auto"/>
              </w:rPr>
            </w:pPr>
            <w:r>
              <w:rPr>
                <w:color w:val="auto"/>
              </w:rPr>
              <w:t>5</w:t>
            </w:r>
          </w:p>
        </w:tc>
        <w:tc>
          <w:tcPr>
            <w:tcW w:w="800" w:type="dxa"/>
            <w:tcBorders>
              <w:tl2br w:val="nil"/>
              <w:tr2bl w:val="nil"/>
            </w:tcBorders>
            <w:vAlign w:val="center"/>
          </w:tcPr>
          <w:p>
            <w:pPr>
              <w:pStyle w:val="373"/>
              <w:rPr>
                <w:color w:val="auto"/>
              </w:rPr>
            </w:pPr>
            <w:r>
              <w:rPr>
                <w:color w:val="auto"/>
              </w:rPr>
              <w:t>除臭剂</w:t>
            </w:r>
          </w:p>
        </w:tc>
        <w:tc>
          <w:tcPr>
            <w:tcW w:w="726" w:type="dxa"/>
            <w:tcBorders>
              <w:tl2br w:val="nil"/>
              <w:tr2bl w:val="nil"/>
            </w:tcBorders>
            <w:vAlign w:val="center"/>
          </w:tcPr>
          <w:p>
            <w:pPr>
              <w:pStyle w:val="373"/>
              <w:rPr>
                <w:color w:val="auto"/>
              </w:rPr>
            </w:pPr>
            <w:r>
              <w:rPr>
                <w:color w:val="auto"/>
              </w:rPr>
              <w:t>1t/a</w:t>
            </w:r>
          </w:p>
        </w:tc>
        <w:tc>
          <w:tcPr>
            <w:tcW w:w="654" w:type="dxa"/>
            <w:tcBorders>
              <w:tl2br w:val="nil"/>
              <w:tr2bl w:val="nil"/>
            </w:tcBorders>
            <w:vAlign w:val="center"/>
          </w:tcPr>
          <w:p>
            <w:pPr>
              <w:pStyle w:val="373"/>
              <w:rPr>
                <w:color w:val="auto"/>
              </w:rPr>
            </w:pPr>
            <w:r>
              <w:rPr>
                <w:color w:val="auto"/>
              </w:rPr>
              <w:t>液体</w:t>
            </w:r>
          </w:p>
        </w:tc>
        <w:tc>
          <w:tcPr>
            <w:tcW w:w="1704" w:type="dxa"/>
            <w:tcBorders>
              <w:tl2br w:val="nil"/>
              <w:tr2bl w:val="nil"/>
            </w:tcBorders>
            <w:vAlign w:val="center"/>
          </w:tcPr>
          <w:p>
            <w:pPr>
              <w:pStyle w:val="373"/>
              <w:rPr>
                <w:color w:val="auto"/>
              </w:rPr>
            </w:pPr>
            <w:r>
              <w:rPr>
                <w:rFonts w:hint="eastAsia"/>
                <w:color w:val="auto"/>
              </w:rPr>
              <w:t>EM原液</w:t>
            </w:r>
          </w:p>
        </w:tc>
        <w:tc>
          <w:tcPr>
            <w:tcW w:w="696" w:type="dxa"/>
            <w:tcBorders>
              <w:tl2br w:val="nil"/>
              <w:tr2bl w:val="nil"/>
            </w:tcBorders>
            <w:vAlign w:val="center"/>
          </w:tcPr>
          <w:p>
            <w:pPr>
              <w:pStyle w:val="373"/>
              <w:rPr>
                <w:color w:val="auto"/>
              </w:rPr>
            </w:pPr>
            <w:r>
              <w:rPr>
                <w:color w:val="auto"/>
              </w:rPr>
              <w:t>瓶装</w:t>
            </w:r>
          </w:p>
        </w:tc>
        <w:tc>
          <w:tcPr>
            <w:tcW w:w="957" w:type="dxa"/>
            <w:tcBorders>
              <w:tl2br w:val="nil"/>
              <w:tr2bl w:val="nil"/>
            </w:tcBorders>
            <w:vAlign w:val="center"/>
          </w:tcPr>
          <w:p>
            <w:pPr>
              <w:pStyle w:val="373"/>
              <w:rPr>
                <w:color w:val="auto"/>
              </w:rPr>
            </w:pPr>
            <w:r>
              <w:rPr>
                <w:rFonts w:hint="eastAsia"/>
                <w:color w:val="auto"/>
              </w:rPr>
              <w:t>办公室内库房</w:t>
            </w:r>
          </w:p>
        </w:tc>
        <w:tc>
          <w:tcPr>
            <w:tcW w:w="943" w:type="dxa"/>
            <w:tcBorders>
              <w:tl2br w:val="nil"/>
              <w:tr2bl w:val="nil"/>
            </w:tcBorders>
            <w:vAlign w:val="center"/>
          </w:tcPr>
          <w:p>
            <w:pPr>
              <w:pStyle w:val="373"/>
              <w:rPr>
                <w:color w:val="auto"/>
              </w:rPr>
            </w:pPr>
            <w:r>
              <w:rPr>
                <w:color w:val="auto"/>
              </w:rPr>
              <w:t>外购</w:t>
            </w:r>
          </w:p>
        </w:tc>
        <w:tc>
          <w:tcPr>
            <w:tcW w:w="1317" w:type="dxa"/>
            <w:tcBorders>
              <w:tl2br w:val="nil"/>
              <w:tr2bl w:val="nil"/>
            </w:tcBorders>
            <w:vAlign w:val="center"/>
          </w:tcPr>
          <w:p>
            <w:pPr>
              <w:pStyle w:val="373"/>
              <w:rPr>
                <w:color w:val="auto"/>
              </w:rPr>
            </w:pPr>
            <w:r>
              <w:rPr>
                <w:color w:val="auto"/>
              </w:rPr>
              <w:t>用于除臭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659" w:type="dxa"/>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6</w:t>
            </w:r>
          </w:p>
        </w:tc>
        <w:tc>
          <w:tcPr>
            <w:tcW w:w="800" w:type="dxa"/>
            <w:tcBorders>
              <w:tl2br w:val="nil"/>
              <w:tr2bl w:val="nil"/>
            </w:tcBorders>
            <w:vAlign w:val="center"/>
          </w:tcPr>
          <w:p>
            <w:pPr>
              <w:jc w:val="center"/>
              <w:rPr>
                <w:rFonts w:ascii="Times New Roman" w:eastAsia="宋体"/>
                <w:color w:val="auto"/>
                <w:kern w:val="2"/>
                <w:sz w:val="21"/>
                <w:szCs w:val="21"/>
                <w:u w:val="single"/>
              </w:rPr>
            </w:pPr>
            <w:r>
              <w:rPr>
                <w:rFonts w:ascii="Times New Roman" w:eastAsia="宋体"/>
                <w:color w:val="auto"/>
                <w:sz w:val="21"/>
                <w:szCs w:val="21"/>
                <w:u w:val="single"/>
              </w:rPr>
              <w:t>生物质</w:t>
            </w:r>
            <w:r>
              <w:rPr>
                <w:rFonts w:hint="eastAsia" w:ascii="Times New Roman" w:eastAsia="宋体"/>
                <w:color w:val="auto"/>
                <w:sz w:val="21"/>
                <w:szCs w:val="21"/>
                <w:u w:val="single"/>
              </w:rPr>
              <w:t>颗粒</w:t>
            </w:r>
          </w:p>
        </w:tc>
        <w:tc>
          <w:tcPr>
            <w:tcW w:w="726" w:type="dxa"/>
            <w:tcBorders>
              <w:tl2br w:val="nil"/>
              <w:tr2bl w:val="nil"/>
            </w:tcBorders>
            <w:vAlign w:val="center"/>
          </w:tcPr>
          <w:p>
            <w:pPr>
              <w:spacing w:line="320" w:lineRule="exact"/>
              <w:ind w:right="143" w:rightChars="58"/>
              <w:jc w:val="center"/>
              <w:rPr>
                <w:rFonts w:ascii="Times New Roman" w:eastAsia="宋体"/>
                <w:color w:val="auto"/>
                <w:kern w:val="2"/>
                <w:sz w:val="21"/>
                <w:szCs w:val="21"/>
                <w:u w:val="single"/>
              </w:rPr>
            </w:pPr>
            <w:r>
              <w:rPr>
                <w:rFonts w:hint="eastAsia" w:ascii="Times New Roman" w:eastAsia="宋体"/>
                <w:bCs/>
                <w:color w:val="auto"/>
                <w:sz w:val="21"/>
                <w:szCs w:val="21"/>
                <w:u w:val="single"/>
                <w:lang w:val="en-US" w:eastAsia="zh-CN"/>
              </w:rPr>
              <w:t>480</w:t>
            </w:r>
            <w:r>
              <w:rPr>
                <w:rFonts w:ascii="Times New Roman" w:eastAsia="宋体"/>
                <w:bCs/>
                <w:color w:val="auto"/>
                <w:sz w:val="21"/>
                <w:szCs w:val="21"/>
                <w:u w:val="single"/>
              </w:rPr>
              <w:t>t/a</w:t>
            </w:r>
          </w:p>
        </w:tc>
        <w:tc>
          <w:tcPr>
            <w:tcW w:w="654" w:type="dxa"/>
            <w:tcBorders>
              <w:tl2br w:val="nil"/>
              <w:tr2bl w:val="nil"/>
            </w:tcBorders>
            <w:vAlign w:val="center"/>
          </w:tcPr>
          <w:p>
            <w:pPr>
              <w:pStyle w:val="373"/>
              <w:rPr>
                <w:color w:val="auto"/>
                <w:u w:val="single"/>
              </w:rPr>
            </w:pPr>
            <w:r>
              <w:rPr>
                <w:rFonts w:hint="eastAsia"/>
                <w:color w:val="auto"/>
                <w:u w:val="single"/>
              </w:rPr>
              <w:t>固体</w:t>
            </w:r>
          </w:p>
        </w:tc>
        <w:tc>
          <w:tcPr>
            <w:tcW w:w="1704" w:type="dxa"/>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w:t>
            </w:r>
          </w:p>
        </w:tc>
        <w:tc>
          <w:tcPr>
            <w:tcW w:w="696" w:type="dxa"/>
            <w:tcBorders>
              <w:tl2br w:val="nil"/>
              <w:tr2bl w:val="nil"/>
            </w:tcBorders>
            <w:vAlign w:val="center"/>
          </w:tcPr>
          <w:p>
            <w:pPr>
              <w:pStyle w:val="373"/>
              <w:rPr>
                <w:color w:val="auto"/>
                <w:u w:val="single"/>
              </w:rPr>
            </w:pPr>
            <w:r>
              <w:rPr>
                <w:rFonts w:hint="eastAsia"/>
                <w:color w:val="auto"/>
                <w:u w:val="single"/>
              </w:rPr>
              <w:t>袋装</w:t>
            </w:r>
          </w:p>
        </w:tc>
        <w:tc>
          <w:tcPr>
            <w:tcW w:w="957" w:type="dxa"/>
            <w:tcBorders>
              <w:tl2br w:val="nil"/>
              <w:tr2bl w:val="nil"/>
            </w:tcBorders>
            <w:vAlign w:val="center"/>
          </w:tcPr>
          <w:p>
            <w:pPr>
              <w:pStyle w:val="373"/>
              <w:rPr>
                <w:color w:val="auto"/>
                <w:u w:val="single"/>
              </w:rPr>
            </w:pPr>
            <w:r>
              <w:rPr>
                <w:rFonts w:hint="eastAsia"/>
                <w:color w:val="auto"/>
                <w:u w:val="single"/>
              </w:rPr>
              <w:t>锅炉房</w:t>
            </w:r>
          </w:p>
        </w:tc>
        <w:tc>
          <w:tcPr>
            <w:tcW w:w="943" w:type="dxa"/>
            <w:tcBorders>
              <w:tl2br w:val="nil"/>
              <w:tr2bl w:val="nil"/>
            </w:tcBorders>
            <w:vAlign w:val="center"/>
          </w:tcPr>
          <w:p>
            <w:pPr>
              <w:pStyle w:val="373"/>
              <w:rPr>
                <w:color w:val="auto"/>
                <w:u w:val="single"/>
              </w:rPr>
            </w:pPr>
            <w:r>
              <w:rPr>
                <w:color w:val="auto"/>
                <w:u w:val="single"/>
              </w:rPr>
              <w:t>外购</w:t>
            </w:r>
          </w:p>
        </w:tc>
        <w:tc>
          <w:tcPr>
            <w:tcW w:w="1317" w:type="dxa"/>
            <w:tcBorders>
              <w:tl2br w:val="nil"/>
              <w:tr2bl w:val="nil"/>
            </w:tcBorders>
            <w:vAlign w:val="center"/>
          </w:tcPr>
          <w:p>
            <w:pPr>
              <w:pStyle w:val="373"/>
              <w:rPr>
                <w:color w:val="auto"/>
                <w:u w:val="single"/>
              </w:rPr>
            </w:pPr>
            <w:r>
              <w:rPr>
                <w:rFonts w:hint="eastAsia"/>
                <w:color w:val="auto"/>
                <w:u w:val="single"/>
              </w:rPr>
              <w:t>25kg/包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59"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7</w:t>
            </w:r>
          </w:p>
        </w:tc>
        <w:tc>
          <w:tcPr>
            <w:tcW w:w="80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烧碱</w:t>
            </w:r>
          </w:p>
        </w:tc>
        <w:tc>
          <w:tcPr>
            <w:tcW w:w="726" w:type="dxa"/>
            <w:tcBorders>
              <w:tl2br w:val="nil"/>
              <w:tr2bl w:val="nil"/>
            </w:tcBorders>
            <w:vAlign w:val="center"/>
          </w:tcPr>
          <w:p>
            <w:pPr>
              <w:spacing w:line="320" w:lineRule="exact"/>
              <w:ind w:right="143" w:rightChars="58"/>
              <w:jc w:val="center"/>
              <w:rPr>
                <w:rFonts w:ascii="Times New Roman" w:eastAsia="宋体"/>
                <w:bCs/>
                <w:color w:val="auto"/>
                <w:sz w:val="21"/>
                <w:szCs w:val="21"/>
              </w:rPr>
            </w:pPr>
            <w:r>
              <w:rPr>
                <w:rFonts w:hint="eastAsia" w:ascii="Times New Roman" w:eastAsia="宋体"/>
                <w:bCs/>
                <w:color w:val="auto"/>
                <w:sz w:val="21"/>
                <w:szCs w:val="21"/>
              </w:rPr>
              <w:t>7</w:t>
            </w:r>
            <w:r>
              <w:rPr>
                <w:rFonts w:ascii="Times New Roman" w:eastAsia="宋体"/>
                <w:bCs/>
                <w:color w:val="auto"/>
                <w:sz w:val="21"/>
                <w:szCs w:val="21"/>
              </w:rPr>
              <w:t>t/a</w:t>
            </w:r>
          </w:p>
        </w:tc>
        <w:tc>
          <w:tcPr>
            <w:tcW w:w="654" w:type="dxa"/>
            <w:tcBorders>
              <w:tl2br w:val="nil"/>
              <w:tr2bl w:val="nil"/>
            </w:tcBorders>
            <w:vAlign w:val="center"/>
          </w:tcPr>
          <w:p>
            <w:pPr>
              <w:pStyle w:val="373"/>
              <w:rPr>
                <w:color w:val="auto"/>
              </w:rPr>
            </w:pPr>
            <w:r>
              <w:rPr>
                <w:rFonts w:hint="eastAsia"/>
                <w:color w:val="auto"/>
              </w:rPr>
              <w:t>固体</w:t>
            </w:r>
          </w:p>
        </w:tc>
        <w:tc>
          <w:tcPr>
            <w:tcW w:w="170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NaOH（</w:t>
            </w:r>
            <w:r>
              <w:rPr>
                <w:rFonts w:hint="eastAsia" w:ascii="Times New Roman" w:eastAsia="宋体" w:cs="宋体"/>
                <w:color w:val="auto"/>
                <w:sz w:val="21"/>
                <w:szCs w:val="21"/>
              </w:rPr>
              <w:t>≥95%</w:t>
            </w:r>
            <w:r>
              <w:rPr>
                <w:rFonts w:hint="eastAsia" w:ascii="Times New Roman" w:eastAsia="宋体"/>
                <w:color w:val="auto"/>
                <w:sz w:val="21"/>
                <w:szCs w:val="21"/>
              </w:rPr>
              <w:t>）</w:t>
            </w:r>
          </w:p>
        </w:tc>
        <w:tc>
          <w:tcPr>
            <w:tcW w:w="696" w:type="dxa"/>
            <w:tcBorders>
              <w:tl2br w:val="nil"/>
              <w:tr2bl w:val="nil"/>
            </w:tcBorders>
            <w:vAlign w:val="center"/>
          </w:tcPr>
          <w:p>
            <w:pPr>
              <w:pStyle w:val="373"/>
              <w:rPr>
                <w:color w:val="auto"/>
              </w:rPr>
            </w:pPr>
            <w:r>
              <w:rPr>
                <w:rFonts w:hint="eastAsia"/>
                <w:color w:val="auto"/>
              </w:rPr>
              <w:t>袋装</w:t>
            </w:r>
          </w:p>
        </w:tc>
        <w:tc>
          <w:tcPr>
            <w:tcW w:w="957" w:type="dxa"/>
            <w:tcBorders>
              <w:tl2br w:val="nil"/>
              <w:tr2bl w:val="nil"/>
            </w:tcBorders>
            <w:vAlign w:val="center"/>
          </w:tcPr>
          <w:p>
            <w:pPr>
              <w:pStyle w:val="373"/>
              <w:rPr>
                <w:color w:val="auto"/>
              </w:rPr>
            </w:pPr>
            <w:r>
              <w:rPr>
                <w:rFonts w:hint="eastAsia"/>
                <w:color w:val="auto"/>
              </w:rPr>
              <w:t>原料库</w:t>
            </w:r>
          </w:p>
        </w:tc>
        <w:tc>
          <w:tcPr>
            <w:tcW w:w="943" w:type="dxa"/>
            <w:tcBorders>
              <w:tl2br w:val="nil"/>
              <w:tr2bl w:val="nil"/>
            </w:tcBorders>
            <w:vAlign w:val="center"/>
          </w:tcPr>
          <w:p>
            <w:pPr>
              <w:pStyle w:val="373"/>
              <w:rPr>
                <w:color w:val="auto"/>
              </w:rPr>
            </w:pPr>
            <w:r>
              <w:rPr>
                <w:color w:val="auto"/>
              </w:rPr>
              <w:t>外购</w:t>
            </w:r>
          </w:p>
        </w:tc>
        <w:tc>
          <w:tcPr>
            <w:tcW w:w="1317" w:type="dxa"/>
            <w:tcBorders>
              <w:tl2br w:val="nil"/>
              <w:tr2bl w:val="nil"/>
            </w:tcBorders>
            <w:vAlign w:val="center"/>
          </w:tcPr>
          <w:p>
            <w:pPr>
              <w:pStyle w:val="373"/>
              <w:rPr>
                <w:color w:val="auto"/>
              </w:rPr>
            </w:pPr>
            <w:r>
              <w:rPr>
                <w:rFonts w:hint="eastAsia"/>
                <w:color w:val="auto"/>
              </w:rPr>
              <w:t>门口消毒池消毒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659"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8</w:t>
            </w:r>
          </w:p>
        </w:tc>
        <w:tc>
          <w:tcPr>
            <w:tcW w:w="80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柴油</w:t>
            </w:r>
          </w:p>
        </w:tc>
        <w:tc>
          <w:tcPr>
            <w:tcW w:w="726" w:type="dxa"/>
            <w:tcBorders>
              <w:tl2br w:val="nil"/>
              <w:tr2bl w:val="nil"/>
            </w:tcBorders>
            <w:vAlign w:val="center"/>
          </w:tcPr>
          <w:p>
            <w:pPr>
              <w:spacing w:line="320" w:lineRule="exact"/>
              <w:ind w:right="143" w:rightChars="58"/>
              <w:jc w:val="center"/>
              <w:rPr>
                <w:rFonts w:ascii="Times New Roman" w:eastAsia="宋体"/>
                <w:bCs/>
                <w:color w:val="auto"/>
                <w:sz w:val="21"/>
                <w:szCs w:val="21"/>
              </w:rPr>
            </w:pPr>
            <w:r>
              <w:rPr>
                <w:rFonts w:hint="eastAsia" w:ascii="Times New Roman" w:eastAsia="宋体"/>
                <w:bCs/>
                <w:color w:val="auto"/>
                <w:sz w:val="21"/>
                <w:szCs w:val="21"/>
                <w:lang w:val="en-US" w:eastAsia="zh-CN"/>
              </w:rPr>
              <w:t>24</w:t>
            </w:r>
            <w:r>
              <w:rPr>
                <w:rFonts w:hint="eastAsia" w:ascii="Times New Roman" w:eastAsia="宋体"/>
                <w:bCs/>
                <w:color w:val="auto"/>
                <w:sz w:val="21"/>
                <w:szCs w:val="21"/>
              </w:rPr>
              <w:t>t/a</w:t>
            </w:r>
          </w:p>
        </w:tc>
        <w:tc>
          <w:tcPr>
            <w:tcW w:w="654" w:type="dxa"/>
            <w:tcBorders>
              <w:tl2br w:val="nil"/>
              <w:tr2bl w:val="nil"/>
            </w:tcBorders>
            <w:vAlign w:val="center"/>
          </w:tcPr>
          <w:p>
            <w:pPr>
              <w:pStyle w:val="373"/>
              <w:rPr>
                <w:color w:val="auto"/>
              </w:rPr>
            </w:pPr>
            <w:r>
              <w:rPr>
                <w:rFonts w:hint="eastAsia"/>
                <w:color w:val="auto"/>
              </w:rPr>
              <w:t>液体</w:t>
            </w:r>
          </w:p>
        </w:tc>
        <w:tc>
          <w:tcPr>
            <w:tcW w:w="1704"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696" w:type="dxa"/>
            <w:tcBorders>
              <w:tl2br w:val="nil"/>
              <w:tr2bl w:val="nil"/>
            </w:tcBorders>
            <w:vAlign w:val="center"/>
          </w:tcPr>
          <w:p>
            <w:pPr>
              <w:pStyle w:val="373"/>
              <w:rPr>
                <w:color w:val="auto"/>
              </w:rPr>
            </w:pPr>
            <w:r>
              <w:rPr>
                <w:rFonts w:hint="eastAsia"/>
                <w:color w:val="auto"/>
              </w:rPr>
              <w:t>桶装</w:t>
            </w:r>
          </w:p>
        </w:tc>
        <w:tc>
          <w:tcPr>
            <w:tcW w:w="957" w:type="dxa"/>
            <w:tcBorders>
              <w:tl2br w:val="nil"/>
              <w:tr2bl w:val="nil"/>
            </w:tcBorders>
            <w:vAlign w:val="center"/>
          </w:tcPr>
          <w:p>
            <w:pPr>
              <w:pStyle w:val="373"/>
              <w:rPr>
                <w:color w:val="auto"/>
              </w:rPr>
            </w:pPr>
            <w:r>
              <w:rPr>
                <w:rFonts w:hint="eastAsia"/>
                <w:color w:val="auto"/>
              </w:rPr>
              <w:t>柴油机房</w:t>
            </w:r>
          </w:p>
        </w:tc>
        <w:tc>
          <w:tcPr>
            <w:tcW w:w="943" w:type="dxa"/>
            <w:tcBorders>
              <w:tl2br w:val="nil"/>
              <w:tr2bl w:val="nil"/>
            </w:tcBorders>
            <w:vAlign w:val="center"/>
          </w:tcPr>
          <w:p>
            <w:pPr>
              <w:pStyle w:val="373"/>
              <w:rPr>
                <w:color w:val="auto"/>
              </w:rPr>
            </w:pPr>
            <w:r>
              <w:rPr>
                <w:color w:val="auto"/>
              </w:rPr>
              <w:t>外购</w:t>
            </w:r>
          </w:p>
        </w:tc>
        <w:tc>
          <w:tcPr>
            <w:tcW w:w="1317" w:type="dxa"/>
            <w:tcBorders>
              <w:tl2br w:val="nil"/>
              <w:tr2bl w:val="nil"/>
            </w:tcBorders>
            <w:vAlign w:val="center"/>
          </w:tcPr>
          <w:p>
            <w:pPr>
              <w:pStyle w:val="373"/>
              <w:rPr>
                <w:color w:val="auto"/>
              </w:rPr>
            </w:pPr>
            <w:r>
              <w:rPr>
                <w:rFonts w:hint="eastAsia"/>
                <w:color w:val="auto"/>
              </w:rPr>
              <w:t>备用柴油发电机</w:t>
            </w:r>
          </w:p>
        </w:tc>
      </w:tr>
    </w:tbl>
    <w:p>
      <w:pPr>
        <w:keepNext/>
        <w:spacing w:beforeLines="50" w:line="0" w:lineRule="atLeast"/>
        <w:jc w:val="center"/>
        <w:rPr>
          <w:rFonts w:ascii="Times New Roman" w:eastAsia="宋体"/>
          <w:b/>
          <w:bCs/>
          <w:color w:val="auto"/>
          <w:spacing w:val="-2"/>
          <w:kern w:val="10"/>
          <w:sz w:val="21"/>
          <w:szCs w:val="21"/>
          <w:lang w:bidi="he-IL"/>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3.1</w:t>
      </w:r>
      <w:r>
        <w:rPr>
          <w:rFonts w:ascii="Times New Roman" w:eastAsia="宋体"/>
          <w:b/>
          <w:bCs/>
          <w:color w:val="auto"/>
          <w:spacing w:val="-2"/>
          <w:kern w:val="10"/>
          <w:sz w:val="21"/>
          <w:szCs w:val="21"/>
          <w:lang w:bidi="he-IL"/>
        </w:rPr>
        <w:t>-</w:t>
      </w:r>
      <w:r>
        <w:rPr>
          <w:rFonts w:hint="eastAsia" w:ascii="Times New Roman" w:eastAsia="宋体"/>
          <w:b/>
          <w:bCs/>
          <w:color w:val="auto"/>
          <w:spacing w:val="-2"/>
          <w:kern w:val="10"/>
          <w:sz w:val="21"/>
          <w:szCs w:val="21"/>
          <w:lang w:bidi="he-IL"/>
        </w:rPr>
        <w:t>4原料理化性质表</w:t>
      </w:r>
    </w:p>
    <w:tbl>
      <w:tblPr>
        <w:tblStyle w:val="47"/>
        <w:tblW w:w="8459"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51" w:type="dxa"/>
          <w:bottom w:w="0" w:type="dxa"/>
          <w:right w:w="51" w:type="dxa"/>
        </w:tblCellMar>
      </w:tblPr>
      <w:tblGrid>
        <w:gridCol w:w="1514"/>
        <w:gridCol w:w="6945"/>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51" w:type="dxa"/>
            <w:bottom w:w="0" w:type="dxa"/>
            <w:right w:w="51" w:type="dxa"/>
          </w:tblCellMar>
        </w:tblPrEx>
        <w:trPr>
          <w:trHeight w:val="445" w:hRule="atLeast"/>
          <w:jc w:val="center"/>
        </w:trPr>
        <w:tc>
          <w:tcPr>
            <w:tcW w:w="1514" w:type="dxa"/>
            <w:tcBorders>
              <w:tl2br w:val="nil"/>
              <w:tr2bl w:val="nil"/>
            </w:tcBorders>
            <w:vAlign w:val="center"/>
          </w:tcPr>
          <w:p>
            <w:pPr>
              <w:jc w:val="center"/>
              <w:rPr>
                <w:rFonts w:ascii="Times New Roman" w:eastAsia="宋体" w:cs="宋体"/>
                <w:b/>
                <w:bCs/>
                <w:color w:val="auto"/>
                <w:sz w:val="21"/>
                <w:szCs w:val="21"/>
              </w:rPr>
            </w:pPr>
            <w:r>
              <w:rPr>
                <w:rFonts w:hint="eastAsia" w:ascii="Times New Roman" w:eastAsia="宋体" w:cs="宋体"/>
                <w:b/>
                <w:bCs/>
                <w:color w:val="auto"/>
                <w:sz w:val="21"/>
                <w:szCs w:val="21"/>
              </w:rPr>
              <w:t>名称</w:t>
            </w:r>
          </w:p>
        </w:tc>
        <w:tc>
          <w:tcPr>
            <w:tcW w:w="6945" w:type="dxa"/>
            <w:tcBorders>
              <w:tl2br w:val="nil"/>
              <w:tr2bl w:val="nil"/>
            </w:tcBorders>
            <w:vAlign w:val="center"/>
          </w:tcPr>
          <w:p>
            <w:pPr>
              <w:jc w:val="center"/>
              <w:rPr>
                <w:rFonts w:ascii="Times New Roman" w:eastAsia="宋体" w:cs="宋体"/>
                <w:b/>
                <w:bCs/>
                <w:color w:val="auto"/>
                <w:sz w:val="21"/>
                <w:szCs w:val="21"/>
              </w:rPr>
            </w:pPr>
            <w:r>
              <w:rPr>
                <w:rFonts w:hint="eastAsia" w:ascii="Times New Roman" w:eastAsia="宋体" w:cs="宋体"/>
                <w:b/>
                <w:bCs/>
                <w:color w:val="auto"/>
                <w:sz w:val="21"/>
                <w:szCs w:val="21"/>
              </w:rPr>
              <w:t>理化性质</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51" w:type="dxa"/>
            <w:bottom w:w="0" w:type="dxa"/>
            <w:right w:w="51" w:type="dxa"/>
          </w:tblCellMar>
        </w:tblPrEx>
        <w:trPr>
          <w:trHeight w:val="1999" w:hRule="atLeast"/>
          <w:jc w:val="center"/>
        </w:trPr>
        <w:tc>
          <w:tcPr>
            <w:tcW w:w="1514" w:type="dxa"/>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除臭剂</w:t>
            </w:r>
          </w:p>
          <w:p>
            <w:pPr>
              <w:jc w:val="center"/>
              <w:rPr>
                <w:rFonts w:ascii="Times New Roman" w:eastAsia="宋体" w:cs="宋体"/>
                <w:color w:val="auto"/>
                <w:sz w:val="21"/>
                <w:szCs w:val="21"/>
              </w:rPr>
            </w:pPr>
            <w:r>
              <w:rPr>
                <w:rFonts w:hint="eastAsia" w:ascii="Times New Roman" w:eastAsia="宋体" w:cs="宋体"/>
                <w:color w:val="auto"/>
                <w:sz w:val="21"/>
                <w:szCs w:val="21"/>
              </w:rPr>
              <w:t>（</w:t>
            </w:r>
            <w:r>
              <w:rPr>
                <w:rFonts w:hint="eastAsia" w:ascii="Times New Roman"/>
                <w:color w:val="auto"/>
                <w:sz w:val="21"/>
                <w:szCs w:val="21"/>
              </w:rPr>
              <w:t>EM原液</w:t>
            </w:r>
            <w:r>
              <w:rPr>
                <w:rFonts w:hint="eastAsia" w:ascii="Times New Roman" w:eastAsia="宋体" w:cs="宋体"/>
                <w:color w:val="auto"/>
                <w:sz w:val="21"/>
                <w:szCs w:val="21"/>
              </w:rPr>
              <w:t>）</w:t>
            </w:r>
          </w:p>
        </w:tc>
        <w:tc>
          <w:tcPr>
            <w:tcW w:w="6945" w:type="dxa"/>
            <w:tcBorders>
              <w:tl2br w:val="nil"/>
              <w:tr2bl w:val="nil"/>
            </w:tcBorders>
            <w:vAlign w:val="center"/>
          </w:tcPr>
          <w:p>
            <w:pPr>
              <w:adjustRightInd w:val="0"/>
              <w:snapToGrid w:val="0"/>
              <w:jc w:val="left"/>
              <w:rPr>
                <w:rFonts w:ascii="Times New Roman" w:eastAsia="宋体" w:cs="宋体"/>
                <w:color w:val="auto"/>
                <w:sz w:val="21"/>
                <w:szCs w:val="21"/>
              </w:rPr>
            </w:pPr>
            <w:r>
              <w:rPr>
                <w:rFonts w:hint="eastAsia" w:ascii="Times New Roman" w:eastAsia="宋体" w:cs="宋体"/>
                <w:color w:val="auto"/>
                <w:sz w:val="21"/>
                <w:szCs w:val="21"/>
              </w:rPr>
              <w:t>主要由微生物菌种、酶制剂和营养物质复合而成的生物活性剂。包括多种芽孢杆菌、球菌、酵母菌、放线菌，丝状真菌等多种微生物及蛋白酶、脂肪酶、淀粉酶、纤维素酶等生物酶。有效活菌数高达100亿/g。属于有益菌群，喷洒圈舍内，能够是环境中的有益菌数量远远超过有害菌群数量，抑制有害病菌的生存。对动物没有任何副作用，不会引起动物的不良反应，纯生物制剂。无爆炸危险性，不属易燃危险品；无氧化剂危险性，不属腐蚀品；不属毒害品。</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51" w:type="dxa"/>
            <w:bottom w:w="0" w:type="dxa"/>
            <w:right w:w="51" w:type="dxa"/>
          </w:tblCellMar>
        </w:tblPrEx>
        <w:trPr>
          <w:trHeight w:val="1715" w:hRule="atLeast"/>
          <w:jc w:val="center"/>
        </w:trPr>
        <w:tc>
          <w:tcPr>
            <w:tcW w:w="1514" w:type="dxa"/>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消毒液</w:t>
            </w:r>
          </w:p>
          <w:p>
            <w:pPr>
              <w:jc w:val="center"/>
              <w:rPr>
                <w:rFonts w:ascii="Times New Roman" w:eastAsia="宋体" w:cs="宋体"/>
                <w:color w:val="auto"/>
                <w:sz w:val="21"/>
                <w:szCs w:val="21"/>
              </w:rPr>
            </w:pPr>
            <w:r>
              <w:rPr>
                <w:rFonts w:hint="eastAsia" w:ascii="Times New Roman" w:eastAsia="宋体" w:cs="宋体"/>
                <w:color w:val="auto"/>
                <w:sz w:val="21"/>
                <w:szCs w:val="21"/>
              </w:rPr>
              <w:t>（</w:t>
            </w:r>
            <w:r>
              <w:rPr>
                <w:rFonts w:hint="eastAsia" w:ascii="Times New Roman"/>
                <w:color w:val="auto"/>
                <w:sz w:val="21"/>
                <w:szCs w:val="21"/>
              </w:rPr>
              <w:t>百毒杀</w:t>
            </w:r>
            <w:r>
              <w:rPr>
                <w:rFonts w:hint="eastAsia" w:ascii="Times New Roman" w:eastAsia="宋体" w:cs="宋体"/>
                <w:color w:val="auto"/>
                <w:sz w:val="21"/>
                <w:szCs w:val="21"/>
              </w:rPr>
              <w:t>）</w:t>
            </w:r>
          </w:p>
        </w:tc>
        <w:tc>
          <w:tcPr>
            <w:tcW w:w="6945" w:type="dxa"/>
            <w:tcBorders>
              <w:tl2br w:val="nil"/>
              <w:tr2bl w:val="nil"/>
            </w:tcBorders>
            <w:vAlign w:val="center"/>
          </w:tcPr>
          <w:p>
            <w:pPr>
              <w:adjustRightInd w:val="0"/>
              <w:snapToGrid w:val="0"/>
              <w:jc w:val="left"/>
              <w:rPr>
                <w:rFonts w:ascii="Times New Roman" w:eastAsia="宋体" w:cs="宋体"/>
                <w:color w:val="auto"/>
                <w:sz w:val="21"/>
                <w:szCs w:val="21"/>
              </w:rPr>
            </w:pPr>
            <w:r>
              <w:rPr>
                <w:rFonts w:hint="eastAsia" w:ascii="Times New Roman" w:eastAsia="宋体" w:cs="宋体"/>
                <w:color w:val="auto"/>
                <w:sz w:val="21"/>
                <w:szCs w:val="21"/>
              </w:rPr>
              <w:t>主要成分为溴化二甲基二癸基烃铵，微黄色澄清液体，有刺激性味道。振摇时产生泡沫。为阳离子表面活性剂。为阳离子表面活性剂，能完全杀灭各种细菌、病毒(有囊膜及无囊膜)、支原体、霉菌、藻类等致病微生物。消毒杀菌后可覆盖物体表面，且效力维持10-14天之久。渗透力超强，能深入裂缝及各种有机物内杀灭各种病原体，低浓度瞬间消毒杀菌。</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51" w:type="dxa"/>
            <w:bottom w:w="0" w:type="dxa"/>
            <w:right w:w="51" w:type="dxa"/>
          </w:tblCellMar>
        </w:tblPrEx>
        <w:trPr>
          <w:trHeight w:val="1715" w:hRule="atLeast"/>
          <w:jc w:val="center"/>
        </w:trPr>
        <w:tc>
          <w:tcPr>
            <w:tcW w:w="1514" w:type="dxa"/>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消毒液</w:t>
            </w:r>
          </w:p>
          <w:p>
            <w:pPr>
              <w:jc w:val="center"/>
              <w:rPr>
                <w:rFonts w:ascii="Times New Roman" w:eastAsia="宋体" w:cs="宋体"/>
                <w:color w:val="auto"/>
                <w:sz w:val="21"/>
                <w:szCs w:val="21"/>
              </w:rPr>
            </w:pPr>
            <w:r>
              <w:rPr>
                <w:rFonts w:hint="eastAsia" w:ascii="Times New Roman" w:eastAsia="宋体" w:cs="宋体"/>
                <w:color w:val="auto"/>
                <w:sz w:val="21"/>
                <w:szCs w:val="21"/>
              </w:rPr>
              <w:t>（</w:t>
            </w:r>
            <w:r>
              <w:rPr>
                <w:rFonts w:hint="eastAsia" w:ascii="Times New Roman"/>
                <w:color w:val="auto"/>
                <w:sz w:val="21"/>
                <w:szCs w:val="21"/>
              </w:rPr>
              <w:t>澳洁康</w:t>
            </w:r>
            <w:r>
              <w:rPr>
                <w:rFonts w:hint="eastAsia" w:ascii="Times New Roman" w:eastAsia="宋体" w:cs="宋体"/>
                <w:color w:val="auto"/>
                <w:sz w:val="21"/>
                <w:szCs w:val="21"/>
              </w:rPr>
              <w:t>）</w:t>
            </w:r>
          </w:p>
        </w:tc>
        <w:tc>
          <w:tcPr>
            <w:tcW w:w="6945" w:type="dxa"/>
            <w:tcBorders>
              <w:tl2br w:val="nil"/>
              <w:tr2bl w:val="nil"/>
            </w:tcBorders>
            <w:vAlign w:val="center"/>
          </w:tcPr>
          <w:p>
            <w:pPr>
              <w:adjustRightInd w:val="0"/>
              <w:snapToGrid w:val="0"/>
              <w:jc w:val="left"/>
              <w:rPr>
                <w:rFonts w:ascii="Times New Roman" w:eastAsia="宋体" w:cs="宋体"/>
                <w:color w:val="auto"/>
                <w:sz w:val="21"/>
                <w:szCs w:val="21"/>
              </w:rPr>
            </w:pPr>
            <w:r>
              <w:rPr>
                <w:rFonts w:hint="eastAsia" w:ascii="Times New Roman" w:eastAsia="宋体" w:cs="宋体"/>
                <w:color w:val="auto"/>
                <w:sz w:val="21"/>
                <w:szCs w:val="21"/>
              </w:rPr>
              <w:t>又名戊二醛癸甲溴铵溶液，为淡黄色澄清液体，有刺激性味道。振摇时产生泡沫。为阳离子表面活性剂。戊二醛为醛类消毒药，可杀灭细菌的繁殖体和芽孢、真菌、病毒。癸甲溴铵为双长链阳离子表面活性剂，其季铵阳离子能主动吸引带负电荷的细菌和病毒并覆盖其表面，阻碍细菌代谢，导致膜的通透性改变，协同戊二醛更易进入细菌、病毒内部，破坏蛋白质和酶活性，达到快速高效的消毒作用。</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51" w:type="dxa"/>
            <w:bottom w:w="0" w:type="dxa"/>
            <w:right w:w="51" w:type="dxa"/>
          </w:tblCellMar>
        </w:tblPrEx>
        <w:trPr>
          <w:trHeight w:val="1715" w:hRule="atLeast"/>
          <w:jc w:val="center"/>
        </w:trPr>
        <w:tc>
          <w:tcPr>
            <w:tcW w:w="1514" w:type="dxa"/>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olor w:val="auto"/>
                <w:sz w:val="21"/>
                <w:szCs w:val="21"/>
              </w:rPr>
              <w:t>烧碱</w:t>
            </w:r>
          </w:p>
        </w:tc>
        <w:tc>
          <w:tcPr>
            <w:tcW w:w="6945" w:type="dxa"/>
            <w:tcBorders>
              <w:tl2br w:val="nil"/>
              <w:tr2bl w:val="nil"/>
            </w:tcBorders>
            <w:vAlign w:val="center"/>
          </w:tcPr>
          <w:p>
            <w:pPr>
              <w:adjustRightInd w:val="0"/>
              <w:snapToGrid w:val="0"/>
              <w:jc w:val="left"/>
              <w:rPr>
                <w:rFonts w:ascii="Times New Roman" w:eastAsia="宋体" w:cs="宋体"/>
                <w:color w:val="auto"/>
                <w:sz w:val="21"/>
                <w:szCs w:val="21"/>
              </w:rPr>
            </w:pPr>
            <w:r>
              <w:rPr>
                <w:rFonts w:hint="eastAsia" w:ascii="Times New Roman" w:eastAsia="宋体" w:cs="宋体"/>
                <w:color w:val="auto"/>
                <w:sz w:val="21"/>
                <w:szCs w:val="21"/>
              </w:rPr>
              <w:t>化学成分为氢氧化钠（NaOH含量≥95%），为白色不透明固体，易解潮，有强烈刺激和腐蚀性，易溶于水、乙醇、甘油，不溶于丙酮，溶解放热。粉尘或烟雾刺激眼和呼吸道，腐蚀鼻中隔；皮肤和眼睛直接接触可以起灼伤；误服可造成消化道灼伤，粘膜糜烂，出血和休克。不燃，具强腐蚀性、强刺激性，可致人体灼伤。家兔经眼:1%重度刺激。家兔经皮:50mg/24 小时，重度刺激。</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51" w:type="dxa"/>
            <w:bottom w:w="0" w:type="dxa"/>
            <w:right w:w="51" w:type="dxa"/>
          </w:tblCellMar>
        </w:tblPrEx>
        <w:trPr>
          <w:trHeight w:val="1746" w:hRule="atLeast"/>
          <w:jc w:val="center"/>
        </w:trPr>
        <w:tc>
          <w:tcPr>
            <w:tcW w:w="151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柴油</w:t>
            </w:r>
          </w:p>
        </w:tc>
        <w:tc>
          <w:tcPr>
            <w:tcW w:w="6945" w:type="dxa"/>
            <w:tcBorders>
              <w:tl2br w:val="nil"/>
              <w:tr2bl w:val="nil"/>
            </w:tcBorders>
            <w:vAlign w:val="center"/>
          </w:tcPr>
          <w:p>
            <w:pPr>
              <w:adjustRightInd w:val="0"/>
              <w:snapToGrid w:val="0"/>
              <w:jc w:val="left"/>
              <w:rPr>
                <w:rFonts w:ascii="Times New Roman" w:eastAsia="宋体" w:cs="宋体"/>
                <w:color w:val="auto"/>
                <w:sz w:val="21"/>
                <w:szCs w:val="21"/>
              </w:rPr>
            </w:pPr>
            <w:r>
              <w:rPr>
                <w:rFonts w:hint="eastAsia" w:ascii="Times New Roman" w:eastAsia="宋体" w:cs="宋体"/>
                <w:color w:val="auto"/>
                <w:sz w:val="21"/>
                <w:szCs w:val="21"/>
              </w:rPr>
              <w:t>由各族烃类和非烃类组成可燃性液体，稍有粘性，呈棕色具刺激性。可通过吸入、食入、经皮吸收，引起吸入性肺炎、可引起接触性皮炎、油性座疮甚至急性肾脏损害等等。柴油废气可引起眼、鼻刺激症状，头量及头痛，可能经胎盘进入胎儿血中。柴油遇明火、高热或与氧化剂接触，有引起燃烧爆炸的危险。若遇高热，容器内压增大，有开裂和爆炸的危险。</w:t>
            </w:r>
          </w:p>
        </w:tc>
      </w:tr>
    </w:tbl>
    <w:p>
      <w:pPr>
        <w:keepNext/>
        <w:spacing w:beforeLines="50" w:line="0" w:lineRule="atLeast"/>
        <w:jc w:val="center"/>
        <w:rPr>
          <w:rFonts w:ascii="Times New Roman" w:eastAsia="宋体"/>
          <w:b/>
          <w:bCs/>
          <w:color w:val="auto"/>
          <w:spacing w:val="-2"/>
          <w:kern w:val="10"/>
          <w:sz w:val="21"/>
          <w:szCs w:val="21"/>
          <w:lang w:bidi="he-IL"/>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3</w:t>
      </w:r>
      <w:r>
        <w:rPr>
          <w:rFonts w:ascii="Times New Roman" w:eastAsia="宋体"/>
          <w:b/>
          <w:bCs/>
          <w:color w:val="auto"/>
          <w:spacing w:val="-2"/>
          <w:kern w:val="10"/>
          <w:sz w:val="21"/>
          <w:szCs w:val="21"/>
          <w:lang w:bidi="he-IL"/>
        </w:rPr>
        <w:t>.1-</w:t>
      </w:r>
      <w:r>
        <w:rPr>
          <w:rFonts w:hint="eastAsia" w:ascii="Times New Roman" w:eastAsia="宋体"/>
          <w:b/>
          <w:bCs/>
          <w:color w:val="auto"/>
          <w:spacing w:val="-2"/>
          <w:kern w:val="10"/>
          <w:sz w:val="21"/>
          <w:szCs w:val="21"/>
          <w:lang w:bidi="he-IL"/>
        </w:rPr>
        <w:t>5  成型生物质</w:t>
      </w:r>
      <w:r>
        <w:rPr>
          <w:rFonts w:ascii="Times New Roman" w:eastAsia="宋体"/>
          <w:b/>
          <w:bCs/>
          <w:color w:val="auto"/>
          <w:spacing w:val="-2"/>
          <w:kern w:val="10"/>
          <w:sz w:val="21"/>
          <w:szCs w:val="21"/>
          <w:lang w:bidi="he-IL"/>
        </w:rPr>
        <w:t>燃料组分一览表</w:t>
      </w:r>
    </w:p>
    <w:tbl>
      <w:tblPr>
        <w:tblStyle w:val="48"/>
        <w:tblW w:w="523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1017"/>
        <w:gridCol w:w="1021"/>
        <w:gridCol w:w="1017"/>
        <w:gridCol w:w="1022"/>
        <w:gridCol w:w="1178"/>
        <w:gridCol w:w="1178"/>
        <w:gridCol w:w="11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1" w:type="pct"/>
            <w:tcBorders>
              <w:tl2br w:val="nil"/>
              <w:tr2bl w:val="nil"/>
            </w:tcBorders>
            <w:vAlign w:val="center"/>
          </w:tcPr>
          <w:p>
            <w:pPr>
              <w:adjustRightInd w:val="0"/>
              <w:snapToGrid w:val="0"/>
              <w:rPr>
                <w:rFonts w:ascii="Times New Roman" w:eastAsia="宋体"/>
                <w:b/>
                <w:bCs/>
                <w:color w:val="auto"/>
                <w:sz w:val="21"/>
                <w:szCs w:val="21"/>
              </w:rPr>
            </w:pPr>
            <w:r>
              <w:rPr>
                <w:rFonts w:ascii="Times New Roman" w:eastAsia="宋体"/>
                <w:b/>
                <w:bCs/>
                <w:color w:val="auto"/>
                <w:sz w:val="21"/>
                <w:szCs w:val="21"/>
              </w:rPr>
              <w:t>检验项目</w:t>
            </w:r>
          </w:p>
        </w:tc>
        <w:tc>
          <w:tcPr>
            <w:tcW w:w="1142" w:type="pct"/>
            <w:gridSpan w:val="2"/>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干燥基高位发热量Qgr.d</w:t>
            </w:r>
          </w:p>
        </w:tc>
        <w:tc>
          <w:tcPr>
            <w:tcW w:w="1143" w:type="pct"/>
            <w:gridSpan w:val="2"/>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收到基低位发热量Qnet.v.ar</w:t>
            </w:r>
          </w:p>
        </w:tc>
        <w:tc>
          <w:tcPr>
            <w:tcW w:w="660" w:type="pct"/>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全水分Mt</w:t>
            </w:r>
          </w:p>
        </w:tc>
        <w:tc>
          <w:tcPr>
            <w:tcW w:w="660" w:type="pct"/>
            <w:tcBorders>
              <w:tl2br w:val="nil"/>
              <w:tr2bl w:val="nil"/>
            </w:tcBorders>
            <w:vAlign w:val="center"/>
          </w:tcPr>
          <w:p>
            <w:pPr>
              <w:adjustRightInd w:val="0"/>
              <w:snapToGrid w:val="0"/>
              <w:rPr>
                <w:rFonts w:ascii="Times New Roman" w:eastAsia="宋体"/>
                <w:b/>
                <w:bCs/>
                <w:color w:val="auto"/>
                <w:sz w:val="21"/>
                <w:szCs w:val="21"/>
              </w:rPr>
            </w:pPr>
            <w:r>
              <w:rPr>
                <w:rFonts w:ascii="Times New Roman" w:eastAsia="宋体"/>
                <w:b/>
                <w:bCs/>
                <w:color w:val="auto"/>
                <w:sz w:val="21"/>
                <w:szCs w:val="21"/>
              </w:rPr>
              <w:t>干燥</w:t>
            </w:r>
            <w:r>
              <w:rPr>
                <w:rFonts w:hint="eastAsia" w:ascii="Times New Roman" w:eastAsia="宋体"/>
                <w:b/>
                <w:bCs/>
                <w:color w:val="auto"/>
                <w:sz w:val="21"/>
                <w:szCs w:val="21"/>
              </w:rPr>
              <w:t>基含硫量St.d</w:t>
            </w:r>
          </w:p>
        </w:tc>
        <w:tc>
          <w:tcPr>
            <w:tcW w:w="662" w:type="pct"/>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干燥基灰分Ad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31"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结果</w:t>
            </w:r>
          </w:p>
        </w:tc>
        <w:tc>
          <w:tcPr>
            <w:tcW w:w="570"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18.02</w:t>
            </w:r>
          </w:p>
        </w:tc>
        <w:tc>
          <w:tcPr>
            <w:tcW w:w="571"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4309</w:t>
            </w:r>
          </w:p>
        </w:tc>
        <w:tc>
          <w:tcPr>
            <w:tcW w:w="570"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15.92</w:t>
            </w:r>
          </w:p>
        </w:tc>
        <w:tc>
          <w:tcPr>
            <w:tcW w:w="572"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3807</w:t>
            </w:r>
          </w:p>
        </w:tc>
        <w:tc>
          <w:tcPr>
            <w:tcW w:w="660"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6.3</w:t>
            </w:r>
          </w:p>
        </w:tc>
        <w:tc>
          <w:tcPr>
            <w:tcW w:w="660"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0.07</w:t>
            </w:r>
          </w:p>
        </w:tc>
        <w:tc>
          <w:tcPr>
            <w:tcW w:w="662"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5.89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31"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单位</w:t>
            </w:r>
          </w:p>
        </w:tc>
        <w:tc>
          <w:tcPr>
            <w:tcW w:w="570"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MJ/kg</w:t>
            </w:r>
          </w:p>
        </w:tc>
        <w:tc>
          <w:tcPr>
            <w:tcW w:w="571" w:type="pct"/>
            <w:tcBorders>
              <w:tl2br w:val="nil"/>
              <w:tr2bl w:val="nil"/>
            </w:tcBorders>
            <w:vAlign w:val="center"/>
          </w:tcPr>
          <w:p>
            <w:pPr>
              <w:adjustRightInd w:val="0"/>
              <w:snapToGrid w:val="0"/>
              <w:rPr>
                <w:rFonts w:ascii="Times New Roman"/>
                <w:color w:val="auto"/>
                <w:sz w:val="21"/>
                <w:szCs w:val="21"/>
              </w:rPr>
            </w:pPr>
            <w:r>
              <w:rPr>
                <w:rFonts w:hint="eastAsia" w:ascii="Times New Roman"/>
                <w:color w:val="auto"/>
                <w:sz w:val="21"/>
                <w:szCs w:val="21"/>
              </w:rPr>
              <w:t>Kcal/kg</w:t>
            </w:r>
          </w:p>
        </w:tc>
        <w:tc>
          <w:tcPr>
            <w:tcW w:w="570" w:type="pct"/>
            <w:tcBorders>
              <w:tl2br w:val="nil"/>
              <w:tr2bl w:val="nil"/>
            </w:tcBorders>
            <w:vAlign w:val="center"/>
          </w:tcPr>
          <w:p>
            <w:pPr>
              <w:adjustRightInd w:val="0"/>
              <w:snapToGrid w:val="0"/>
              <w:rPr>
                <w:rFonts w:ascii="Times New Roman" w:eastAsia="宋体"/>
                <w:color w:val="auto"/>
                <w:kern w:val="2"/>
                <w:sz w:val="21"/>
                <w:szCs w:val="21"/>
              </w:rPr>
            </w:pPr>
            <w:r>
              <w:rPr>
                <w:rFonts w:hint="eastAsia" w:ascii="Times New Roman" w:eastAsia="宋体"/>
                <w:color w:val="auto"/>
                <w:sz w:val="21"/>
                <w:szCs w:val="21"/>
              </w:rPr>
              <w:t>MJ/kg</w:t>
            </w:r>
          </w:p>
        </w:tc>
        <w:tc>
          <w:tcPr>
            <w:tcW w:w="572" w:type="pct"/>
            <w:tcBorders>
              <w:tl2br w:val="nil"/>
              <w:tr2bl w:val="nil"/>
            </w:tcBorders>
            <w:vAlign w:val="center"/>
          </w:tcPr>
          <w:p>
            <w:pPr>
              <w:adjustRightInd w:val="0"/>
              <w:snapToGrid w:val="0"/>
              <w:rPr>
                <w:rFonts w:ascii="Times New Roman"/>
                <w:color w:val="auto"/>
                <w:kern w:val="2"/>
                <w:sz w:val="21"/>
                <w:szCs w:val="21"/>
              </w:rPr>
            </w:pPr>
            <w:r>
              <w:rPr>
                <w:rFonts w:hint="eastAsia" w:ascii="Times New Roman"/>
                <w:color w:val="auto"/>
                <w:sz w:val="21"/>
                <w:szCs w:val="21"/>
              </w:rPr>
              <w:t>Kcal/kg</w:t>
            </w:r>
          </w:p>
        </w:tc>
        <w:tc>
          <w:tcPr>
            <w:tcW w:w="660"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w:t>
            </w:r>
          </w:p>
        </w:tc>
        <w:tc>
          <w:tcPr>
            <w:tcW w:w="660"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w:t>
            </w:r>
          </w:p>
        </w:tc>
        <w:tc>
          <w:tcPr>
            <w:tcW w:w="662" w:type="pct"/>
            <w:tcBorders>
              <w:tl2br w:val="nil"/>
              <w:tr2bl w:val="nil"/>
            </w:tcBorders>
            <w:vAlign w:val="center"/>
          </w:tcPr>
          <w:p>
            <w:pPr>
              <w:adjustRightInd w:val="0"/>
              <w:snapToGrid w:val="0"/>
              <w:rPr>
                <w:rFonts w:ascii="Times New Roman" w:eastAsia="宋体"/>
                <w:color w:val="auto"/>
                <w:sz w:val="21"/>
                <w:szCs w:val="21"/>
              </w:rPr>
            </w:pPr>
            <w:r>
              <w:rPr>
                <w:rFonts w:hint="eastAsia" w:ascii="Times New Roman" w:eastAsia="宋体"/>
                <w:color w:val="auto"/>
                <w:sz w:val="21"/>
                <w:szCs w:val="21"/>
              </w:rPr>
              <w:t>%</w:t>
            </w:r>
          </w:p>
        </w:tc>
      </w:tr>
    </w:tbl>
    <w:p>
      <w:pPr>
        <w:pStyle w:val="4"/>
        <w:spacing w:before="0" w:after="0" w:line="360" w:lineRule="auto"/>
        <w:rPr>
          <w:rFonts w:ascii="Times New Roman" w:eastAsia="宋体"/>
          <w:b/>
          <w:bCs/>
          <w:color w:val="auto"/>
          <w:kern w:val="2"/>
          <w:sz w:val="24"/>
        </w:rPr>
      </w:pPr>
      <w:bookmarkStart w:id="284" w:name="_Toc6405"/>
      <w:r>
        <w:rPr>
          <w:rFonts w:hint="eastAsia" w:ascii="Times New Roman" w:eastAsia="宋体"/>
          <w:b/>
          <w:bCs/>
          <w:color w:val="auto"/>
          <w:kern w:val="2"/>
          <w:sz w:val="24"/>
        </w:rPr>
        <w:t>3</w:t>
      </w:r>
      <w:r>
        <w:rPr>
          <w:rFonts w:ascii="Times New Roman" w:eastAsia="宋体"/>
          <w:b/>
          <w:bCs/>
          <w:color w:val="auto"/>
          <w:kern w:val="2"/>
          <w:sz w:val="24"/>
        </w:rPr>
        <w:t>.1.5能源消耗</w:t>
      </w:r>
      <w:bookmarkEnd w:id="284"/>
    </w:p>
    <w:p>
      <w:pPr>
        <w:spacing w:line="360" w:lineRule="auto"/>
        <w:ind w:firstLine="496" w:firstLineChars="200"/>
        <w:rPr>
          <w:rFonts w:ascii="Times New Roman" w:eastAsia="宋体"/>
          <w:color w:val="auto"/>
        </w:rPr>
      </w:pPr>
      <w:r>
        <w:rPr>
          <w:rFonts w:ascii="Times New Roman" w:eastAsia="宋体"/>
          <w:color w:val="auto"/>
        </w:rPr>
        <w:t>项目能源消耗见表</w:t>
      </w:r>
      <w:r>
        <w:rPr>
          <w:rFonts w:hint="eastAsia" w:ascii="Times New Roman" w:eastAsia="宋体"/>
          <w:color w:val="auto"/>
        </w:rPr>
        <w:t>3</w:t>
      </w:r>
      <w:r>
        <w:rPr>
          <w:rFonts w:ascii="Times New Roman" w:eastAsia="宋体"/>
          <w:color w:val="auto"/>
        </w:rPr>
        <w:t>.1-</w:t>
      </w:r>
      <w:r>
        <w:rPr>
          <w:rFonts w:hint="eastAsia" w:ascii="Times New Roman" w:eastAsia="宋体"/>
          <w:color w:val="auto"/>
        </w:rPr>
        <w:t>6</w:t>
      </w:r>
      <w:r>
        <w:rPr>
          <w:rFonts w:ascii="Times New Roman" w:eastAsia="宋体"/>
          <w:color w:val="auto"/>
        </w:rPr>
        <w:t>。</w:t>
      </w:r>
    </w:p>
    <w:p>
      <w:pPr>
        <w:keepNext/>
        <w:spacing w:beforeLines="50" w:line="0" w:lineRule="atLeast"/>
        <w:jc w:val="center"/>
        <w:rPr>
          <w:rFonts w:ascii="Times New Roman" w:eastAsia="宋体"/>
          <w:b/>
          <w:bCs/>
          <w:color w:val="auto"/>
          <w:spacing w:val="-2"/>
          <w:kern w:val="10"/>
          <w:sz w:val="21"/>
          <w:szCs w:val="21"/>
          <w:lang w:bidi="he-IL"/>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3</w:t>
      </w:r>
      <w:r>
        <w:rPr>
          <w:rFonts w:ascii="Times New Roman" w:eastAsia="宋体"/>
          <w:b/>
          <w:bCs/>
          <w:color w:val="auto"/>
          <w:spacing w:val="-2"/>
          <w:kern w:val="10"/>
          <w:sz w:val="21"/>
          <w:szCs w:val="21"/>
          <w:lang w:bidi="he-IL"/>
        </w:rPr>
        <w:t>.1-</w:t>
      </w:r>
      <w:r>
        <w:rPr>
          <w:rFonts w:hint="eastAsia" w:ascii="Times New Roman" w:eastAsia="宋体"/>
          <w:b/>
          <w:bCs/>
          <w:color w:val="auto"/>
          <w:spacing w:val="-2"/>
          <w:kern w:val="10"/>
          <w:sz w:val="21"/>
          <w:szCs w:val="21"/>
          <w:lang w:bidi="he-IL"/>
        </w:rPr>
        <w:t>6</w:t>
      </w:r>
      <w:r>
        <w:rPr>
          <w:rFonts w:ascii="Times New Roman" w:eastAsia="宋体"/>
          <w:b/>
          <w:bCs/>
          <w:color w:val="auto"/>
          <w:spacing w:val="-2"/>
          <w:kern w:val="10"/>
          <w:sz w:val="21"/>
          <w:szCs w:val="21"/>
          <w:lang w:bidi="he-IL"/>
        </w:rPr>
        <w:t>项目能源消耗表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200"/>
        <w:gridCol w:w="1650"/>
        <w:gridCol w:w="1740"/>
        <w:gridCol w:w="30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869"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序号</w:t>
            </w:r>
          </w:p>
        </w:tc>
        <w:tc>
          <w:tcPr>
            <w:tcW w:w="1200"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名称</w:t>
            </w:r>
          </w:p>
        </w:tc>
        <w:tc>
          <w:tcPr>
            <w:tcW w:w="1650"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年耗用量</w:t>
            </w:r>
          </w:p>
        </w:tc>
        <w:tc>
          <w:tcPr>
            <w:tcW w:w="1740" w:type="dxa"/>
            <w:tcBorders>
              <w:tl2br w:val="nil"/>
              <w:tr2bl w:val="nil"/>
            </w:tcBorders>
            <w:vAlign w:val="center"/>
          </w:tcPr>
          <w:p>
            <w:pPr>
              <w:jc w:val="center"/>
              <w:rPr>
                <w:rFonts w:ascii="Times New Roman" w:eastAsia="宋体"/>
                <w:b/>
                <w:bCs/>
                <w:color w:val="auto"/>
                <w:sz w:val="21"/>
                <w:szCs w:val="21"/>
              </w:rPr>
            </w:pPr>
            <w:r>
              <w:rPr>
                <w:rFonts w:hint="eastAsia" w:ascii="Times New Roman" w:eastAsia="宋体"/>
                <w:b/>
                <w:bCs/>
                <w:color w:val="auto"/>
                <w:sz w:val="21"/>
                <w:szCs w:val="21"/>
              </w:rPr>
              <w:t>单位</w:t>
            </w:r>
          </w:p>
        </w:tc>
        <w:tc>
          <w:tcPr>
            <w:tcW w:w="3057"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w:t>
            </w:r>
          </w:p>
        </w:tc>
        <w:tc>
          <w:tcPr>
            <w:tcW w:w="120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水</w:t>
            </w:r>
          </w:p>
        </w:tc>
        <w:tc>
          <w:tcPr>
            <w:tcW w:w="1650" w:type="dxa"/>
            <w:tcBorders>
              <w:tl2br w:val="nil"/>
              <w:tr2bl w:val="nil"/>
            </w:tcBorders>
            <w:vAlign w:val="center"/>
          </w:tcPr>
          <w:p>
            <w:pPr>
              <w:spacing w:line="320" w:lineRule="exact"/>
              <w:ind w:right="143" w:rightChars="58"/>
              <w:jc w:val="center"/>
              <w:rPr>
                <w:rFonts w:ascii="Times New Roman" w:eastAsia="宋体"/>
                <w:bCs/>
                <w:color w:val="auto"/>
                <w:sz w:val="21"/>
                <w:szCs w:val="21"/>
              </w:rPr>
            </w:pPr>
            <w:r>
              <w:rPr>
                <w:rFonts w:hint="eastAsia" w:ascii="Times New Roman" w:eastAsia="宋体"/>
                <w:bCs/>
                <w:color w:val="auto"/>
                <w:sz w:val="21"/>
                <w:szCs w:val="21"/>
              </w:rPr>
              <w:t>4万</w:t>
            </w:r>
          </w:p>
        </w:tc>
        <w:tc>
          <w:tcPr>
            <w:tcW w:w="1740" w:type="dxa"/>
            <w:tcBorders>
              <w:tl2br w:val="nil"/>
              <w:tr2bl w:val="nil"/>
            </w:tcBorders>
            <w:vAlign w:val="center"/>
          </w:tcPr>
          <w:p>
            <w:pPr>
              <w:spacing w:line="320" w:lineRule="exact"/>
              <w:ind w:right="143" w:rightChars="58"/>
              <w:jc w:val="center"/>
              <w:rPr>
                <w:rFonts w:ascii="Times New Roman" w:eastAsia="宋体"/>
                <w:bCs/>
                <w:color w:val="auto"/>
                <w:sz w:val="21"/>
                <w:szCs w:val="21"/>
              </w:rPr>
            </w:pPr>
            <w:r>
              <w:rPr>
                <w:rFonts w:ascii="Times New Roman" w:eastAsia="宋体"/>
                <w:bCs/>
                <w:color w:val="auto"/>
                <w:sz w:val="21"/>
                <w:szCs w:val="21"/>
              </w:rPr>
              <w:t>t/a</w:t>
            </w:r>
          </w:p>
        </w:tc>
        <w:tc>
          <w:tcPr>
            <w:tcW w:w="305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取自自备水井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w:t>
            </w:r>
          </w:p>
        </w:tc>
        <w:tc>
          <w:tcPr>
            <w:tcW w:w="120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电</w:t>
            </w:r>
          </w:p>
        </w:tc>
        <w:tc>
          <w:tcPr>
            <w:tcW w:w="1650" w:type="dxa"/>
            <w:tcBorders>
              <w:tl2br w:val="nil"/>
              <w:tr2bl w:val="nil"/>
            </w:tcBorders>
            <w:vAlign w:val="center"/>
          </w:tcPr>
          <w:p>
            <w:pPr>
              <w:spacing w:line="320" w:lineRule="exact"/>
              <w:ind w:right="143" w:rightChars="58"/>
              <w:jc w:val="center"/>
              <w:rPr>
                <w:rFonts w:ascii="Times New Roman" w:eastAsia="宋体"/>
                <w:color w:val="auto"/>
                <w:sz w:val="21"/>
                <w:szCs w:val="21"/>
              </w:rPr>
            </w:pPr>
            <w:r>
              <w:rPr>
                <w:rFonts w:hint="eastAsia" w:ascii="Times New Roman" w:eastAsia="宋体"/>
                <w:bCs/>
                <w:color w:val="auto"/>
                <w:sz w:val="21"/>
                <w:szCs w:val="21"/>
              </w:rPr>
              <w:t>75万</w:t>
            </w:r>
          </w:p>
        </w:tc>
        <w:tc>
          <w:tcPr>
            <w:tcW w:w="1740" w:type="dxa"/>
            <w:tcBorders>
              <w:tl2br w:val="nil"/>
              <w:tr2bl w:val="nil"/>
            </w:tcBorders>
            <w:vAlign w:val="center"/>
          </w:tcPr>
          <w:p>
            <w:pPr>
              <w:spacing w:line="320" w:lineRule="exact"/>
              <w:ind w:right="143" w:rightChars="58"/>
              <w:jc w:val="center"/>
              <w:rPr>
                <w:rFonts w:ascii="Times New Roman" w:eastAsia="宋体"/>
                <w:color w:val="auto"/>
                <w:sz w:val="21"/>
                <w:szCs w:val="21"/>
              </w:rPr>
            </w:pPr>
            <w:r>
              <w:rPr>
                <w:rFonts w:ascii="Times New Roman" w:eastAsia="宋体"/>
                <w:bCs/>
                <w:color w:val="auto"/>
                <w:sz w:val="21"/>
                <w:szCs w:val="21"/>
              </w:rPr>
              <w:t>k</w:t>
            </w:r>
            <w:r>
              <w:rPr>
                <w:rFonts w:hint="eastAsia" w:ascii="Times New Roman" w:eastAsia="宋体"/>
                <w:bCs/>
                <w:color w:val="auto"/>
                <w:sz w:val="21"/>
                <w:szCs w:val="21"/>
              </w:rPr>
              <w:t>W</w:t>
            </w:r>
            <w:r>
              <w:rPr>
                <w:rFonts w:ascii="Times New Roman" w:eastAsia="宋体"/>
                <w:bCs/>
                <w:color w:val="auto"/>
                <w:sz w:val="21"/>
                <w:szCs w:val="21"/>
              </w:rPr>
              <w:t>h/a</w:t>
            </w:r>
          </w:p>
        </w:tc>
        <w:tc>
          <w:tcPr>
            <w:tcW w:w="305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当地电网提供</w:t>
            </w:r>
            <w:r>
              <w:rPr>
                <w:rFonts w:hint="eastAsia" w:ascii="Times New Roman" w:eastAsia="宋体"/>
                <w:color w:val="auto"/>
                <w:sz w:val="21"/>
                <w:szCs w:val="21"/>
              </w:rPr>
              <w:t>，自建配电房</w:t>
            </w:r>
          </w:p>
        </w:tc>
      </w:tr>
    </w:tbl>
    <w:p>
      <w:pPr>
        <w:spacing w:line="360" w:lineRule="auto"/>
        <w:ind w:firstLine="496" w:firstLineChars="200"/>
        <w:rPr>
          <w:rFonts w:ascii="Times New Roman" w:eastAsia="宋体"/>
          <w:color w:val="auto"/>
        </w:rPr>
      </w:pPr>
      <w:bookmarkStart w:id="285" w:name="_Toc23933"/>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3</w:t>
      </w:r>
      <w:r>
        <w:rPr>
          <w:rFonts w:ascii="Times New Roman" w:eastAsia="宋体"/>
          <w:b/>
          <w:bCs/>
          <w:color w:val="auto"/>
          <w:kern w:val="2"/>
          <w:sz w:val="24"/>
        </w:rPr>
        <w:t>.1.6主要设备</w:t>
      </w:r>
      <w:bookmarkEnd w:id="285"/>
    </w:p>
    <w:p>
      <w:pPr>
        <w:spacing w:line="360" w:lineRule="auto"/>
        <w:ind w:firstLine="496" w:firstLineChars="200"/>
        <w:rPr>
          <w:rFonts w:ascii="Times New Roman" w:eastAsia="宋体"/>
          <w:color w:val="auto"/>
        </w:rPr>
      </w:pPr>
      <w:r>
        <w:rPr>
          <w:rFonts w:ascii="Times New Roman" w:eastAsia="宋体"/>
          <w:color w:val="auto"/>
        </w:rPr>
        <w:t>项目生产主要设备见表</w:t>
      </w:r>
      <w:r>
        <w:rPr>
          <w:rFonts w:hint="eastAsia" w:ascii="Times New Roman" w:eastAsia="宋体"/>
          <w:color w:val="auto"/>
        </w:rPr>
        <w:t>3</w:t>
      </w:r>
      <w:r>
        <w:rPr>
          <w:rFonts w:ascii="Times New Roman" w:eastAsia="宋体"/>
          <w:color w:val="auto"/>
        </w:rPr>
        <w:t>.1-</w:t>
      </w:r>
      <w:r>
        <w:rPr>
          <w:rFonts w:hint="eastAsia" w:ascii="Times New Roman" w:eastAsia="宋体"/>
          <w:color w:val="auto"/>
        </w:rPr>
        <w:t>7</w:t>
      </w:r>
      <w:r>
        <w:rPr>
          <w:rFonts w:ascii="Times New Roman" w:eastAsia="宋体"/>
          <w:color w:val="auto"/>
        </w:rPr>
        <w:t>。</w:t>
      </w:r>
    </w:p>
    <w:p>
      <w:pPr>
        <w:keepNext/>
        <w:spacing w:beforeLines="50" w:line="0" w:lineRule="atLeast"/>
        <w:jc w:val="center"/>
        <w:rPr>
          <w:rFonts w:ascii="Times New Roman" w:eastAsia="宋体"/>
          <w:b/>
          <w:bCs/>
          <w:color w:val="auto"/>
          <w:spacing w:val="-2"/>
          <w:kern w:val="10"/>
          <w:sz w:val="21"/>
          <w:szCs w:val="21"/>
          <w:lang w:bidi="he-IL"/>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3</w:t>
      </w:r>
      <w:r>
        <w:rPr>
          <w:rFonts w:ascii="Times New Roman" w:eastAsia="宋体"/>
          <w:b/>
          <w:bCs/>
          <w:color w:val="auto"/>
          <w:spacing w:val="-2"/>
          <w:kern w:val="10"/>
          <w:sz w:val="21"/>
          <w:szCs w:val="21"/>
          <w:lang w:bidi="he-IL"/>
        </w:rPr>
        <w:t>.1-</w:t>
      </w:r>
      <w:r>
        <w:rPr>
          <w:rFonts w:hint="eastAsia" w:ascii="Times New Roman" w:eastAsia="宋体"/>
          <w:b/>
          <w:bCs/>
          <w:color w:val="auto"/>
          <w:spacing w:val="-2"/>
          <w:kern w:val="10"/>
          <w:sz w:val="21"/>
          <w:szCs w:val="21"/>
          <w:lang w:bidi="he-IL"/>
        </w:rPr>
        <w:t xml:space="preserve">7 </w:t>
      </w:r>
      <w:r>
        <w:rPr>
          <w:rFonts w:ascii="Times New Roman" w:eastAsia="宋体"/>
          <w:b/>
          <w:bCs/>
          <w:color w:val="auto"/>
          <w:spacing w:val="-2"/>
          <w:kern w:val="10"/>
          <w:sz w:val="21"/>
          <w:szCs w:val="21"/>
          <w:lang w:bidi="he-IL"/>
        </w:rPr>
        <w:t>项目主要设备一览表</w:t>
      </w:r>
    </w:p>
    <w:tbl>
      <w:tblPr>
        <w:tblStyle w:val="47"/>
        <w:tblW w:w="853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721"/>
        <w:gridCol w:w="1300"/>
        <w:gridCol w:w="774"/>
        <w:gridCol w:w="840"/>
        <w:gridCol w:w="32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序号</w:t>
            </w:r>
          </w:p>
        </w:tc>
        <w:tc>
          <w:tcPr>
            <w:tcW w:w="1721"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设备名称</w:t>
            </w:r>
          </w:p>
        </w:tc>
        <w:tc>
          <w:tcPr>
            <w:tcW w:w="1300" w:type="dxa"/>
            <w:tcBorders>
              <w:tl2br w:val="nil"/>
              <w:tr2bl w:val="nil"/>
            </w:tcBorders>
            <w:vAlign w:val="center"/>
          </w:tcPr>
          <w:p>
            <w:pPr>
              <w:ind w:left="-124" w:leftChars="-50" w:right="-124" w:rightChars="-50"/>
              <w:jc w:val="center"/>
              <w:rPr>
                <w:rFonts w:ascii="Times New Roman" w:eastAsia="宋体"/>
                <w:b/>
                <w:bCs/>
                <w:color w:val="auto"/>
                <w:sz w:val="21"/>
                <w:szCs w:val="21"/>
              </w:rPr>
            </w:pPr>
            <w:r>
              <w:rPr>
                <w:rFonts w:ascii="Times New Roman" w:eastAsia="宋体"/>
                <w:b/>
                <w:bCs/>
                <w:color w:val="auto"/>
                <w:sz w:val="21"/>
                <w:szCs w:val="21"/>
              </w:rPr>
              <w:t>型号及规格</w:t>
            </w:r>
          </w:p>
        </w:tc>
        <w:tc>
          <w:tcPr>
            <w:tcW w:w="774"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单位</w:t>
            </w:r>
          </w:p>
        </w:tc>
        <w:tc>
          <w:tcPr>
            <w:tcW w:w="840"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数量</w:t>
            </w:r>
          </w:p>
        </w:tc>
        <w:tc>
          <w:tcPr>
            <w:tcW w:w="3202"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1</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自动喂料系统</w:t>
            </w:r>
          </w:p>
        </w:tc>
        <w:tc>
          <w:tcPr>
            <w:tcW w:w="130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c>
          <w:tcPr>
            <w:tcW w:w="3202" w:type="dxa"/>
            <w:tcBorders>
              <w:tl2br w:val="nil"/>
              <w:tr2bl w:val="nil"/>
            </w:tcBorders>
            <w:vAlign w:val="center"/>
          </w:tcPr>
          <w:p>
            <w:pPr>
              <w:ind w:left="-124" w:leftChars="-50" w:right="-124" w:rightChars="-50"/>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2</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料塔</w:t>
            </w:r>
          </w:p>
        </w:tc>
        <w:tc>
          <w:tcPr>
            <w:tcW w:w="1300" w:type="dxa"/>
            <w:tcBorders>
              <w:tl2br w:val="nil"/>
              <w:tr2bl w:val="nil"/>
            </w:tcBorders>
            <w:vAlign w:val="center"/>
          </w:tcPr>
          <w:p>
            <w:pPr>
              <w:widowControl/>
              <w:jc w:val="center"/>
              <w:rPr>
                <w:rFonts w:ascii="Times New Roman" w:eastAsia="Times New Roman"/>
                <w:color w:val="auto"/>
                <w:kern w:val="2"/>
                <w:sz w:val="21"/>
                <w:szCs w:val="21"/>
              </w:rPr>
            </w:pPr>
            <w:r>
              <w:rPr>
                <w:rFonts w:ascii="Times New Roman" w:eastAsia="Times New Roman"/>
                <w:color w:val="auto"/>
                <w:spacing w:val="1"/>
                <w:sz w:val="21"/>
                <w:szCs w:val="21"/>
              </w:rPr>
              <w:t>16</w:t>
            </w:r>
            <w:r>
              <w:rPr>
                <w:rFonts w:ascii="Times New Roman" w:eastAsia="Times New Roman"/>
                <w:color w:val="auto"/>
                <w:spacing w:val="-1"/>
                <w:sz w:val="21"/>
                <w:szCs w:val="21"/>
              </w:rPr>
              <w:t>.</w:t>
            </w:r>
            <w:r>
              <w:rPr>
                <w:rFonts w:ascii="Times New Roman" w:eastAsia="Times New Roman"/>
                <w:color w:val="auto"/>
                <w:spacing w:val="1"/>
                <w:sz w:val="21"/>
                <w:szCs w:val="21"/>
              </w:rPr>
              <w:t>9</w:t>
            </w:r>
            <w:r>
              <w:rPr>
                <w:rFonts w:ascii="Times New Roman" w:eastAsia="Times New Roman"/>
                <w:color w:val="auto"/>
                <w:spacing w:val="-3"/>
                <w:sz w:val="21"/>
                <w:szCs w:val="21"/>
              </w:rPr>
              <w:t>m</w:t>
            </w:r>
            <w:r>
              <w:rPr>
                <w:rFonts w:ascii="Times New Roman" w:eastAsia="Times New Roman"/>
                <w:color w:val="auto"/>
                <w:position w:val="8"/>
                <w:sz w:val="21"/>
                <w:szCs w:val="21"/>
              </w:rPr>
              <w:t>3</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c>
          <w:tcPr>
            <w:tcW w:w="3202"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用于鸡舍内通风，每栋鸡舍</w:t>
            </w:r>
            <w:r>
              <w:rPr>
                <w:rFonts w:hint="eastAsia" w:ascii="Times New Roman" w:eastAsia="宋体"/>
                <w:color w:val="auto"/>
                <w:sz w:val="21"/>
                <w:szCs w:val="21"/>
              </w:rPr>
              <w:t>10</w:t>
            </w:r>
            <w:r>
              <w:rPr>
                <w:rFonts w:ascii="Times New Roman" w:eastAsia="宋体"/>
                <w:color w:val="auto"/>
                <w:sz w:val="21"/>
                <w:szCs w:val="21"/>
              </w:rPr>
              <w:t>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3</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电子称料器</w:t>
            </w:r>
          </w:p>
        </w:tc>
        <w:tc>
          <w:tcPr>
            <w:tcW w:w="1300" w:type="dxa"/>
            <w:tcBorders>
              <w:tl2br w:val="nil"/>
              <w:tr2bl w:val="nil"/>
            </w:tcBorders>
            <w:vAlign w:val="center"/>
          </w:tcPr>
          <w:p>
            <w:pPr>
              <w:widowControl/>
              <w:jc w:val="center"/>
              <w:rPr>
                <w:rFonts w:ascii="Times New Roman" w:eastAsia="Times New Roman"/>
                <w:color w:val="auto"/>
                <w:kern w:val="2"/>
                <w:sz w:val="21"/>
                <w:szCs w:val="21"/>
              </w:rPr>
            </w:pPr>
            <w:r>
              <w:rPr>
                <w:rFonts w:ascii="Times New Roman" w:eastAsia="Times New Roman"/>
                <w:color w:val="auto"/>
                <w:sz w:val="21"/>
                <w:szCs w:val="21"/>
              </w:rPr>
              <w:t>FD4004A</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台</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c>
          <w:tcPr>
            <w:tcW w:w="3202" w:type="dxa"/>
            <w:tcBorders>
              <w:tl2br w:val="nil"/>
              <w:tr2bl w:val="nil"/>
            </w:tcBorders>
            <w:vAlign w:val="center"/>
          </w:tcPr>
          <w:p>
            <w:pPr>
              <w:ind w:left="-124" w:leftChars="-50" w:right="-124" w:rightChars="-50"/>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4</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自动饮水系统</w:t>
            </w:r>
          </w:p>
        </w:tc>
        <w:tc>
          <w:tcPr>
            <w:tcW w:w="130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774"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c>
          <w:tcPr>
            <w:tcW w:w="3202"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s="宋体"/>
                <w:color w:val="auto"/>
                <w:position w:val="-3"/>
                <w:sz w:val="21"/>
                <w:szCs w:val="21"/>
              </w:rPr>
              <w:t>由水箱、水管、乳头饮水器组成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5</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供暖系统</w:t>
            </w:r>
          </w:p>
        </w:tc>
        <w:tc>
          <w:tcPr>
            <w:tcW w:w="130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c>
          <w:tcPr>
            <w:tcW w:w="320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每栋1台</w:t>
            </w:r>
            <w:r>
              <w:rPr>
                <w:rFonts w:hint="eastAsia" w:ascii="Times New Roman" w:eastAsia="宋体"/>
                <w:color w:val="auto"/>
                <w:sz w:val="21"/>
                <w:szCs w:val="21"/>
              </w:rPr>
              <w:t>，雏鸡养育和冬季取暖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6</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水帘系统</w:t>
            </w:r>
          </w:p>
        </w:tc>
        <w:tc>
          <w:tcPr>
            <w:tcW w:w="130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c>
          <w:tcPr>
            <w:tcW w:w="320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每栋1</w:t>
            </w:r>
            <w:r>
              <w:rPr>
                <w:rFonts w:hint="eastAsia" w:ascii="Times New Roman" w:eastAsia="宋体"/>
                <w:color w:val="auto"/>
                <w:sz w:val="21"/>
                <w:szCs w:val="21"/>
              </w:rPr>
              <w:t>套，夏季用于降温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7</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循环水泵</w:t>
            </w:r>
          </w:p>
        </w:tc>
        <w:tc>
          <w:tcPr>
            <w:tcW w:w="1300" w:type="dxa"/>
            <w:tcBorders>
              <w:tl2br w:val="nil"/>
              <w:tr2bl w:val="nil"/>
            </w:tcBorders>
            <w:vAlign w:val="center"/>
          </w:tcPr>
          <w:p>
            <w:pPr>
              <w:widowControl/>
              <w:jc w:val="center"/>
              <w:rPr>
                <w:rFonts w:ascii="Times New Roman" w:eastAsia="宋体"/>
                <w:color w:val="auto"/>
                <w:kern w:val="2"/>
                <w:sz w:val="21"/>
                <w:szCs w:val="21"/>
              </w:rPr>
            </w:pPr>
            <w:r>
              <w:rPr>
                <w:rFonts w:ascii="Times New Roman" w:eastAsia="Times New Roman"/>
                <w:color w:val="auto"/>
                <w:spacing w:val="1"/>
                <w:sz w:val="21"/>
                <w:szCs w:val="21"/>
              </w:rPr>
              <w:t>0.</w:t>
            </w:r>
            <w:r>
              <w:rPr>
                <w:rFonts w:ascii="Times New Roman" w:eastAsia="Times New Roman"/>
                <w:color w:val="auto"/>
                <w:spacing w:val="-1"/>
                <w:sz w:val="21"/>
                <w:szCs w:val="21"/>
              </w:rPr>
              <w:t>5</w:t>
            </w:r>
            <w:r>
              <w:rPr>
                <w:rFonts w:ascii="Times New Roman" w:eastAsia="Times New Roman"/>
                <w:color w:val="auto"/>
                <w:spacing w:val="1"/>
                <w:sz w:val="21"/>
                <w:szCs w:val="21"/>
              </w:rPr>
              <w:t>5k</w:t>
            </w:r>
            <w:r>
              <w:rPr>
                <w:rFonts w:hint="eastAsia" w:ascii="Times New Roman" w:eastAsia="宋体"/>
                <w:color w:val="auto"/>
                <w:spacing w:val="1"/>
                <w:sz w:val="21"/>
                <w:szCs w:val="21"/>
              </w:rPr>
              <w:t>W</w:t>
            </w:r>
          </w:p>
        </w:tc>
        <w:tc>
          <w:tcPr>
            <w:tcW w:w="774"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35</w:t>
            </w:r>
          </w:p>
        </w:tc>
        <w:tc>
          <w:tcPr>
            <w:tcW w:w="3202" w:type="dxa"/>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8</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箱式风机</w:t>
            </w:r>
          </w:p>
        </w:tc>
        <w:tc>
          <w:tcPr>
            <w:tcW w:w="1300" w:type="dxa"/>
            <w:tcBorders>
              <w:tl2br w:val="nil"/>
              <w:tr2bl w:val="nil"/>
            </w:tcBorders>
            <w:vAlign w:val="center"/>
          </w:tcPr>
          <w:p>
            <w:pPr>
              <w:widowControl/>
              <w:jc w:val="center"/>
              <w:rPr>
                <w:rFonts w:ascii="Times New Roman" w:eastAsia="宋体"/>
                <w:color w:val="auto"/>
                <w:kern w:val="2"/>
                <w:sz w:val="21"/>
                <w:szCs w:val="21"/>
              </w:rPr>
            </w:pPr>
            <w:r>
              <w:rPr>
                <w:rFonts w:ascii="Times New Roman" w:eastAsia="Times New Roman"/>
                <w:color w:val="auto"/>
                <w:spacing w:val="1"/>
                <w:sz w:val="21"/>
                <w:szCs w:val="21"/>
              </w:rPr>
              <w:t>0</w:t>
            </w:r>
            <w:r>
              <w:rPr>
                <w:rFonts w:ascii="Times New Roman" w:eastAsia="Times New Roman"/>
                <w:color w:val="auto"/>
                <w:sz w:val="21"/>
                <w:szCs w:val="21"/>
              </w:rPr>
              <w:t>.</w:t>
            </w:r>
            <w:r>
              <w:rPr>
                <w:rFonts w:ascii="Times New Roman" w:eastAsia="Times New Roman"/>
                <w:color w:val="auto"/>
                <w:spacing w:val="-1"/>
                <w:sz w:val="21"/>
                <w:szCs w:val="21"/>
              </w:rPr>
              <w:t>4</w:t>
            </w:r>
            <w:r>
              <w:rPr>
                <w:rFonts w:ascii="Times New Roman" w:eastAsia="Times New Roman"/>
                <w:color w:val="auto"/>
                <w:spacing w:val="1"/>
                <w:sz w:val="21"/>
                <w:szCs w:val="21"/>
              </w:rPr>
              <w:t>k</w:t>
            </w:r>
            <w:r>
              <w:rPr>
                <w:rFonts w:hint="eastAsia" w:ascii="Times New Roman" w:eastAsia="宋体"/>
                <w:color w:val="auto"/>
                <w:sz w:val="21"/>
                <w:szCs w:val="21"/>
              </w:rPr>
              <w:t>W</w:t>
            </w:r>
          </w:p>
        </w:tc>
        <w:tc>
          <w:tcPr>
            <w:tcW w:w="774"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个</w:t>
            </w:r>
          </w:p>
        </w:tc>
        <w:tc>
          <w:tcPr>
            <w:tcW w:w="84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4</w:t>
            </w:r>
            <w:r>
              <w:rPr>
                <w:rFonts w:hint="eastAsia" w:ascii="Times New Roman" w:eastAsia="宋体"/>
                <w:color w:val="auto"/>
                <w:sz w:val="21"/>
                <w:szCs w:val="21"/>
              </w:rPr>
              <w:t>0</w:t>
            </w:r>
          </w:p>
        </w:tc>
        <w:tc>
          <w:tcPr>
            <w:tcW w:w="3202" w:type="dxa"/>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9</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柴油发电机组</w:t>
            </w:r>
          </w:p>
        </w:tc>
        <w:tc>
          <w:tcPr>
            <w:tcW w:w="1300" w:type="dxa"/>
            <w:tcBorders>
              <w:tl2br w:val="nil"/>
              <w:tr2bl w:val="nil"/>
            </w:tcBorders>
            <w:vAlign w:val="center"/>
          </w:tcPr>
          <w:p>
            <w:pPr>
              <w:widowControl/>
              <w:jc w:val="center"/>
              <w:rPr>
                <w:rFonts w:ascii="Times New Roman" w:eastAsia="Times New Roman"/>
                <w:color w:val="auto"/>
                <w:kern w:val="2"/>
                <w:sz w:val="21"/>
                <w:szCs w:val="21"/>
              </w:rPr>
            </w:pPr>
            <w:r>
              <w:rPr>
                <w:rFonts w:ascii="Times New Roman" w:eastAsia="宋体" w:cs="宋体"/>
                <w:color w:val="auto"/>
                <w:sz w:val="21"/>
                <w:szCs w:val="21"/>
              </w:rPr>
              <w:t>耗油量</w:t>
            </w:r>
            <w:r>
              <w:rPr>
                <w:rFonts w:ascii="Times New Roman" w:eastAsia="Times New Roman"/>
                <w:color w:val="auto"/>
                <w:spacing w:val="1"/>
                <w:sz w:val="21"/>
                <w:szCs w:val="21"/>
              </w:rPr>
              <w:t>0</w:t>
            </w:r>
            <w:r>
              <w:rPr>
                <w:rFonts w:ascii="Times New Roman" w:eastAsia="Times New Roman"/>
                <w:color w:val="auto"/>
                <w:spacing w:val="-1"/>
                <w:sz w:val="21"/>
                <w:szCs w:val="21"/>
              </w:rPr>
              <w:t>.</w:t>
            </w:r>
            <w:r>
              <w:rPr>
                <w:rFonts w:ascii="Times New Roman" w:eastAsia="Times New Roman"/>
                <w:color w:val="auto"/>
                <w:spacing w:val="1"/>
                <w:sz w:val="21"/>
                <w:szCs w:val="21"/>
              </w:rPr>
              <w:t>2</w:t>
            </w:r>
            <w:r>
              <w:rPr>
                <w:rFonts w:hint="eastAsia" w:ascii="Times New Roman" w:eastAsia="宋体"/>
                <w:color w:val="auto"/>
                <w:spacing w:val="1"/>
                <w:sz w:val="21"/>
                <w:szCs w:val="21"/>
              </w:rPr>
              <w:t>5</w:t>
            </w:r>
            <w:r>
              <w:rPr>
                <w:rFonts w:ascii="Times New Roman" w:eastAsia="Times New Roman"/>
                <w:color w:val="auto"/>
                <w:spacing w:val="-1"/>
                <w:sz w:val="21"/>
                <w:szCs w:val="21"/>
              </w:rPr>
              <w:t>k</w:t>
            </w:r>
            <w:r>
              <w:rPr>
                <w:rFonts w:ascii="Times New Roman" w:eastAsia="Times New Roman"/>
                <w:color w:val="auto"/>
                <w:spacing w:val="1"/>
                <w:sz w:val="21"/>
                <w:szCs w:val="21"/>
              </w:rPr>
              <w:t>g</w:t>
            </w:r>
            <w:r>
              <w:rPr>
                <w:rFonts w:ascii="Times New Roman" w:eastAsia="Times New Roman"/>
                <w:color w:val="auto"/>
                <w:spacing w:val="-1"/>
                <w:sz w:val="21"/>
                <w:szCs w:val="21"/>
              </w:rPr>
              <w:t>/</w:t>
            </w:r>
            <w:r>
              <w:rPr>
                <w:rFonts w:ascii="Times New Roman" w:eastAsia="Times New Roman"/>
                <w:color w:val="auto"/>
                <w:spacing w:val="1"/>
                <w:sz w:val="21"/>
                <w:szCs w:val="21"/>
              </w:rPr>
              <w:t>k</w:t>
            </w:r>
            <w:r>
              <w:rPr>
                <w:rFonts w:ascii="Times New Roman" w:eastAsia="Times New Roman"/>
                <w:color w:val="auto"/>
                <w:sz w:val="21"/>
                <w:szCs w:val="21"/>
              </w:rPr>
              <w:t>w</w:t>
            </w:r>
            <w:r>
              <w:rPr>
                <w:rFonts w:ascii="Times New Roman" w:eastAsia="Times New Roman"/>
                <w:color w:val="auto"/>
                <w:spacing w:val="1"/>
                <w:w w:val="111"/>
                <w:sz w:val="21"/>
                <w:szCs w:val="21"/>
              </w:rPr>
              <w:t>·h</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台</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2</w:t>
            </w:r>
          </w:p>
        </w:tc>
        <w:tc>
          <w:tcPr>
            <w:tcW w:w="3202"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用于停电时发电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10</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兽医化验设备</w:t>
            </w:r>
          </w:p>
        </w:tc>
        <w:tc>
          <w:tcPr>
            <w:tcW w:w="1300" w:type="dxa"/>
            <w:tcBorders>
              <w:tl2br w:val="nil"/>
              <w:tr2bl w:val="nil"/>
            </w:tcBorders>
            <w:vAlign w:val="center"/>
          </w:tcPr>
          <w:p>
            <w:pPr>
              <w:widowControl/>
              <w:jc w:val="center"/>
              <w:rPr>
                <w:rFonts w:ascii="Times New Roman" w:eastAsia="Times New Roman"/>
                <w:color w:val="auto"/>
                <w:kern w:val="2"/>
                <w:sz w:val="21"/>
                <w:szCs w:val="21"/>
              </w:rPr>
            </w:pPr>
            <w:r>
              <w:rPr>
                <w:rFonts w:ascii="Times New Roman" w:eastAsia="Times New Roman"/>
                <w:color w:val="auto"/>
                <w:sz w:val="21"/>
                <w:szCs w:val="21"/>
              </w:rPr>
              <w:t>/</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w:t>
            </w:r>
          </w:p>
        </w:tc>
        <w:tc>
          <w:tcPr>
            <w:tcW w:w="3202" w:type="dxa"/>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11</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消毒设备</w:t>
            </w:r>
          </w:p>
        </w:tc>
        <w:tc>
          <w:tcPr>
            <w:tcW w:w="1300" w:type="dxa"/>
            <w:tcBorders>
              <w:tl2br w:val="nil"/>
              <w:tr2bl w:val="nil"/>
            </w:tcBorders>
            <w:vAlign w:val="center"/>
          </w:tcPr>
          <w:p>
            <w:pPr>
              <w:widowControl/>
              <w:jc w:val="center"/>
              <w:rPr>
                <w:rFonts w:ascii="Times New Roman" w:eastAsia="Times New Roman"/>
                <w:color w:val="auto"/>
                <w:kern w:val="2"/>
                <w:sz w:val="21"/>
                <w:szCs w:val="21"/>
              </w:rPr>
            </w:pPr>
            <w:r>
              <w:rPr>
                <w:rFonts w:ascii="Times New Roman" w:eastAsia="Times New Roman"/>
                <w:color w:val="auto"/>
                <w:sz w:val="21"/>
                <w:szCs w:val="21"/>
              </w:rPr>
              <w:t>/</w:t>
            </w:r>
          </w:p>
        </w:tc>
        <w:tc>
          <w:tcPr>
            <w:tcW w:w="774" w:type="dxa"/>
            <w:tcBorders>
              <w:tl2br w:val="nil"/>
              <w:tr2bl w:val="nil"/>
            </w:tcBorders>
            <w:vAlign w:val="center"/>
          </w:tcPr>
          <w:p>
            <w:pPr>
              <w:jc w:val="center"/>
              <w:rPr>
                <w:rFonts w:ascii="Times New Roman" w:eastAsia="宋体"/>
                <w:color w:val="auto"/>
                <w:sz w:val="21"/>
                <w:szCs w:val="21"/>
              </w:rPr>
            </w:pP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w:t>
            </w:r>
          </w:p>
        </w:tc>
        <w:tc>
          <w:tcPr>
            <w:tcW w:w="3202"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位于厂门口，对进出人员、车辆响度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13</w:t>
            </w:r>
          </w:p>
        </w:tc>
        <w:tc>
          <w:tcPr>
            <w:tcW w:w="1721" w:type="dxa"/>
            <w:tcBorders>
              <w:tl2br w:val="nil"/>
              <w:tr2bl w:val="nil"/>
            </w:tcBorders>
            <w:vAlign w:val="center"/>
          </w:tcPr>
          <w:p>
            <w:pPr>
              <w:ind w:left="-124" w:leftChars="-50" w:right="-124" w:rightChars="-50"/>
              <w:jc w:val="center"/>
              <w:rPr>
                <w:rFonts w:ascii="Times New Roman" w:eastAsia="宋体"/>
                <w:color w:val="auto"/>
                <w:sz w:val="21"/>
                <w:szCs w:val="21"/>
              </w:rPr>
            </w:pPr>
            <w:r>
              <w:rPr>
                <w:rFonts w:ascii="Times New Roman" w:eastAsia="宋体"/>
                <w:color w:val="auto"/>
                <w:sz w:val="21"/>
                <w:szCs w:val="21"/>
              </w:rPr>
              <w:t>清粪系统</w:t>
            </w:r>
          </w:p>
        </w:tc>
        <w:tc>
          <w:tcPr>
            <w:tcW w:w="130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7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套</w:t>
            </w:r>
          </w:p>
        </w:tc>
        <w:tc>
          <w:tcPr>
            <w:tcW w:w="84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c>
          <w:tcPr>
            <w:tcW w:w="320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每栋1</w:t>
            </w:r>
            <w:r>
              <w:rPr>
                <w:rFonts w:hint="eastAsia" w:ascii="Times New Roman" w:eastAsia="宋体"/>
                <w:color w:val="auto"/>
                <w:sz w:val="21"/>
                <w:szCs w:val="21"/>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dxa"/>
            <w:tcBorders>
              <w:tl2br w:val="nil"/>
              <w:tr2bl w:val="nil"/>
            </w:tcBorders>
          </w:tcPr>
          <w:p>
            <w:pPr>
              <w:jc w:val="center"/>
              <w:rPr>
                <w:rFonts w:ascii="Times New Roman" w:eastAsia="宋体"/>
                <w:color w:val="auto"/>
                <w:sz w:val="21"/>
                <w:szCs w:val="21"/>
              </w:rPr>
            </w:pPr>
            <w:r>
              <w:rPr>
                <w:rFonts w:hint="eastAsia" w:ascii="Times New Roman" w:eastAsia="宋体"/>
                <w:color w:val="auto"/>
                <w:sz w:val="21"/>
                <w:szCs w:val="21"/>
              </w:rPr>
              <w:t>15</w:t>
            </w:r>
          </w:p>
        </w:tc>
        <w:tc>
          <w:tcPr>
            <w:tcW w:w="1721" w:type="dxa"/>
            <w:tcBorders>
              <w:tl2br w:val="nil"/>
              <w:tr2bl w:val="nil"/>
            </w:tcBorders>
            <w:vAlign w:val="center"/>
          </w:tcPr>
          <w:p>
            <w:pPr>
              <w:ind w:left="-124" w:leftChars="-50" w:right="-124" w:rightChars="-50"/>
              <w:jc w:val="center"/>
              <w:rPr>
                <w:rFonts w:hint="eastAsia" w:ascii="Times New Roman" w:eastAsia="宋体"/>
                <w:color w:val="auto"/>
                <w:sz w:val="21"/>
                <w:szCs w:val="21"/>
                <w:lang w:eastAsia="zh-CN"/>
              </w:rPr>
            </w:pPr>
            <w:r>
              <w:rPr>
                <w:rFonts w:hint="eastAsia" w:ascii="Times New Roman" w:eastAsia="宋体"/>
                <w:color w:val="auto"/>
                <w:sz w:val="21"/>
                <w:szCs w:val="21"/>
              </w:rPr>
              <w:t>冷柜</w:t>
            </w:r>
          </w:p>
        </w:tc>
        <w:tc>
          <w:tcPr>
            <w:tcW w:w="1300" w:type="dxa"/>
            <w:tcBorders>
              <w:tl2br w:val="nil"/>
              <w:tr2bl w:val="nil"/>
            </w:tcBorders>
          </w:tcPr>
          <w:p>
            <w:pPr>
              <w:jc w:val="center"/>
              <w:rPr>
                <w:rFonts w:ascii="Times New Roman" w:eastAsia="宋体"/>
                <w:color w:val="auto"/>
                <w:sz w:val="21"/>
                <w:szCs w:val="21"/>
              </w:rPr>
            </w:pPr>
            <w:r>
              <w:rPr>
                <w:rFonts w:ascii="Times New Roman" w:eastAsia="宋体"/>
                <w:color w:val="auto"/>
                <w:sz w:val="21"/>
                <w:szCs w:val="21"/>
              </w:rPr>
              <w:t>/</w:t>
            </w:r>
          </w:p>
        </w:tc>
        <w:tc>
          <w:tcPr>
            <w:tcW w:w="774" w:type="dxa"/>
            <w:tcBorders>
              <w:tl2br w:val="nil"/>
              <w:tr2bl w:val="nil"/>
            </w:tcBorders>
          </w:tcPr>
          <w:p>
            <w:pPr>
              <w:jc w:val="center"/>
              <w:rPr>
                <w:rFonts w:ascii="Times New Roman" w:eastAsia="宋体"/>
                <w:color w:val="auto"/>
                <w:sz w:val="21"/>
                <w:szCs w:val="21"/>
              </w:rPr>
            </w:pPr>
            <w:r>
              <w:rPr>
                <w:rFonts w:hint="eastAsia" w:ascii="Times New Roman" w:eastAsia="宋体"/>
                <w:color w:val="auto"/>
                <w:sz w:val="21"/>
                <w:szCs w:val="21"/>
              </w:rPr>
              <w:t>座</w:t>
            </w:r>
          </w:p>
        </w:tc>
        <w:tc>
          <w:tcPr>
            <w:tcW w:w="840" w:type="dxa"/>
            <w:tcBorders>
              <w:tl2br w:val="nil"/>
              <w:tr2bl w:val="nil"/>
            </w:tcBorders>
          </w:tcPr>
          <w:p>
            <w:pPr>
              <w:jc w:val="center"/>
              <w:rPr>
                <w:rFonts w:ascii="Times New Roman" w:eastAsia="宋体"/>
                <w:color w:val="auto"/>
                <w:sz w:val="21"/>
                <w:szCs w:val="21"/>
              </w:rPr>
            </w:pPr>
            <w:r>
              <w:rPr>
                <w:rFonts w:hint="eastAsia" w:ascii="Times New Roman" w:eastAsia="宋体"/>
                <w:color w:val="auto"/>
                <w:sz w:val="21"/>
                <w:szCs w:val="21"/>
              </w:rPr>
              <w:t>1</w:t>
            </w:r>
          </w:p>
        </w:tc>
        <w:tc>
          <w:tcPr>
            <w:tcW w:w="3202" w:type="dxa"/>
            <w:tcBorders>
              <w:tl2br w:val="nil"/>
              <w:tr2bl w:val="nil"/>
            </w:tcBorders>
          </w:tcPr>
          <w:p>
            <w:pPr>
              <w:jc w:val="center"/>
              <w:rPr>
                <w:rFonts w:ascii="Times New Roman" w:eastAsia="宋体"/>
                <w:color w:val="auto"/>
                <w:sz w:val="21"/>
                <w:szCs w:val="21"/>
              </w:rPr>
            </w:pPr>
            <w:r>
              <w:rPr>
                <w:rFonts w:hint="eastAsia" w:ascii="Times New Roman" w:eastAsia="宋体"/>
                <w:color w:val="auto"/>
                <w:sz w:val="21"/>
                <w:szCs w:val="21"/>
              </w:rPr>
              <w:t>病死鸡暂存</w:t>
            </w:r>
          </w:p>
        </w:tc>
      </w:tr>
    </w:tbl>
    <w:p>
      <w:pPr>
        <w:keepNext/>
        <w:spacing w:beforeLines="50" w:line="0" w:lineRule="atLeast"/>
        <w:jc w:val="center"/>
        <w:rPr>
          <w:rFonts w:ascii="Times New Roman" w:eastAsia="宋体"/>
          <w:b/>
          <w:bCs/>
          <w:color w:val="auto"/>
          <w:spacing w:val="-2"/>
          <w:kern w:val="10"/>
          <w:sz w:val="21"/>
          <w:szCs w:val="21"/>
          <w:lang w:bidi="he-IL"/>
        </w:rPr>
      </w:pPr>
    </w:p>
    <w:p>
      <w:pPr>
        <w:keepNext/>
        <w:spacing w:beforeLines="50" w:line="0" w:lineRule="atLeast"/>
        <w:jc w:val="center"/>
        <w:rPr>
          <w:rFonts w:ascii="Times New Roman" w:eastAsia="宋体"/>
          <w:b/>
          <w:bCs/>
          <w:color w:val="auto"/>
          <w:spacing w:val="-2"/>
          <w:kern w:val="10"/>
          <w:sz w:val="21"/>
          <w:szCs w:val="21"/>
          <w:lang w:bidi="he-IL"/>
        </w:rPr>
      </w:pPr>
      <w:r>
        <w:rPr>
          <w:rFonts w:ascii="Times New Roman" w:eastAsia="宋体"/>
          <w:b/>
          <w:bCs/>
          <w:color w:val="auto"/>
          <w:spacing w:val="-2"/>
          <w:kern w:val="10"/>
          <w:sz w:val="21"/>
          <w:szCs w:val="21"/>
          <w:lang w:bidi="he-IL"/>
        </w:rPr>
        <w:t>表</w:t>
      </w:r>
      <w:r>
        <w:rPr>
          <w:rFonts w:hint="eastAsia" w:ascii="Times New Roman" w:eastAsia="宋体"/>
          <w:b/>
          <w:bCs/>
          <w:color w:val="auto"/>
          <w:spacing w:val="-2"/>
          <w:kern w:val="10"/>
          <w:sz w:val="21"/>
          <w:szCs w:val="21"/>
          <w:lang w:bidi="he-IL"/>
        </w:rPr>
        <w:t>3</w:t>
      </w:r>
      <w:r>
        <w:rPr>
          <w:rFonts w:ascii="Times New Roman" w:eastAsia="宋体"/>
          <w:b/>
          <w:bCs/>
          <w:color w:val="auto"/>
          <w:spacing w:val="-2"/>
          <w:kern w:val="10"/>
          <w:sz w:val="21"/>
          <w:szCs w:val="21"/>
          <w:lang w:bidi="he-IL"/>
        </w:rPr>
        <w:t>.1-</w:t>
      </w:r>
      <w:r>
        <w:rPr>
          <w:rFonts w:hint="eastAsia" w:ascii="Times New Roman" w:eastAsia="宋体"/>
          <w:b/>
          <w:bCs/>
          <w:color w:val="auto"/>
          <w:spacing w:val="-2"/>
          <w:kern w:val="10"/>
          <w:sz w:val="21"/>
          <w:szCs w:val="21"/>
          <w:lang w:bidi="he-IL"/>
        </w:rPr>
        <w:t>8</w:t>
      </w:r>
      <w:r>
        <w:rPr>
          <w:rFonts w:ascii="Times New Roman" w:eastAsia="宋体"/>
          <w:b/>
          <w:bCs/>
          <w:color w:val="auto"/>
          <w:spacing w:val="-2"/>
          <w:kern w:val="10"/>
          <w:sz w:val="21"/>
          <w:szCs w:val="21"/>
          <w:lang w:bidi="he-IL"/>
        </w:rPr>
        <w:t>辅助设施设备情况表</w:t>
      </w:r>
    </w:p>
    <w:tbl>
      <w:tblPr>
        <w:tblStyle w:val="47"/>
        <w:tblW w:w="85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1" w:type="dxa"/>
          <w:bottom w:w="0" w:type="dxa"/>
          <w:right w:w="51" w:type="dxa"/>
        </w:tblCellMar>
      </w:tblPr>
      <w:tblGrid>
        <w:gridCol w:w="646"/>
        <w:gridCol w:w="2160"/>
        <w:gridCol w:w="3994"/>
        <w:gridCol w:w="917"/>
        <w:gridCol w:w="8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序号</w:t>
            </w:r>
          </w:p>
        </w:tc>
        <w:tc>
          <w:tcPr>
            <w:tcW w:w="2160"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设备名称</w:t>
            </w:r>
          </w:p>
        </w:tc>
        <w:tc>
          <w:tcPr>
            <w:tcW w:w="3994"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型号及规格</w:t>
            </w:r>
          </w:p>
        </w:tc>
        <w:tc>
          <w:tcPr>
            <w:tcW w:w="917"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单位</w:t>
            </w:r>
          </w:p>
        </w:tc>
        <w:tc>
          <w:tcPr>
            <w:tcW w:w="808"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w:t>
            </w:r>
          </w:p>
        </w:tc>
        <w:tc>
          <w:tcPr>
            <w:tcW w:w="7879" w:type="dxa"/>
            <w:gridSpan w:val="4"/>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污水处理池设备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1.1</w:t>
            </w:r>
          </w:p>
        </w:tc>
        <w:tc>
          <w:tcPr>
            <w:tcW w:w="2160"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污水泵</w:t>
            </w:r>
          </w:p>
        </w:tc>
        <w:tc>
          <w:tcPr>
            <w:tcW w:w="399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w:t>
            </w:r>
          </w:p>
        </w:tc>
        <w:tc>
          <w:tcPr>
            <w:tcW w:w="917"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台</w:t>
            </w:r>
          </w:p>
        </w:tc>
        <w:tc>
          <w:tcPr>
            <w:tcW w:w="808" w:type="dxa"/>
            <w:tcBorders>
              <w:tl2br w:val="nil"/>
              <w:tr2bl w:val="nil"/>
            </w:tcBorders>
            <w:vAlign w:val="center"/>
          </w:tcPr>
          <w:p>
            <w:pPr>
              <w:keepNext/>
              <w:keepLines/>
              <w:numPr>
                <w:ilvl w:val="0"/>
                <w:numId w:val="1"/>
              </w:numPr>
              <w:snapToGrid w:val="0"/>
              <w:spacing w:before="340" w:after="330"/>
              <w:jc w:val="center"/>
              <w:outlineLvl w:val="0"/>
              <w:rPr>
                <w:rFonts w:ascii="Times New Roman" w:eastAsia="宋体"/>
                <w:b w:val="0"/>
                <w:bCs w:val="0"/>
                <w:color w:val="auto"/>
                <w:kern w:val="0"/>
                <w:sz w:val="21"/>
                <w:szCs w:val="21"/>
              </w:rPr>
            </w:pPr>
            <w:bookmarkStart w:id="286" w:name="_Toc13774"/>
            <w:bookmarkEnd w:id="28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1.2</w:t>
            </w:r>
          </w:p>
        </w:tc>
        <w:tc>
          <w:tcPr>
            <w:tcW w:w="2160"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bCs/>
                <w:color w:val="auto"/>
                <w:sz w:val="21"/>
                <w:szCs w:val="21"/>
              </w:rPr>
              <w:t>污水沉淀池</w:t>
            </w:r>
          </w:p>
        </w:tc>
        <w:tc>
          <w:tcPr>
            <w:tcW w:w="399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1座容积为</w:t>
            </w:r>
            <w:r>
              <w:rPr>
                <w:rFonts w:hint="eastAsia" w:ascii="Times New Roman" w:eastAsia="宋体"/>
                <w:color w:val="auto"/>
                <w:sz w:val="21"/>
                <w:szCs w:val="21"/>
              </w:rPr>
              <w:t>400m</w:t>
            </w:r>
            <w:r>
              <w:rPr>
                <w:rFonts w:hint="eastAsia" w:ascii="Times New Roman" w:eastAsia="宋体"/>
                <w:color w:val="auto"/>
                <w:sz w:val="21"/>
                <w:szCs w:val="21"/>
                <w:vertAlign w:val="superscript"/>
              </w:rPr>
              <w:t>3</w:t>
            </w:r>
            <w:r>
              <w:rPr>
                <w:rFonts w:ascii="Times New Roman" w:eastAsia="宋体"/>
                <w:color w:val="auto"/>
                <w:sz w:val="21"/>
                <w:szCs w:val="21"/>
              </w:rPr>
              <w:t>；地下全封闭式结构</w:t>
            </w:r>
          </w:p>
        </w:tc>
        <w:tc>
          <w:tcPr>
            <w:tcW w:w="917"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个</w:t>
            </w:r>
          </w:p>
        </w:tc>
        <w:tc>
          <w:tcPr>
            <w:tcW w:w="808"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1.3</w:t>
            </w:r>
          </w:p>
        </w:tc>
        <w:tc>
          <w:tcPr>
            <w:tcW w:w="2160" w:type="dxa"/>
            <w:tcBorders>
              <w:tl2br w:val="nil"/>
              <w:tr2bl w:val="nil"/>
            </w:tcBorders>
            <w:vAlign w:val="center"/>
          </w:tcPr>
          <w:p>
            <w:pPr>
              <w:snapToGrid w:val="0"/>
              <w:jc w:val="center"/>
              <w:rPr>
                <w:rFonts w:ascii="Times New Roman" w:eastAsia="宋体"/>
                <w:bCs/>
                <w:color w:val="auto"/>
                <w:sz w:val="21"/>
                <w:szCs w:val="21"/>
              </w:rPr>
            </w:pPr>
            <w:r>
              <w:rPr>
                <w:rFonts w:ascii="Times New Roman" w:eastAsia="宋体"/>
                <w:bCs/>
                <w:color w:val="auto"/>
                <w:sz w:val="21"/>
                <w:szCs w:val="21"/>
              </w:rPr>
              <w:t>水帘降温水池</w:t>
            </w:r>
          </w:p>
        </w:tc>
        <w:tc>
          <w:tcPr>
            <w:tcW w:w="399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3m</w:t>
            </w:r>
            <w:r>
              <w:rPr>
                <w:rFonts w:ascii="Times New Roman" w:eastAsia="宋体"/>
                <w:color w:val="auto"/>
                <w:sz w:val="21"/>
                <w:szCs w:val="21"/>
                <w:vertAlign w:val="superscript"/>
              </w:rPr>
              <w:t>3</w:t>
            </w:r>
            <w:r>
              <w:rPr>
                <w:rFonts w:ascii="Times New Roman" w:eastAsia="宋体"/>
                <w:color w:val="auto"/>
                <w:sz w:val="21"/>
                <w:szCs w:val="21"/>
              </w:rPr>
              <w:t>，防渗</w:t>
            </w:r>
          </w:p>
        </w:tc>
        <w:tc>
          <w:tcPr>
            <w:tcW w:w="917" w:type="dxa"/>
            <w:tcBorders>
              <w:tl2br w:val="nil"/>
              <w:tr2bl w:val="nil"/>
            </w:tcBorders>
            <w:vAlign w:val="center"/>
          </w:tcPr>
          <w:p>
            <w:pPr>
              <w:snapToGrid w:val="0"/>
              <w:jc w:val="center"/>
              <w:rPr>
                <w:rFonts w:ascii="Times New Roman" w:eastAsia="宋体"/>
                <w:color w:val="auto"/>
                <w:kern w:val="2"/>
                <w:sz w:val="21"/>
                <w:szCs w:val="21"/>
              </w:rPr>
            </w:pPr>
            <w:r>
              <w:rPr>
                <w:rFonts w:ascii="Times New Roman" w:eastAsia="宋体"/>
                <w:color w:val="auto"/>
                <w:sz w:val="21"/>
                <w:szCs w:val="21"/>
              </w:rPr>
              <w:t>个</w:t>
            </w:r>
          </w:p>
        </w:tc>
        <w:tc>
          <w:tcPr>
            <w:tcW w:w="808" w:type="dxa"/>
            <w:tcBorders>
              <w:tl2br w:val="nil"/>
              <w:tr2bl w:val="nil"/>
            </w:tcBorders>
            <w:vAlign w:val="center"/>
          </w:tcPr>
          <w:p>
            <w:pPr>
              <w:snapToGrid w:val="0"/>
              <w:jc w:val="center"/>
              <w:rPr>
                <w:rFonts w:ascii="Times New Roman" w:eastAsia="宋体"/>
                <w:color w:val="auto"/>
                <w:kern w:val="2"/>
                <w:sz w:val="21"/>
                <w:szCs w:val="21"/>
              </w:rPr>
            </w:pPr>
            <w:r>
              <w:rPr>
                <w:rFonts w:ascii="Times New Roman" w:eastAsia="宋体"/>
                <w:color w:val="auto"/>
                <w:sz w:val="21"/>
                <w:szCs w:val="21"/>
              </w:rPr>
              <w:t>1</w:t>
            </w:r>
            <w:r>
              <w:rPr>
                <w:rFonts w:hint="eastAsia" w:ascii="Times New Roman" w:eastAsia="宋体"/>
                <w:color w:val="auto"/>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w:t>
            </w:r>
          </w:p>
        </w:tc>
        <w:tc>
          <w:tcPr>
            <w:tcW w:w="7879" w:type="dxa"/>
            <w:gridSpan w:val="4"/>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供水设施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2.1</w:t>
            </w:r>
          </w:p>
        </w:tc>
        <w:tc>
          <w:tcPr>
            <w:tcW w:w="2160"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给水水泵</w:t>
            </w:r>
          </w:p>
        </w:tc>
        <w:tc>
          <w:tcPr>
            <w:tcW w:w="399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w:t>
            </w:r>
          </w:p>
        </w:tc>
        <w:tc>
          <w:tcPr>
            <w:tcW w:w="917"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个</w:t>
            </w:r>
          </w:p>
        </w:tc>
        <w:tc>
          <w:tcPr>
            <w:tcW w:w="808"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2.2</w:t>
            </w:r>
          </w:p>
        </w:tc>
        <w:tc>
          <w:tcPr>
            <w:tcW w:w="2160"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水塔</w:t>
            </w:r>
          </w:p>
        </w:tc>
        <w:tc>
          <w:tcPr>
            <w:tcW w:w="3994"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50t</w:t>
            </w:r>
          </w:p>
        </w:tc>
        <w:tc>
          <w:tcPr>
            <w:tcW w:w="917"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座</w:t>
            </w:r>
          </w:p>
        </w:tc>
        <w:tc>
          <w:tcPr>
            <w:tcW w:w="808"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1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3</w:t>
            </w:r>
          </w:p>
        </w:tc>
        <w:tc>
          <w:tcPr>
            <w:tcW w:w="7879" w:type="dxa"/>
            <w:gridSpan w:val="4"/>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供暖锅炉设备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3.1</w:t>
            </w:r>
          </w:p>
        </w:tc>
        <w:tc>
          <w:tcPr>
            <w:tcW w:w="216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生物质成型燃料锅炉</w:t>
            </w:r>
          </w:p>
        </w:tc>
        <w:tc>
          <w:tcPr>
            <w:tcW w:w="3994" w:type="dxa"/>
            <w:tcBorders>
              <w:tl2br w:val="nil"/>
              <w:tr2bl w:val="nil"/>
            </w:tcBorders>
            <w:vAlign w:val="center"/>
          </w:tcPr>
          <w:p>
            <w:pPr>
              <w:jc w:val="center"/>
              <w:rPr>
                <w:rFonts w:ascii="Times New Roman" w:eastAsia="宋体"/>
                <w:color w:val="auto"/>
                <w:sz w:val="21"/>
                <w:szCs w:val="21"/>
              </w:rPr>
            </w:pPr>
            <w:r>
              <w:rPr>
                <w:rFonts w:hint="eastAsia" w:ascii="Times New Roman"/>
                <w:color w:val="auto"/>
                <w:spacing w:val="1"/>
                <w:position w:val="-1"/>
                <w:sz w:val="21"/>
                <w:szCs w:val="21"/>
              </w:rPr>
              <w:t>0.7MW（1t/h）</w:t>
            </w:r>
          </w:p>
        </w:tc>
        <w:tc>
          <w:tcPr>
            <w:tcW w:w="91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台</w:t>
            </w:r>
          </w:p>
        </w:tc>
        <w:tc>
          <w:tcPr>
            <w:tcW w:w="808"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3.2</w:t>
            </w:r>
          </w:p>
        </w:tc>
        <w:tc>
          <w:tcPr>
            <w:tcW w:w="2160"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eastAsia="zh-CN"/>
              </w:rPr>
              <w:t>布袋除尘器</w:t>
            </w:r>
          </w:p>
        </w:tc>
        <w:tc>
          <w:tcPr>
            <w:tcW w:w="3994"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91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套</w:t>
            </w:r>
          </w:p>
        </w:tc>
        <w:tc>
          <w:tcPr>
            <w:tcW w:w="808"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3.3</w:t>
            </w:r>
          </w:p>
        </w:tc>
        <w:tc>
          <w:tcPr>
            <w:tcW w:w="216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锅炉除尘风机</w:t>
            </w:r>
          </w:p>
        </w:tc>
        <w:tc>
          <w:tcPr>
            <w:tcW w:w="3994"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91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台</w:t>
            </w:r>
          </w:p>
        </w:tc>
        <w:tc>
          <w:tcPr>
            <w:tcW w:w="808"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4</w:t>
            </w:r>
          </w:p>
        </w:tc>
        <w:tc>
          <w:tcPr>
            <w:tcW w:w="7879" w:type="dxa"/>
            <w:gridSpan w:val="4"/>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除臭设施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646"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4</w:t>
            </w:r>
            <w:r>
              <w:rPr>
                <w:rFonts w:ascii="Times New Roman" w:eastAsia="宋体"/>
                <w:color w:val="auto"/>
                <w:sz w:val="21"/>
                <w:szCs w:val="21"/>
              </w:rPr>
              <w:t>.1</w:t>
            </w:r>
          </w:p>
        </w:tc>
        <w:tc>
          <w:tcPr>
            <w:tcW w:w="216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消毒、除臭喷雾设备</w:t>
            </w:r>
          </w:p>
        </w:tc>
        <w:tc>
          <w:tcPr>
            <w:tcW w:w="3994" w:type="dxa"/>
            <w:tcBorders>
              <w:tl2br w:val="nil"/>
              <w:tr2bl w:val="nil"/>
            </w:tcBorders>
            <w:vAlign w:val="center"/>
          </w:tcPr>
          <w:p>
            <w:pPr>
              <w:jc w:val="center"/>
              <w:rPr>
                <w:rFonts w:ascii="Times New Roman" w:eastAsia="宋体"/>
                <w:color w:val="auto"/>
                <w:spacing w:val="6"/>
                <w:sz w:val="21"/>
                <w:szCs w:val="21"/>
              </w:rPr>
            </w:pPr>
            <w:r>
              <w:rPr>
                <w:rFonts w:ascii="Times New Roman" w:eastAsia="宋体"/>
                <w:color w:val="auto"/>
                <w:spacing w:val="6"/>
                <w:sz w:val="21"/>
                <w:szCs w:val="21"/>
              </w:rPr>
              <w:t>/</w:t>
            </w:r>
          </w:p>
        </w:tc>
        <w:tc>
          <w:tcPr>
            <w:tcW w:w="917"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台</w:t>
            </w:r>
          </w:p>
        </w:tc>
        <w:tc>
          <w:tcPr>
            <w:tcW w:w="808"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r>
              <w:rPr>
                <w:rFonts w:hint="eastAsia" w:ascii="Times New Roman" w:eastAsia="宋体"/>
                <w:color w:val="auto"/>
                <w:sz w:val="21"/>
                <w:szCs w:val="21"/>
              </w:rPr>
              <w:t>0</w:t>
            </w:r>
          </w:p>
        </w:tc>
      </w:tr>
    </w:tbl>
    <w:p>
      <w:pPr>
        <w:pStyle w:val="4"/>
        <w:spacing w:before="0" w:after="0" w:line="360" w:lineRule="auto"/>
        <w:rPr>
          <w:rFonts w:ascii="Times New Roman" w:eastAsia="宋体"/>
          <w:b/>
          <w:bCs/>
          <w:color w:val="auto"/>
          <w:kern w:val="2"/>
          <w:sz w:val="24"/>
        </w:rPr>
      </w:pPr>
      <w:bookmarkStart w:id="287" w:name="_Toc4797"/>
      <w:bookmarkStart w:id="288" w:name="_Toc397698060"/>
      <w:bookmarkStart w:id="289" w:name="_Toc397509960"/>
      <w:r>
        <w:rPr>
          <w:rFonts w:hint="eastAsia" w:ascii="Times New Roman" w:eastAsia="宋体"/>
          <w:b/>
          <w:bCs/>
          <w:color w:val="auto"/>
          <w:kern w:val="2"/>
          <w:sz w:val="24"/>
        </w:rPr>
        <w:t>3</w:t>
      </w:r>
      <w:r>
        <w:rPr>
          <w:rFonts w:ascii="Times New Roman" w:eastAsia="宋体"/>
          <w:b/>
          <w:bCs/>
          <w:color w:val="auto"/>
          <w:kern w:val="2"/>
          <w:sz w:val="24"/>
        </w:rPr>
        <w:t>.1.7公用工程</w:t>
      </w:r>
      <w:bookmarkEnd w:id="287"/>
    </w:p>
    <w:p>
      <w:pPr>
        <w:spacing w:line="360" w:lineRule="auto"/>
        <w:outlineLvl w:val="3"/>
        <w:rPr>
          <w:rFonts w:ascii="Times New Roman" w:eastAsia="宋体"/>
          <w:color w:val="auto"/>
          <w:kern w:val="2"/>
        </w:rPr>
      </w:pPr>
      <w:r>
        <w:rPr>
          <w:rFonts w:hint="eastAsia" w:ascii="Times New Roman" w:eastAsia="宋体"/>
          <w:color w:val="auto"/>
          <w:kern w:val="2"/>
        </w:rPr>
        <w:t>3</w:t>
      </w:r>
      <w:r>
        <w:rPr>
          <w:rFonts w:ascii="Times New Roman" w:eastAsia="宋体"/>
          <w:color w:val="auto"/>
          <w:kern w:val="2"/>
        </w:rPr>
        <w:t>.1.7.1给水</w:t>
      </w:r>
    </w:p>
    <w:p>
      <w:pPr>
        <w:spacing w:line="360" w:lineRule="auto"/>
        <w:ind w:firstLine="496" w:firstLineChars="200"/>
        <w:rPr>
          <w:rFonts w:ascii="Times New Roman" w:eastAsia="宋体"/>
          <w:color w:val="auto"/>
        </w:rPr>
      </w:pPr>
      <w:r>
        <w:rPr>
          <w:rFonts w:ascii="Times New Roman" w:eastAsia="宋体"/>
          <w:color w:val="auto"/>
        </w:rPr>
        <w:t>项目</w:t>
      </w:r>
      <w:r>
        <w:rPr>
          <w:rFonts w:hint="eastAsia" w:ascii="Times New Roman" w:eastAsia="宋体"/>
          <w:color w:val="auto"/>
        </w:rPr>
        <w:t>拟在场地内自建地下水井，项目生产和</w:t>
      </w:r>
      <w:r>
        <w:rPr>
          <w:rFonts w:ascii="Times New Roman" w:eastAsia="宋体"/>
          <w:color w:val="auto"/>
        </w:rPr>
        <w:t>生活用水均</w:t>
      </w:r>
      <w:r>
        <w:rPr>
          <w:rFonts w:hint="eastAsia" w:ascii="Times New Roman" w:eastAsia="宋体"/>
          <w:color w:val="auto"/>
        </w:rPr>
        <w:t>取自该自来水井</w:t>
      </w:r>
      <w:r>
        <w:rPr>
          <w:rFonts w:ascii="Times New Roman" w:eastAsia="宋体"/>
          <w:color w:val="auto"/>
        </w:rPr>
        <w:t>。由地下水现状监测结果可知，项目所在区域的地下水水质</w:t>
      </w:r>
      <w:r>
        <w:rPr>
          <w:rFonts w:hint="eastAsia" w:ascii="Times New Roman" w:eastAsia="宋体"/>
          <w:color w:val="auto"/>
          <w:lang w:val="en-US" w:eastAsia="zh-CN"/>
        </w:rPr>
        <w:t>除硝酸盐氮和粪大肠菌群外均</w:t>
      </w:r>
      <w:r>
        <w:rPr>
          <w:rFonts w:ascii="Times New Roman" w:eastAsia="宋体"/>
          <w:color w:val="auto"/>
        </w:rPr>
        <w:t>能满足《地下水环境质量标准》（GB/T14848-2017）中的Ⅲ类水质标准的要求</w:t>
      </w:r>
      <w:r>
        <w:rPr>
          <w:rFonts w:hint="eastAsia" w:ascii="Times New Roman" w:eastAsia="宋体"/>
          <w:color w:val="auto"/>
        </w:rPr>
        <w:t>。</w:t>
      </w:r>
      <w:r>
        <w:rPr>
          <w:rFonts w:hint="eastAsia" w:ascii="Times New Roman" w:eastAsia="宋体"/>
          <w:color w:val="auto"/>
          <w:lang w:val="en-US" w:eastAsia="zh-CN"/>
        </w:rPr>
        <w:t>生活用水经煮沸消毒后使用，生产废水</w:t>
      </w:r>
      <w:r>
        <w:rPr>
          <w:rFonts w:ascii="Times New Roman" w:eastAsia="宋体"/>
          <w:color w:val="auto"/>
        </w:rPr>
        <w:t>水质水量能满足本项目的生产要求，因此项目采用地下水作为生产用水水源可行。</w:t>
      </w:r>
    </w:p>
    <w:p>
      <w:pPr>
        <w:spacing w:line="360" w:lineRule="auto"/>
        <w:ind w:firstLine="496" w:firstLineChars="200"/>
        <w:rPr>
          <w:rFonts w:ascii="Times New Roman" w:eastAsia="宋体"/>
          <w:color w:val="auto"/>
        </w:rPr>
      </w:pPr>
      <w:r>
        <w:rPr>
          <w:rFonts w:hint="eastAsia" w:ascii="Times New Roman" w:eastAsia="宋体"/>
          <w:color w:val="auto"/>
        </w:rPr>
        <w:t>本项目用水包括鸡饮用水、鸡舍冲洗水、鸡舍降温用水、除臭水帘用水、锅炉用水及职工生活用水。</w:t>
      </w:r>
    </w:p>
    <w:p>
      <w:pPr>
        <w:spacing w:line="360" w:lineRule="auto"/>
        <w:ind w:firstLine="482"/>
        <w:rPr>
          <w:rFonts w:ascii="Times New Roman" w:eastAsia="宋体"/>
          <w:color w:val="auto"/>
          <w:u w:val="single"/>
        </w:rPr>
      </w:pPr>
      <w:r>
        <w:rPr>
          <w:rFonts w:hint="eastAsia" w:ascii="Times New Roman" w:eastAsia="宋体"/>
          <w:color w:val="auto"/>
          <w:u w:val="single"/>
        </w:rPr>
        <w:t>（1）鸡</w:t>
      </w:r>
      <w:r>
        <w:rPr>
          <w:rFonts w:ascii="Times New Roman" w:eastAsia="宋体"/>
          <w:color w:val="auto"/>
          <w:u w:val="single"/>
        </w:rPr>
        <w:t>饮用水</w:t>
      </w:r>
    </w:p>
    <w:p>
      <w:pPr>
        <w:spacing w:line="360" w:lineRule="auto"/>
        <w:ind w:firstLine="496" w:firstLineChars="200"/>
        <w:rPr>
          <w:rFonts w:ascii="Times New Roman" w:eastAsia="宋体"/>
          <w:color w:val="auto"/>
          <w:u w:val="single"/>
        </w:rPr>
      </w:pPr>
      <w:r>
        <w:rPr>
          <w:rFonts w:ascii="Times New Roman" w:eastAsia="宋体"/>
          <w:color w:val="auto"/>
          <w:u w:val="single"/>
        </w:rPr>
        <w:t>根据《为当今的肉鸡提供正确的饮水量》（何闪，《国外畜牧学·</w:t>
      </w:r>
      <w:r>
        <w:rPr>
          <w:rFonts w:hint="eastAsia" w:ascii="Times New Roman" w:eastAsia="宋体"/>
          <w:color w:val="auto"/>
          <w:u w:val="single"/>
        </w:rPr>
        <w:t>猪</w:t>
      </w:r>
      <w:r>
        <w:rPr>
          <w:rFonts w:ascii="Times New Roman" w:eastAsia="宋体"/>
          <w:color w:val="auto"/>
          <w:u w:val="single"/>
        </w:rPr>
        <w:t>与禽》，2014年第9期）中“普遍公认，肉鸡每采食0.454kg饲料需要消耗大约0.77kg的水”，本项目肉鸡饲料单批次用量</w:t>
      </w:r>
      <w:r>
        <w:rPr>
          <w:rFonts w:hint="eastAsia" w:ascii="Times New Roman" w:eastAsia="宋体"/>
          <w:color w:val="auto"/>
          <w:u w:val="single"/>
        </w:rPr>
        <w:t>约</w:t>
      </w:r>
      <w:r>
        <w:rPr>
          <w:rFonts w:hint="eastAsia" w:ascii="Times New Roman" w:eastAsia="宋体"/>
          <w:color w:val="auto"/>
          <w:u w:val="single"/>
          <w:lang w:val="en-US" w:eastAsia="zh-CN"/>
        </w:rPr>
        <w:t>2</w:t>
      </w:r>
      <w:r>
        <w:rPr>
          <w:rFonts w:hint="eastAsia" w:ascii="Times New Roman" w:eastAsia="宋体"/>
          <w:color w:val="auto"/>
          <w:u w:val="single"/>
        </w:rPr>
        <w:t>0</w:t>
      </w:r>
      <w:r>
        <w:rPr>
          <w:rFonts w:ascii="Times New Roman" w:eastAsia="宋体"/>
          <w:color w:val="auto"/>
          <w:u w:val="single"/>
        </w:rPr>
        <w:t>00t/a，单批次肉鸡饮水量约为</w:t>
      </w:r>
      <w:r>
        <w:rPr>
          <w:rFonts w:hint="eastAsia" w:ascii="Times New Roman" w:eastAsia="宋体"/>
          <w:color w:val="auto"/>
          <w:u w:val="single"/>
          <w:lang w:val="en-US" w:eastAsia="zh-CN"/>
        </w:rPr>
        <w:t>3392</w:t>
      </w:r>
      <w:r>
        <w:rPr>
          <w:rFonts w:ascii="Times New Roman" w:eastAsia="宋体"/>
          <w:color w:val="auto"/>
          <w:u w:val="single"/>
        </w:rPr>
        <w:t>m</w:t>
      </w:r>
      <w:r>
        <w:rPr>
          <w:rFonts w:ascii="Times New Roman" w:eastAsia="宋体"/>
          <w:color w:val="auto"/>
          <w:u w:val="single"/>
          <w:vertAlign w:val="superscript"/>
        </w:rPr>
        <w:t>3</w:t>
      </w:r>
      <w:r>
        <w:rPr>
          <w:rFonts w:ascii="Times New Roman" w:eastAsia="宋体"/>
          <w:color w:val="auto"/>
          <w:u w:val="single"/>
        </w:rPr>
        <w:t>/a。饲料年用量约为</w:t>
      </w:r>
      <w:r>
        <w:rPr>
          <w:rFonts w:hint="eastAsia" w:ascii="Times New Roman" w:eastAsia="宋体"/>
          <w:color w:val="auto"/>
          <w:u w:val="single"/>
          <w:lang w:val="en-US" w:eastAsia="zh-CN"/>
        </w:rPr>
        <w:t>8</w:t>
      </w:r>
      <w:r>
        <w:rPr>
          <w:rFonts w:ascii="Times New Roman" w:eastAsia="宋体"/>
          <w:color w:val="auto"/>
          <w:u w:val="single"/>
        </w:rPr>
        <w:t>000t/a，肉鸡年饮水量约为</w:t>
      </w:r>
      <w:r>
        <w:rPr>
          <w:rFonts w:hint="eastAsia" w:ascii="Times New Roman" w:eastAsia="宋体"/>
          <w:color w:val="auto"/>
          <w:u w:val="single"/>
          <w:lang w:val="en-US" w:eastAsia="zh-CN"/>
        </w:rPr>
        <w:t>13568</w:t>
      </w:r>
      <w:r>
        <w:rPr>
          <w:rFonts w:ascii="Times New Roman" w:eastAsia="宋体"/>
          <w:color w:val="auto"/>
          <w:u w:val="single"/>
        </w:rPr>
        <w:t>m</w:t>
      </w:r>
      <w:r>
        <w:rPr>
          <w:rFonts w:ascii="Times New Roman" w:eastAsia="宋体"/>
          <w:color w:val="auto"/>
          <w:u w:val="single"/>
          <w:vertAlign w:val="superscript"/>
        </w:rPr>
        <w:t>3</w:t>
      </w:r>
      <w:r>
        <w:rPr>
          <w:rFonts w:ascii="Times New Roman" w:eastAsia="宋体"/>
          <w:color w:val="auto"/>
          <w:u w:val="single"/>
        </w:rPr>
        <w:t>/a（</w:t>
      </w:r>
      <w:r>
        <w:rPr>
          <w:rFonts w:hint="eastAsia" w:ascii="Times New Roman" w:eastAsia="宋体"/>
          <w:color w:val="auto"/>
          <w:u w:val="single"/>
        </w:rPr>
        <w:t>按60天/栏*4栏次计算，</w:t>
      </w:r>
      <w:r>
        <w:rPr>
          <w:rFonts w:hint="eastAsia" w:ascii="Times New Roman" w:eastAsia="宋体"/>
          <w:color w:val="auto"/>
          <w:u w:val="single"/>
          <w:lang w:val="en-US" w:eastAsia="zh-CN"/>
        </w:rPr>
        <w:t>56.5</w:t>
      </w:r>
      <w:r>
        <w:rPr>
          <w:rFonts w:ascii="Times New Roman" w:eastAsia="宋体"/>
          <w:color w:val="auto"/>
          <w:u w:val="single"/>
        </w:rPr>
        <w:t>m</w:t>
      </w:r>
      <w:r>
        <w:rPr>
          <w:rFonts w:ascii="Times New Roman" w:eastAsia="宋体"/>
          <w:color w:val="auto"/>
          <w:u w:val="single"/>
          <w:vertAlign w:val="superscript"/>
        </w:rPr>
        <w:t>3</w:t>
      </w:r>
      <w:r>
        <w:rPr>
          <w:rFonts w:ascii="Times New Roman" w:eastAsia="宋体"/>
          <w:color w:val="auto"/>
          <w:u w:val="single"/>
        </w:rPr>
        <w:t>/d）。</w:t>
      </w:r>
    </w:p>
    <w:p>
      <w:pPr>
        <w:spacing w:line="360" w:lineRule="auto"/>
        <w:ind w:firstLine="482"/>
        <w:rPr>
          <w:rFonts w:ascii="Times New Roman" w:eastAsia="宋体"/>
          <w:color w:val="auto"/>
          <w:u w:val="single"/>
        </w:rPr>
      </w:pPr>
      <w:r>
        <w:rPr>
          <w:rFonts w:hint="eastAsia" w:ascii="Times New Roman" w:eastAsia="宋体"/>
          <w:color w:val="auto"/>
          <w:u w:val="single"/>
        </w:rPr>
        <w:t>（2）</w:t>
      </w:r>
      <w:r>
        <w:rPr>
          <w:rFonts w:ascii="Times New Roman" w:eastAsia="宋体"/>
          <w:color w:val="auto"/>
          <w:u w:val="single"/>
        </w:rPr>
        <w:t>鸡舍冲洗水</w:t>
      </w:r>
    </w:p>
    <w:p>
      <w:pPr>
        <w:spacing w:line="360" w:lineRule="auto"/>
        <w:ind w:firstLine="482"/>
        <w:rPr>
          <w:rFonts w:ascii="Times New Roman" w:eastAsia="宋体"/>
          <w:color w:val="auto"/>
          <w:u w:val="single"/>
        </w:rPr>
      </w:pPr>
      <w:r>
        <w:rPr>
          <w:rFonts w:ascii="Times New Roman" w:eastAsia="宋体"/>
          <w:color w:val="auto"/>
          <w:u w:val="single"/>
        </w:rPr>
        <w:t>本项目采用干清粪工艺，鸡舍粪便日产日清。肉鸡</w:t>
      </w:r>
      <w:r>
        <w:rPr>
          <w:rFonts w:hint="eastAsia" w:ascii="Times New Roman" w:eastAsia="宋体"/>
          <w:color w:val="auto"/>
          <w:u w:val="single"/>
        </w:rPr>
        <w:t>60</w:t>
      </w:r>
      <w:r>
        <w:rPr>
          <w:rFonts w:ascii="Times New Roman" w:eastAsia="宋体"/>
          <w:color w:val="auto"/>
          <w:u w:val="single"/>
        </w:rPr>
        <w:t>天育成出栏后对鸡舍进行冲洗，每年冲洗鸡舍</w:t>
      </w:r>
      <w:r>
        <w:rPr>
          <w:rFonts w:hint="eastAsia" w:ascii="Times New Roman" w:eastAsia="宋体"/>
          <w:color w:val="auto"/>
          <w:u w:val="single"/>
        </w:rPr>
        <w:t>4</w:t>
      </w:r>
      <w:r>
        <w:rPr>
          <w:rFonts w:ascii="Times New Roman" w:eastAsia="宋体"/>
          <w:color w:val="auto"/>
          <w:u w:val="single"/>
        </w:rPr>
        <w:t>次，每次冲洗</w:t>
      </w:r>
      <w:r>
        <w:rPr>
          <w:rFonts w:hint="eastAsia" w:ascii="Times New Roman" w:eastAsia="宋体"/>
          <w:color w:val="auto"/>
          <w:u w:val="single"/>
        </w:rPr>
        <w:t>1</w:t>
      </w:r>
      <w:r>
        <w:rPr>
          <w:rFonts w:ascii="Times New Roman" w:eastAsia="宋体"/>
          <w:color w:val="auto"/>
          <w:u w:val="single"/>
        </w:rPr>
        <w:t>天。依据《排污许可证申请与核发技术规范畜禽养殖行业》（HJ1029-2019）</w:t>
      </w:r>
      <w:r>
        <w:rPr>
          <w:rFonts w:hint="eastAsia" w:ascii="Times New Roman" w:eastAsia="宋体"/>
          <w:color w:val="auto"/>
          <w:u w:val="single"/>
        </w:rPr>
        <w:t>中</w:t>
      </w:r>
      <w:r>
        <w:rPr>
          <w:rFonts w:hint="eastAsia" w:ascii="Times New Roman" w:eastAsia="宋体"/>
          <w:color w:val="auto"/>
          <w:u w:val="single"/>
          <w:lang w:eastAsia="zh-CN"/>
        </w:rPr>
        <w:t>基准</w:t>
      </w:r>
      <w:r>
        <w:rPr>
          <w:rFonts w:ascii="Times New Roman" w:eastAsia="宋体"/>
          <w:color w:val="auto"/>
          <w:u w:val="single"/>
        </w:rPr>
        <w:t>排水量0.</w:t>
      </w:r>
      <w:r>
        <w:rPr>
          <w:rFonts w:hint="eastAsia" w:ascii="Times New Roman" w:eastAsia="宋体"/>
          <w:color w:val="auto"/>
          <w:u w:val="single"/>
        </w:rPr>
        <w:t>6</w:t>
      </w:r>
      <w:r>
        <w:rPr>
          <w:rFonts w:ascii="Times New Roman" w:eastAsia="宋体"/>
          <w:color w:val="auto"/>
          <w:u w:val="single"/>
        </w:rPr>
        <w:t>t/</w:t>
      </w:r>
      <w:r>
        <w:rPr>
          <w:rFonts w:hint="eastAsia" w:ascii="Times New Roman" w:eastAsia="宋体"/>
          <w:color w:val="auto"/>
          <w:u w:val="single"/>
        </w:rPr>
        <w:t>（</w:t>
      </w:r>
      <w:r>
        <w:rPr>
          <w:rFonts w:ascii="Times New Roman" w:eastAsia="宋体"/>
          <w:color w:val="auto"/>
          <w:u w:val="single"/>
        </w:rPr>
        <w:t>d·千只</w:t>
      </w:r>
      <w:r>
        <w:rPr>
          <w:rFonts w:hint="eastAsia" w:ascii="Times New Roman" w:eastAsia="宋体"/>
          <w:color w:val="auto"/>
          <w:u w:val="single"/>
        </w:rPr>
        <w:t>）</w:t>
      </w:r>
      <w:r>
        <w:rPr>
          <w:rFonts w:ascii="Times New Roman" w:eastAsia="宋体"/>
          <w:color w:val="auto"/>
          <w:u w:val="single"/>
        </w:rPr>
        <w:t>的要求，本项目鸡舍冲洗废水量为</w:t>
      </w:r>
      <w:r>
        <w:rPr>
          <w:rFonts w:hint="eastAsia" w:ascii="Times New Roman" w:eastAsia="宋体"/>
          <w:color w:val="auto"/>
          <w:u w:val="single"/>
        </w:rPr>
        <w:t>150t/次</w:t>
      </w:r>
      <w:r>
        <w:rPr>
          <w:rFonts w:ascii="Times New Roman" w:eastAsia="宋体"/>
          <w:color w:val="auto"/>
          <w:u w:val="single"/>
        </w:rPr>
        <w:t>，</w:t>
      </w:r>
      <w:r>
        <w:rPr>
          <w:rFonts w:hint="eastAsia" w:ascii="Times New Roman" w:eastAsia="宋体"/>
          <w:color w:val="auto"/>
          <w:u w:val="single"/>
        </w:rPr>
        <w:t>600</w:t>
      </w:r>
      <w:r>
        <w:rPr>
          <w:rFonts w:ascii="Times New Roman" w:eastAsia="宋体"/>
          <w:color w:val="auto"/>
          <w:u w:val="single"/>
        </w:rPr>
        <w:t>t/a，排水量按照用水量的8</w:t>
      </w:r>
      <w:r>
        <w:rPr>
          <w:rFonts w:hint="eastAsia" w:ascii="Times New Roman" w:eastAsia="宋体"/>
          <w:color w:val="auto"/>
          <w:u w:val="single"/>
        </w:rPr>
        <w:t>5</w:t>
      </w:r>
      <w:r>
        <w:rPr>
          <w:rFonts w:ascii="Times New Roman" w:eastAsia="宋体"/>
          <w:color w:val="auto"/>
          <w:u w:val="single"/>
        </w:rPr>
        <w:t>%计，则项目用水量为</w:t>
      </w:r>
      <w:r>
        <w:rPr>
          <w:rFonts w:hint="eastAsia" w:ascii="Times New Roman" w:eastAsia="宋体"/>
          <w:color w:val="auto"/>
          <w:u w:val="single"/>
        </w:rPr>
        <w:t>706</w:t>
      </w:r>
      <w:r>
        <w:rPr>
          <w:rFonts w:ascii="Times New Roman" w:eastAsia="宋体"/>
          <w:color w:val="auto"/>
          <w:u w:val="single"/>
        </w:rPr>
        <w:t>t/a。</w:t>
      </w:r>
    </w:p>
    <w:p>
      <w:pPr>
        <w:spacing w:line="360" w:lineRule="auto"/>
        <w:ind w:firstLine="482"/>
        <w:rPr>
          <w:rFonts w:ascii="Times New Roman" w:eastAsia="宋体"/>
          <w:color w:val="auto"/>
          <w:u w:val="single"/>
        </w:rPr>
      </w:pPr>
      <w:r>
        <w:rPr>
          <w:rFonts w:hint="eastAsia" w:ascii="Times New Roman" w:eastAsia="宋体"/>
          <w:color w:val="auto"/>
          <w:u w:val="single"/>
        </w:rPr>
        <w:t>（3）</w:t>
      </w:r>
      <w:r>
        <w:rPr>
          <w:rFonts w:ascii="Times New Roman" w:eastAsia="宋体"/>
          <w:color w:val="auto"/>
          <w:u w:val="single"/>
        </w:rPr>
        <w:t>鸡舍降温</w:t>
      </w:r>
      <w:r>
        <w:rPr>
          <w:rFonts w:hint="eastAsia" w:ascii="Times New Roman" w:eastAsia="宋体"/>
          <w:color w:val="auto"/>
          <w:u w:val="single"/>
        </w:rPr>
        <w:t>用</w:t>
      </w:r>
      <w:r>
        <w:rPr>
          <w:rFonts w:ascii="Times New Roman" w:eastAsia="宋体"/>
          <w:color w:val="auto"/>
          <w:u w:val="single"/>
        </w:rPr>
        <w:t>水</w:t>
      </w:r>
    </w:p>
    <w:p>
      <w:pPr>
        <w:spacing w:line="360" w:lineRule="auto"/>
        <w:ind w:firstLine="496" w:firstLineChars="200"/>
        <w:rPr>
          <w:rFonts w:ascii="Times New Roman" w:eastAsia="宋体"/>
          <w:color w:val="auto"/>
          <w:szCs w:val="24"/>
          <w:u w:val="single"/>
        </w:rPr>
      </w:pPr>
      <w:r>
        <w:rPr>
          <w:rFonts w:ascii="Times New Roman" w:eastAsia="宋体"/>
          <w:color w:val="auto"/>
          <w:u w:val="single"/>
        </w:rPr>
        <w:t>项目鸡舍温度在35℃以上时进行湿帘降温，鸡舍</w:t>
      </w:r>
      <w:r>
        <w:rPr>
          <w:rFonts w:hint="eastAsia" w:ascii="Times New Roman" w:eastAsia="宋体"/>
          <w:color w:val="auto"/>
          <w:u w:val="single"/>
        </w:rPr>
        <w:t>侧墙进风门</w:t>
      </w:r>
      <w:r>
        <w:rPr>
          <w:rFonts w:ascii="Times New Roman" w:eastAsia="宋体"/>
          <w:color w:val="auto"/>
          <w:u w:val="single"/>
        </w:rPr>
        <w:t>设循环水池，</w:t>
      </w:r>
      <w:r>
        <w:rPr>
          <w:rFonts w:hint="eastAsia" w:ascii="Times New Roman" w:eastAsia="宋体"/>
          <w:color w:val="auto"/>
          <w:u w:val="single"/>
        </w:rPr>
        <w:t>降温</w:t>
      </w:r>
      <w:r>
        <w:rPr>
          <w:rFonts w:ascii="Times New Roman" w:eastAsia="宋体"/>
          <w:color w:val="auto"/>
          <w:u w:val="single"/>
        </w:rPr>
        <w:t>用水循环使用，不排放，</w:t>
      </w:r>
      <w:r>
        <w:rPr>
          <w:rFonts w:hint="eastAsia" w:ascii="Times New Roman" w:eastAsia="宋体"/>
          <w:color w:val="auto"/>
          <w:u w:val="single"/>
        </w:rPr>
        <w:t>只需</w:t>
      </w:r>
      <w:r>
        <w:rPr>
          <w:rFonts w:ascii="Times New Roman" w:eastAsia="宋体"/>
          <w:color w:val="auto"/>
          <w:u w:val="single"/>
        </w:rPr>
        <w:t>定期</w:t>
      </w:r>
      <w:r>
        <w:rPr>
          <w:rFonts w:hint="eastAsia" w:ascii="Times New Roman" w:eastAsia="宋体"/>
          <w:color w:val="auto"/>
          <w:u w:val="single"/>
        </w:rPr>
        <w:t>补充</w:t>
      </w:r>
      <w:r>
        <w:rPr>
          <w:rFonts w:ascii="Times New Roman" w:eastAsia="宋体"/>
          <w:color w:val="auto"/>
          <w:u w:val="single"/>
        </w:rPr>
        <w:t>其</w:t>
      </w:r>
      <w:r>
        <w:rPr>
          <w:rFonts w:hint="eastAsia" w:ascii="Times New Roman" w:eastAsia="宋体"/>
          <w:color w:val="auto"/>
          <w:u w:val="single"/>
        </w:rPr>
        <w:t>蒸发</w:t>
      </w:r>
      <w:r>
        <w:rPr>
          <w:rFonts w:ascii="Times New Roman" w:eastAsia="宋体"/>
          <w:color w:val="auto"/>
          <w:u w:val="single"/>
        </w:rPr>
        <w:t>损失量。每年的7~</w:t>
      </w:r>
      <w:r>
        <w:rPr>
          <w:rFonts w:hint="eastAsia" w:ascii="Times New Roman" w:eastAsia="宋体"/>
          <w:color w:val="auto"/>
          <w:u w:val="single"/>
        </w:rPr>
        <w:t>9</w:t>
      </w:r>
      <w:r>
        <w:rPr>
          <w:rFonts w:ascii="Times New Roman" w:eastAsia="宋体"/>
          <w:color w:val="auto"/>
          <w:u w:val="single"/>
        </w:rPr>
        <w:t>月（按</w:t>
      </w:r>
      <w:r>
        <w:rPr>
          <w:rFonts w:hint="eastAsia" w:ascii="Times New Roman" w:eastAsia="宋体"/>
          <w:color w:val="auto"/>
          <w:u w:val="single"/>
        </w:rPr>
        <w:t>62</w:t>
      </w:r>
      <w:r>
        <w:rPr>
          <w:rFonts w:ascii="Times New Roman" w:eastAsia="宋体"/>
          <w:color w:val="auto"/>
          <w:u w:val="single"/>
        </w:rPr>
        <w:t>天计）需要降温，平均每天使用</w:t>
      </w:r>
      <w:r>
        <w:rPr>
          <w:rFonts w:hint="eastAsia" w:ascii="Times New Roman" w:eastAsia="宋体"/>
          <w:color w:val="auto"/>
          <w:u w:val="single"/>
        </w:rPr>
        <w:t>6</w:t>
      </w:r>
      <w:r>
        <w:rPr>
          <w:rFonts w:ascii="Times New Roman" w:eastAsia="宋体"/>
          <w:color w:val="auto"/>
          <w:u w:val="single"/>
        </w:rPr>
        <w:t>h</w:t>
      </w:r>
      <w:r>
        <w:rPr>
          <w:rFonts w:hint="eastAsia" w:ascii="Times New Roman" w:eastAsia="宋体"/>
          <w:color w:val="auto"/>
          <w:u w:val="single"/>
        </w:rPr>
        <w:t>，水帘面积50m</w:t>
      </w:r>
      <w:r>
        <w:rPr>
          <w:rFonts w:hint="eastAsia" w:ascii="Times New Roman" w:eastAsia="宋体"/>
          <w:color w:val="auto"/>
          <w:u w:val="single"/>
          <w:vertAlign w:val="superscript"/>
        </w:rPr>
        <w:t>2</w:t>
      </w:r>
      <w:r>
        <w:rPr>
          <w:rFonts w:ascii="Times New Roman" w:eastAsia="宋体"/>
          <w:color w:val="auto"/>
          <w:u w:val="single"/>
        </w:rPr>
        <w:t>，</w:t>
      </w:r>
      <w:r>
        <w:rPr>
          <w:rFonts w:hint="eastAsia" w:ascii="Times New Roman" w:eastAsia="宋体"/>
          <w:color w:val="auto"/>
          <w:u w:val="single"/>
        </w:rPr>
        <w:t>根据建设单位提供的资料，</w:t>
      </w:r>
      <w:r>
        <w:rPr>
          <w:rFonts w:hint="eastAsia" w:ascii="Times New Roman" w:eastAsia="宋体"/>
          <w:color w:val="auto"/>
          <w:szCs w:val="24"/>
          <w:u w:val="single"/>
        </w:rPr>
        <w:t>每</w:t>
      </w:r>
      <w:r>
        <w:rPr>
          <w:rFonts w:ascii="Times New Roman" w:eastAsia="宋体"/>
          <w:color w:val="auto"/>
          <w:szCs w:val="24"/>
          <w:u w:val="single"/>
        </w:rPr>
        <w:t>栋鸡舍湿帘降温耗水量约为</w:t>
      </w:r>
      <w:r>
        <w:rPr>
          <w:rFonts w:hint="eastAsia" w:ascii="Times New Roman" w:eastAsia="宋体"/>
          <w:color w:val="auto"/>
          <w:szCs w:val="24"/>
          <w:u w:val="single"/>
        </w:rPr>
        <w:t>7.5</w:t>
      </w:r>
      <w:r>
        <w:rPr>
          <w:rFonts w:ascii="Times New Roman" w:eastAsia="宋体"/>
          <w:color w:val="auto"/>
          <w:szCs w:val="24"/>
          <w:u w:val="single"/>
        </w:rPr>
        <w:t>t/</w:t>
      </w:r>
      <w:r>
        <w:rPr>
          <w:rFonts w:hint="eastAsia" w:ascii="Times New Roman" w:eastAsia="宋体"/>
          <w:color w:val="auto"/>
          <w:szCs w:val="24"/>
          <w:u w:val="single"/>
        </w:rPr>
        <w:t>d</w:t>
      </w:r>
      <w:r>
        <w:rPr>
          <w:rFonts w:ascii="Times New Roman" w:eastAsia="宋体"/>
          <w:color w:val="auto"/>
          <w:szCs w:val="24"/>
          <w:u w:val="single"/>
        </w:rPr>
        <w:t>，则全厂降温用水量约为</w:t>
      </w:r>
      <w:r>
        <w:rPr>
          <w:rFonts w:hint="eastAsia" w:ascii="Times New Roman" w:eastAsia="宋体"/>
          <w:color w:val="auto"/>
          <w:szCs w:val="24"/>
          <w:u w:val="single"/>
        </w:rPr>
        <w:t>4650t</w:t>
      </w:r>
      <w:r>
        <w:rPr>
          <w:rFonts w:ascii="Times New Roman" w:eastAsia="宋体"/>
          <w:color w:val="auto"/>
          <w:szCs w:val="24"/>
          <w:u w:val="single"/>
        </w:rPr>
        <w:t>/ a。鸡舍内设循环水池，水循环率为70%，循环水量约</w:t>
      </w:r>
      <w:r>
        <w:rPr>
          <w:rFonts w:hint="eastAsia" w:ascii="Times New Roman" w:eastAsia="宋体"/>
          <w:color w:val="auto"/>
          <w:szCs w:val="24"/>
          <w:u w:val="single"/>
        </w:rPr>
        <w:t>3255t</w:t>
      </w:r>
      <w:r>
        <w:rPr>
          <w:rFonts w:ascii="Times New Roman" w:eastAsia="宋体"/>
          <w:color w:val="auto"/>
          <w:szCs w:val="24"/>
          <w:u w:val="single"/>
        </w:rPr>
        <w:t>/a；新鲜水补充量</w:t>
      </w:r>
      <w:r>
        <w:rPr>
          <w:rFonts w:hint="eastAsia" w:ascii="Times New Roman" w:eastAsia="宋体"/>
          <w:color w:val="auto"/>
          <w:szCs w:val="24"/>
          <w:u w:val="single"/>
        </w:rPr>
        <w:t>1395t</w:t>
      </w:r>
      <w:r>
        <w:rPr>
          <w:rFonts w:ascii="Times New Roman" w:eastAsia="宋体"/>
          <w:color w:val="auto"/>
          <w:szCs w:val="24"/>
          <w:u w:val="single"/>
        </w:rPr>
        <w:t>/a。</w:t>
      </w:r>
    </w:p>
    <w:p>
      <w:pPr>
        <w:spacing w:line="360" w:lineRule="auto"/>
        <w:ind w:firstLine="482"/>
        <w:rPr>
          <w:rFonts w:ascii="Times New Roman" w:eastAsia="宋体"/>
          <w:color w:val="auto"/>
          <w:u w:val="single"/>
        </w:rPr>
      </w:pPr>
      <w:r>
        <w:rPr>
          <w:rFonts w:hint="eastAsia" w:ascii="Times New Roman" w:eastAsia="宋体"/>
          <w:color w:val="auto"/>
          <w:u w:val="single"/>
        </w:rPr>
        <w:t>（4）</w:t>
      </w:r>
      <w:r>
        <w:rPr>
          <w:rFonts w:ascii="Times New Roman" w:eastAsia="宋体"/>
          <w:color w:val="auto"/>
          <w:u w:val="single"/>
        </w:rPr>
        <w:t>锅炉</w:t>
      </w:r>
      <w:r>
        <w:rPr>
          <w:rFonts w:hint="eastAsia" w:ascii="Times New Roman" w:eastAsia="宋体"/>
          <w:color w:val="auto"/>
          <w:u w:val="single"/>
        </w:rPr>
        <w:t>用</w:t>
      </w:r>
      <w:r>
        <w:rPr>
          <w:rFonts w:ascii="Times New Roman" w:eastAsia="宋体"/>
          <w:color w:val="auto"/>
          <w:u w:val="single"/>
        </w:rPr>
        <w:t>水</w:t>
      </w:r>
    </w:p>
    <w:p>
      <w:pPr>
        <w:spacing w:line="360" w:lineRule="auto"/>
        <w:ind w:firstLine="496" w:firstLineChars="200"/>
        <w:rPr>
          <w:rFonts w:ascii="Times New Roman" w:eastAsia="宋体"/>
          <w:color w:val="auto"/>
          <w:u w:val="single"/>
        </w:rPr>
      </w:pPr>
      <w:r>
        <w:rPr>
          <w:rFonts w:ascii="Times New Roman" w:eastAsia="宋体"/>
          <w:color w:val="auto"/>
          <w:u w:val="single"/>
        </w:rPr>
        <w:t>项目</w:t>
      </w:r>
      <w:r>
        <w:rPr>
          <w:rFonts w:hint="eastAsia" w:ascii="Times New Roman" w:eastAsia="宋体"/>
          <w:color w:val="auto"/>
          <w:u w:val="single"/>
        </w:rPr>
        <w:t>养殖</w:t>
      </w:r>
      <w:r>
        <w:rPr>
          <w:rFonts w:ascii="Times New Roman" w:eastAsia="宋体"/>
          <w:color w:val="auto"/>
          <w:u w:val="single"/>
        </w:rPr>
        <w:t>供暖</w:t>
      </w:r>
      <w:r>
        <w:rPr>
          <w:rFonts w:hint="eastAsia" w:ascii="Times New Roman" w:eastAsia="宋体"/>
          <w:color w:val="auto"/>
          <w:u w:val="single"/>
        </w:rPr>
        <w:t>由2台1</w:t>
      </w:r>
      <w:r>
        <w:rPr>
          <w:rFonts w:ascii="Times New Roman" w:eastAsia="宋体"/>
          <w:color w:val="auto"/>
          <w:u w:val="single"/>
        </w:rPr>
        <w:t>t/h</w:t>
      </w:r>
      <w:r>
        <w:rPr>
          <w:rFonts w:hint="eastAsia" w:ascii="Times New Roman" w:eastAsia="宋体"/>
          <w:color w:val="auto"/>
          <w:u w:val="single"/>
        </w:rPr>
        <w:t>生物质成型燃料锅炉提供</w:t>
      </w:r>
      <w:r>
        <w:rPr>
          <w:rFonts w:ascii="Times New Roman" w:eastAsia="宋体"/>
          <w:color w:val="auto"/>
          <w:u w:val="single"/>
        </w:rPr>
        <w:t>，</w:t>
      </w:r>
      <w:r>
        <w:rPr>
          <w:rFonts w:hint="eastAsia" w:ascii="Times New Roman" w:eastAsia="宋体"/>
          <w:color w:val="auto"/>
          <w:u w:val="single"/>
        </w:rPr>
        <w:t>本项目根据雏鸡生长规律，调控鸡舍内温度为20~34℃。因此冬季或雏鸡日龄较小时需要生物质锅炉供热。</w:t>
      </w:r>
      <w:r>
        <w:rPr>
          <w:rFonts w:ascii="Times New Roman" w:eastAsia="宋体"/>
          <w:color w:val="auto"/>
          <w:u w:val="single"/>
        </w:rPr>
        <w:t>根据建设单位提供的资料，</w:t>
      </w:r>
      <w:r>
        <w:rPr>
          <w:rFonts w:hint="eastAsia" w:ascii="Times New Roman" w:eastAsia="宋体"/>
          <w:color w:val="auto"/>
          <w:u w:val="single"/>
        </w:rPr>
        <w:t>本项目锅炉用水为循环用水，定期补充水量，年运行时间</w:t>
      </w:r>
      <w:r>
        <w:rPr>
          <w:rFonts w:ascii="Times New Roman" w:eastAsia="宋体"/>
          <w:color w:val="auto"/>
          <w:u w:val="single"/>
        </w:rPr>
        <w:t>一般为</w:t>
      </w:r>
      <w:r>
        <w:rPr>
          <w:rFonts w:hint="eastAsia" w:ascii="Times New Roman" w:eastAsia="宋体"/>
          <w:color w:val="auto"/>
          <w:u w:val="single"/>
        </w:rPr>
        <w:t>1200</w:t>
      </w:r>
      <w:r>
        <w:rPr>
          <w:rFonts w:ascii="Times New Roman" w:eastAsia="宋体"/>
          <w:color w:val="auto"/>
          <w:u w:val="single"/>
        </w:rPr>
        <w:t>h（年工作</w:t>
      </w:r>
      <w:r>
        <w:rPr>
          <w:rFonts w:hint="eastAsia" w:ascii="Times New Roman" w:eastAsia="宋体"/>
          <w:color w:val="auto"/>
          <w:u w:val="single"/>
        </w:rPr>
        <w:t>50</w:t>
      </w:r>
      <w:r>
        <w:rPr>
          <w:rFonts w:ascii="Times New Roman" w:eastAsia="宋体"/>
          <w:color w:val="auto"/>
          <w:u w:val="single"/>
        </w:rPr>
        <w:t>天，每天工作</w:t>
      </w:r>
      <w:r>
        <w:rPr>
          <w:rFonts w:hint="eastAsia" w:ascii="Times New Roman" w:eastAsia="宋体"/>
          <w:color w:val="auto"/>
          <w:u w:val="single"/>
        </w:rPr>
        <w:t>24</w:t>
      </w:r>
      <w:r>
        <w:rPr>
          <w:rFonts w:ascii="Times New Roman" w:eastAsia="宋体"/>
          <w:color w:val="auto"/>
          <w:u w:val="single"/>
        </w:rPr>
        <w:t>h）</w:t>
      </w:r>
      <w:r>
        <w:rPr>
          <w:rFonts w:hint="eastAsia" w:ascii="Times New Roman" w:eastAsia="宋体"/>
          <w:color w:val="auto"/>
          <w:u w:val="single"/>
        </w:rPr>
        <w:t>，补充</w:t>
      </w:r>
      <w:r>
        <w:rPr>
          <w:rFonts w:hint="eastAsia" w:ascii="Times New Roman" w:eastAsia="宋体"/>
          <w:color w:val="auto"/>
          <w:u w:val="single"/>
          <w:lang w:val="en-US" w:eastAsia="zh-CN"/>
        </w:rPr>
        <w:t>新鲜水按排水量44.03</w:t>
      </w:r>
      <w:r>
        <w:rPr>
          <w:rFonts w:hint="eastAsia" w:ascii="Times New Roman" w:eastAsia="宋体"/>
          <w:color w:val="auto"/>
          <w:u w:val="single"/>
        </w:rPr>
        <w:t>t/a</w:t>
      </w:r>
      <w:r>
        <w:rPr>
          <w:rFonts w:hint="eastAsia" w:ascii="Times New Roman" w:eastAsia="宋体"/>
          <w:color w:val="auto"/>
          <w:u w:val="single"/>
          <w:lang w:val="en-US" w:eastAsia="zh-CN"/>
        </w:rPr>
        <w:t>计</w:t>
      </w:r>
      <w:r>
        <w:rPr>
          <w:rFonts w:hint="eastAsia" w:ascii="Times New Roman" w:eastAsia="宋体"/>
          <w:color w:val="auto"/>
          <w:u w:val="single"/>
        </w:rPr>
        <w:t>。</w:t>
      </w:r>
    </w:p>
    <w:p>
      <w:pPr>
        <w:spacing w:line="360" w:lineRule="auto"/>
        <w:ind w:firstLine="482"/>
        <w:rPr>
          <w:rFonts w:ascii="Times New Roman" w:eastAsia="宋体"/>
          <w:color w:val="auto"/>
          <w:u w:val="single"/>
        </w:rPr>
      </w:pPr>
      <w:r>
        <w:rPr>
          <w:rFonts w:hint="eastAsia" w:ascii="Times New Roman" w:eastAsia="宋体"/>
          <w:color w:val="auto"/>
          <w:u w:val="single"/>
        </w:rPr>
        <w:t>（5）除臭水帘用水</w:t>
      </w:r>
    </w:p>
    <w:p>
      <w:pPr>
        <w:spacing w:line="360" w:lineRule="auto"/>
        <w:ind w:firstLine="482"/>
        <w:rPr>
          <w:rFonts w:ascii="Times New Roman" w:eastAsia="宋体"/>
          <w:color w:val="auto"/>
          <w:u w:val="single"/>
        </w:rPr>
      </w:pPr>
      <w:r>
        <w:rPr>
          <w:rFonts w:hint="eastAsia" w:ascii="Times New Roman" w:eastAsia="宋体"/>
          <w:color w:val="auto"/>
          <w:u w:val="single"/>
        </w:rPr>
        <w:t>本项目鸡舍通风口采用水帘进行除臭处理，</w:t>
      </w:r>
      <w:r>
        <w:rPr>
          <w:rFonts w:ascii="Times New Roman" w:eastAsia="宋体"/>
          <w:color w:val="auto"/>
          <w:u w:val="single"/>
        </w:rPr>
        <w:t>根据建设单位提供的资料，</w:t>
      </w:r>
      <w:r>
        <w:rPr>
          <w:rFonts w:hint="eastAsia" w:ascii="Times New Roman" w:eastAsia="宋体"/>
          <w:color w:val="auto"/>
          <w:u w:val="single"/>
        </w:rPr>
        <w:t>每栋鸡舍除臭水帘用水量约为0.1t/d，项目共有10栋鸡舍，每年空舍约120天，因此年工作240天，用水量240t/a。除臭水帘废水主要污染物为悬浮物、氨氮和硫化物，废水均经过地下管道进入沉淀池。</w:t>
      </w:r>
    </w:p>
    <w:p>
      <w:pPr>
        <w:spacing w:line="360" w:lineRule="auto"/>
        <w:ind w:firstLine="482"/>
        <w:rPr>
          <w:rFonts w:ascii="Times New Roman" w:eastAsia="宋体"/>
          <w:color w:val="auto"/>
        </w:rPr>
      </w:pPr>
      <w:r>
        <w:rPr>
          <w:rFonts w:hint="eastAsia" w:ascii="Times New Roman" w:eastAsia="宋体"/>
          <w:color w:val="auto"/>
        </w:rPr>
        <w:t>（6）职工</w:t>
      </w:r>
      <w:r>
        <w:rPr>
          <w:rFonts w:ascii="Times New Roman" w:eastAsia="宋体"/>
          <w:color w:val="auto"/>
        </w:rPr>
        <w:t>生活</w:t>
      </w:r>
      <w:r>
        <w:rPr>
          <w:rFonts w:hint="eastAsia" w:ascii="Times New Roman" w:eastAsia="宋体"/>
          <w:color w:val="auto"/>
        </w:rPr>
        <w:t>用水</w:t>
      </w:r>
    </w:p>
    <w:p>
      <w:pPr>
        <w:spacing w:line="360" w:lineRule="auto"/>
        <w:ind w:firstLine="482"/>
        <w:rPr>
          <w:rFonts w:ascii="Times New Roman" w:eastAsia="宋体"/>
          <w:color w:val="auto"/>
          <w:szCs w:val="22"/>
        </w:rPr>
      </w:pPr>
      <w:r>
        <w:rPr>
          <w:rFonts w:ascii="Times New Roman" w:eastAsia="宋体"/>
          <w:color w:val="auto"/>
        </w:rPr>
        <w:t>本项目劳动定员</w:t>
      </w:r>
      <w:r>
        <w:rPr>
          <w:rFonts w:hint="eastAsia" w:ascii="Times New Roman" w:eastAsia="宋体"/>
          <w:color w:val="auto"/>
        </w:rPr>
        <w:t>15</w:t>
      </w:r>
      <w:r>
        <w:rPr>
          <w:rFonts w:ascii="Times New Roman" w:eastAsia="宋体"/>
          <w:color w:val="auto"/>
        </w:rPr>
        <w:t>人，均在场区内食宿，全年</w:t>
      </w:r>
      <w:r>
        <w:rPr>
          <w:rFonts w:hint="eastAsia" w:ascii="Times New Roman" w:eastAsia="宋体"/>
          <w:color w:val="auto"/>
        </w:rPr>
        <w:t>工作320</w:t>
      </w:r>
      <w:r>
        <w:rPr>
          <w:rFonts w:ascii="Times New Roman" w:eastAsia="宋体"/>
          <w:color w:val="auto"/>
        </w:rPr>
        <w:t>天。</w:t>
      </w:r>
      <w:r>
        <w:rPr>
          <w:rFonts w:hint="eastAsia" w:ascii="Times New Roman" w:eastAsia="宋体"/>
          <w:color w:val="auto"/>
        </w:rPr>
        <w:t>根据《湖南省用水定额标准》（DB43/T 388-2020）,</w:t>
      </w:r>
      <w:r>
        <w:rPr>
          <w:rFonts w:ascii="Times New Roman" w:eastAsia="宋体"/>
          <w:color w:val="auto"/>
        </w:rPr>
        <w:t>本项目生活用水按</w:t>
      </w:r>
      <w:r>
        <w:rPr>
          <w:rFonts w:hint="eastAsia" w:ascii="Times New Roman" w:eastAsia="宋体"/>
          <w:color w:val="auto"/>
        </w:rPr>
        <w:t>145</w:t>
      </w:r>
      <w:r>
        <w:rPr>
          <w:rFonts w:ascii="Times New Roman" w:eastAsia="宋体"/>
          <w:color w:val="auto"/>
        </w:rPr>
        <w:t>L/d/人计，则生</w:t>
      </w:r>
      <w:r>
        <w:rPr>
          <w:rFonts w:ascii="Times New Roman" w:eastAsia="宋体"/>
          <w:color w:val="auto"/>
          <w:szCs w:val="22"/>
        </w:rPr>
        <w:t>活用水量为</w:t>
      </w:r>
      <w:r>
        <w:rPr>
          <w:rFonts w:hint="eastAsia" w:ascii="Times New Roman" w:eastAsia="宋体"/>
          <w:color w:val="auto"/>
          <w:szCs w:val="22"/>
        </w:rPr>
        <w:t>2.18t</w:t>
      </w:r>
      <w:r>
        <w:rPr>
          <w:rFonts w:ascii="Times New Roman" w:eastAsia="宋体"/>
          <w:color w:val="auto"/>
          <w:szCs w:val="22"/>
        </w:rPr>
        <w:t>/d，</w:t>
      </w:r>
      <w:r>
        <w:rPr>
          <w:rFonts w:hint="eastAsia" w:ascii="Times New Roman" w:eastAsia="宋体"/>
          <w:color w:val="auto"/>
          <w:szCs w:val="22"/>
        </w:rPr>
        <w:t>696t</w:t>
      </w:r>
      <w:r>
        <w:rPr>
          <w:rFonts w:ascii="Times New Roman" w:eastAsia="宋体"/>
          <w:color w:val="auto"/>
          <w:szCs w:val="22"/>
        </w:rPr>
        <w:t>/a。</w:t>
      </w:r>
    </w:p>
    <w:p>
      <w:pPr>
        <w:spacing w:line="360" w:lineRule="auto"/>
        <w:ind w:firstLine="482"/>
        <w:rPr>
          <w:rFonts w:ascii="Times New Roman" w:eastAsia="宋体"/>
          <w:color w:val="auto"/>
        </w:rPr>
      </w:pPr>
      <w:r>
        <w:rPr>
          <w:rFonts w:hint="eastAsia" w:ascii="Times New Roman" w:eastAsia="宋体"/>
          <w:color w:val="auto"/>
        </w:rPr>
        <w:t>（7）消毒用水</w:t>
      </w:r>
    </w:p>
    <w:p>
      <w:pPr>
        <w:spacing w:line="360" w:lineRule="auto"/>
        <w:ind w:firstLine="482"/>
        <w:rPr>
          <w:rFonts w:ascii="Times New Roman" w:eastAsia="宋体"/>
          <w:color w:val="auto"/>
        </w:rPr>
      </w:pPr>
      <w:r>
        <w:rPr>
          <w:rFonts w:hint="eastAsia" w:ascii="Times New Roman" w:eastAsia="宋体"/>
          <w:color w:val="auto"/>
          <w:szCs w:val="22"/>
        </w:rPr>
        <w:t>消毒水主要用于进场人员、车辆，以及清舍后对鸡舍消毒。根据建设单位提供资料，每年用水量约36t，损耗增发，不外排。</w:t>
      </w:r>
    </w:p>
    <w:p>
      <w:pPr>
        <w:spacing w:line="360" w:lineRule="auto"/>
        <w:ind w:firstLine="496" w:firstLineChars="200"/>
        <w:rPr>
          <w:rFonts w:ascii="Times New Roman" w:eastAsia="宋体"/>
          <w:color w:val="auto"/>
        </w:rPr>
      </w:pPr>
      <w:r>
        <w:rPr>
          <w:rFonts w:hint="eastAsia" w:ascii="Times New Roman" w:eastAsia="宋体"/>
          <w:color w:val="auto"/>
        </w:rPr>
        <w:t>综上</w:t>
      </w:r>
      <w:r>
        <w:rPr>
          <w:rFonts w:ascii="Times New Roman" w:eastAsia="宋体"/>
          <w:color w:val="auto"/>
        </w:rPr>
        <w:t>，本项目总用水量为</w:t>
      </w:r>
      <w:r>
        <w:rPr>
          <w:rFonts w:hint="eastAsia" w:ascii="Times New Roman" w:eastAsia="宋体"/>
          <w:color w:val="auto"/>
        </w:rPr>
        <w:t>13162t</w:t>
      </w:r>
      <w:r>
        <w:rPr>
          <w:rFonts w:ascii="Times New Roman" w:eastAsia="宋体"/>
          <w:color w:val="auto"/>
        </w:rPr>
        <w:t>/a。</w:t>
      </w:r>
    </w:p>
    <w:bookmarkEnd w:id="288"/>
    <w:bookmarkEnd w:id="289"/>
    <w:p>
      <w:pPr>
        <w:spacing w:line="360" w:lineRule="auto"/>
        <w:outlineLvl w:val="3"/>
        <w:rPr>
          <w:rFonts w:ascii="Times New Roman" w:eastAsia="宋体"/>
          <w:color w:val="auto"/>
          <w:kern w:val="2"/>
        </w:rPr>
      </w:pPr>
      <w:bookmarkStart w:id="290" w:name="_Toc397509961"/>
      <w:bookmarkStart w:id="291" w:name="_Toc397698061"/>
      <w:r>
        <w:rPr>
          <w:rFonts w:hint="eastAsia" w:ascii="Times New Roman" w:eastAsia="宋体"/>
          <w:color w:val="auto"/>
          <w:kern w:val="2"/>
        </w:rPr>
        <w:t>3</w:t>
      </w:r>
      <w:r>
        <w:rPr>
          <w:rFonts w:ascii="Times New Roman" w:eastAsia="宋体"/>
          <w:color w:val="auto"/>
          <w:kern w:val="2"/>
        </w:rPr>
        <w:t>.1.7.2排水</w:t>
      </w:r>
    </w:p>
    <w:p>
      <w:pPr>
        <w:spacing w:line="360" w:lineRule="auto"/>
        <w:ind w:firstLine="496" w:firstLineChars="200"/>
        <w:rPr>
          <w:rFonts w:ascii="Times New Roman" w:eastAsia="宋体"/>
          <w:color w:val="auto"/>
        </w:rPr>
      </w:pPr>
      <w:r>
        <w:rPr>
          <w:rFonts w:ascii="Times New Roman" w:eastAsia="宋体"/>
          <w:color w:val="auto"/>
        </w:rPr>
        <w:t>厂内实行雨污分流。雨水通过</w:t>
      </w:r>
      <w:r>
        <w:rPr>
          <w:rFonts w:hint="eastAsia" w:ascii="Times New Roman" w:eastAsia="宋体"/>
          <w:color w:val="auto"/>
        </w:rPr>
        <w:t>场区</w:t>
      </w:r>
      <w:r>
        <w:rPr>
          <w:rFonts w:ascii="Times New Roman" w:eastAsia="宋体"/>
          <w:color w:val="auto"/>
        </w:rPr>
        <w:t>的雨水收集排至场外的</w:t>
      </w:r>
      <w:r>
        <w:rPr>
          <w:rFonts w:hint="eastAsia" w:ascii="Times New Roman" w:eastAsia="宋体"/>
          <w:color w:val="auto"/>
        </w:rPr>
        <w:t>鱼塘</w:t>
      </w:r>
      <w:r>
        <w:rPr>
          <w:rFonts w:ascii="Times New Roman" w:eastAsia="宋体"/>
          <w:color w:val="auto"/>
        </w:rPr>
        <w:t>。本项目废水主要为鸡舍冲洗废水、</w:t>
      </w:r>
      <w:r>
        <w:rPr>
          <w:rFonts w:hint="eastAsia" w:ascii="Times New Roman" w:eastAsia="宋体"/>
          <w:color w:val="auto"/>
        </w:rPr>
        <w:t>除臭水喷淋、</w:t>
      </w:r>
      <w:r>
        <w:rPr>
          <w:rFonts w:ascii="Times New Roman" w:eastAsia="宋体"/>
          <w:color w:val="auto"/>
        </w:rPr>
        <w:t>职工生活污水和锅炉排水。</w:t>
      </w:r>
    </w:p>
    <w:p>
      <w:pPr>
        <w:spacing w:line="360" w:lineRule="auto"/>
        <w:ind w:firstLine="496" w:firstLineChars="200"/>
        <w:rPr>
          <w:rFonts w:ascii="Times New Roman" w:eastAsia="宋体"/>
          <w:color w:val="auto"/>
        </w:rPr>
      </w:pPr>
      <w:r>
        <w:rPr>
          <w:rFonts w:hint="eastAsia" w:ascii="Times New Roman" w:eastAsia="宋体"/>
          <w:color w:val="auto"/>
        </w:rPr>
        <w:t>生活污水经化粪池预处理后，与</w:t>
      </w:r>
      <w:r>
        <w:rPr>
          <w:rFonts w:ascii="Times New Roman" w:eastAsia="宋体"/>
          <w:color w:val="auto"/>
        </w:rPr>
        <w:t>鸡舍冲洗废水</w:t>
      </w:r>
      <w:r>
        <w:rPr>
          <w:rFonts w:hint="eastAsia" w:ascii="Times New Roman" w:eastAsia="宋体"/>
          <w:color w:val="auto"/>
        </w:rPr>
        <w:t>和除臭废水分别</w:t>
      </w:r>
      <w:r>
        <w:rPr>
          <w:rFonts w:ascii="Times New Roman" w:eastAsia="宋体"/>
          <w:color w:val="auto"/>
        </w:rPr>
        <w:t>通过地下污水管道</w:t>
      </w:r>
      <w:r>
        <w:rPr>
          <w:rFonts w:hint="eastAsia" w:ascii="Times New Roman" w:eastAsia="宋体"/>
          <w:color w:val="auto"/>
        </w:rPr>
        <w:t>汇入污水沉淀池</w:t>
      </w:r>
      <w:r>
        <w:rPr>
          <w:rFonts w:ascii="Times New Roman" w:eastAsia="宋体"/>
          <w:color w:val="auto"/>
        </w:rPr>
        <w:t>，</w:t>
      </w:r>
      <w:r>
        <w:rPr>
          <w:rFonts w:hint="eastAsia" w:ascii="Times New Roman" w:eastAsia="宋体"/>
          <w:color w:val="auto"/>
        </w:rPr>
        <w:t>后由密闭槽罐车运送至公司新华养殖场污水处理设施处理；</w:t>
      </w:r>
      <w:r>
        <w:rPr>
          <w:rFonts w:ascii="Times New Roman" w:eastAsia="宋体"/>
          <w:color w:val="auto"/>
        </w:rPr>
        <w:t>锅炉</w:t>
      </w:r>
      <w:r>
        <w:rPr>
          <w:rFonts w:hint="eastAsia" w:ascii="Times New Roman" w:eastAsia="宋体"/>
          <w:color w:val="auto"/>
        </w:rPr>
        <w:t>排水</w:t>
      </w:r>
      <w:r>
        <w:rPr>
          <w:rFonts w:ascii="Times New Roman" w:eastAsia="宋体"/>
          <w:color w:val="auto"/>
        </w:rPr>
        <w:t>用于</w:t>
      </w:r>
      <w:r>
        <w:rPr>
          <w:rFonts w:hint="eastAsia" w:ascii="Times New Roman" w:eastAsia="宋体"/>
          <w:color w:val="auto"/>
        </w:rPr>
        <w:t>场区洒水抑尘</w:t>
      </w:r>
      <w:r>
        <w:rPr>
          <w:rFonts w:ascii="Times New Roman" w:eastAsia="宋体"/>
          <w:color w:val="auto"/>
        </w:rPr>
        <w:t>，不外排</w:t>
      </w:r>
      <w:r>
        <w:rPr>
          <w:rFonts w:hint="eastAsia" w:ascii="Times New Roman" w:eastAsia="宋体"/>
          <w:color w:val="auto"/>
        </w:rPr>
        <w:t>。</w:t>
      </w:r>
    </w:p>
    <w:p>
      <w:pPr>
        <w:spacing w:line="360" w:lineRule="auto"/>
        <w:ind w:firstLine="482"/>
        <w:rPr>
          <w:rFonts w:ascii="Times New Roman" w:eastAsia="宋体"/>
          <w:color w:val="auto"/>
        </w:rPr>
      </w:pPr>
      <w:r>
        <w:rPr>
          <w:rFonts w:hint="eastAsia" w:ascii="Times New Roman" w:eastAsia="宋体"/>
          <w:color w:val="auto"/>
        </w:rPr>
        <w:t>（</w:t>
      </w:r>
      <w:r>
        <w:rPr>
          <w:rFonts w:ascii="Times New Roman" w:eastAsia="宋体"/>
          <w:color w:val="auto"/>
        </w:rPr>
        <w:t>1</w:t>
      </w:r>
      <w:r>
        <w:rPr>
          <w:rFonts w:hint="eastAsia" w:ascii="Times New Roman" w:eastAsia="宋体"/>
          <w:color w:val="auto"/>
        </w:rPr>
        <w:t>）</w:t>
      </w:r>
      <w:r>
        <w:rPr>
          <w:rFonts w:ascii="Times New Roman" w:eastAsia="宋体"/>
          <w:color w:val="auto"/>
        </w:rPr>
        <w:t>鸡舍冲洗</w:t>
      </w:r>
      <w:r>
        <w:rPr>
          <w:rFonts w:hint="eastAsia" w:ascii="Times New Roman" w:eastAsia="宋体"/>
          <w:color w:val="auto"/>
        </w:rPr>
        <w:t>废</w:t>
      </w:r>
      <w:r>
        <w:rPr>
          <w:rFonts w:ascii="Times New Roman" w:eastAsia="宋体"/>
          <w:color w:val="auto"/>
        </w:rPr>
        <w:t>水</w:t>
      </w:r>
    </w:p>
    <w:p>
      <w:pPr>
        <w:spacing w:line="360" w:lineRule="auto"/>
        <w:ind w:firstLine="496" w:firstLineChars="200"/>
        <w:rPr>
          <w:rFonts w:ascii="Times New Roman" w:eastAsia="宋体"/>
          <w:color w:val="auto"/>
          <w:u w:val="single"/>
        </w:rPr>
      </w:pPr>
      <w:r>
        <w:rPr>
          <w:rFonts w:hint="eastAsia" w:ascii="Times New Roman" w:eastAsia="宋体"/>
          <w:color w:val="auto"/>
          <w:u w:val="single"/>
        </w:rPr>
        <w:t>本项目产生的鸡舍冲洗废水量为150t/次</w:t>
      </w:r>
      <w:r>
        <w:rPr>
          <w:rFonts w:ascii="Times New Roman" w:eastAsia="宋体"/>
          <w:color w:val="auto"/>
          <w:u w:val="single"/>
        </w:rPr>
        <w:t>，</w:t>
      </w:r>
      <w:r>
        <w:rPr>
          <w:rFonts w:hint="eastAsia" w:ascii="Times New Roman" w:eastAsia="宋体"/>
          <w:color w:val="auto"/>
          <w:u w:val="single"/>
        </w:rPr>
        <w:t>600</w:t>
      </w:r>
      <w:r>
        <w:rPr>
          <w:rFonts w:ascii="Times New Roman" w:eastAsia="宋体"/>
          <w:color w:val="auto"/>
          <w:u w:val="single"/>
        </w:rPr>
        <w:t>t/a</w:t>
      </w:r>
      <w:r>
        <w:rPr>
          <w:rFonts w:hint="eastAsia" w:ascii="Times New Roman" w:eastAsia="宋体"/>
          <w:color w:val="auto"/>
          <w:u w:val="single"/>
        </w:rPr>
        <w:t>。</w:t>
      </w:r>
      <w:r>
        <w:rPr>
          <w:rFonts w:ascii="Times New Roman" w:eastAsia="宋体"/>
          <w:color w:val="auto"/>
          <w:u w:val="single"/>
        </w:rPr>
        <w:t>鸡舍冲洗废水通过地下污水管道</w:t>
      </w:r>
      <w:r>
        <w:rPr>
          <w:rFonts w:hint="eastAsia" w:ascii="Times New Roman" w:eastAsia="宋体"/>
          <w:color w:val="auto"/>
          <w:u w:val="single"/>
        </w:rPr>
        <w:t>收集，</w:t>
      </w:r>
      <w:r>
        <w:rPr>
          <w:rFonts w:ascii="Times New Roman" w:eastAsia="宋体"/>
          <w:color w:val="auto"/>
          <w:u w:val="single"/>
        </w:rPr>
        <w:t>最终</w:t>
      </w:r>
      <w:r>
        <w:rPr>
          <w:rFonts w:hint="eastAsia" w:ascii="Times New Roman" w:eastAsia="宋体"/>
          <w:color w:val="auto"/>
          <w:u w:val="single"/>
        </w:rPr>
        <w:t>汇入污水沉淀池暂存</w:t>
      </w:r>
      <w:r>
        <w:rPr>
          <w:rFonts w:ascii="Times New Roman" w:eastAsia="宋体"/>
          <w:color w:val="auto"/>
          <w:u w:val="single"/>
        </w:rPr>
        <w:t>，</w:t>
      </w:r>
      <w:r>
        <w:rPr>
          <w:rFonts w:hint="eastAsia" w:ascii="Times New Roman" w:eastAsia="宋体"/>
          <w:color w:val="auto"/>
          <w:u w:val="single"/>
        </w:rPr>
        <w:t>后由密闭槽罐车运送至公司新华养殖场污水处理设施处理。</w:t>
      </w:r>
    </w:p>
    <w:p>
      <w:pPr>
        <w:spacing w:line="360" w:lineRule="auto"/>
        <w:ind w:firstLine="482"/>
        <w:rPr>
          <w:rFonts w:ascii="Times New Roman" w:eastAsia="宋体"/>
          <w:color w:val="auto"/>
        </w:rPr>
      </w:pPr>
      <w:r>
        <w:rPr>
          <w:rFonts w:hint="eastAsia" w:ascii="Times New Roman" w:eastAsia="宋体"/>
          <w:color w:val="auto"/>
        </w:rPr>
        <w:t>（</w:t>
      </w:r>
      <w:r>
        <w:rPr>
          <w:rFonts w:ascii="Times New Roman" w:eastAsia="宋体"/>
          <w:color w:val="auto"/>
        </w:rPr>
        <w:t>2</w:t>
      </w:r>
      <w:r>
        <w:rPr>
          <w:rFonts w:hint="eastAsia" w:ascii="Times New Roman" w:eastAsia="宋体"/>
          <w:color w:val="auto"/>
        </w:rPr>
        <w:t>）</w:t>
      </w:r>
      <w:r>
        <w:rPr>
          <w:rFonts w:ascii="Times New Roman" w:eastAsia="宋体"/>
          <w:color w:val="auto"/>
        </w:rPr>
        <w:t>锅炉</w:t>
      </w:r>
      <w:r>
        <w:rPr>
          <w:rFonts w:hint="eastAsia" w:ascii="Times New Roman" w:eastAsia="宋体"/>
          <w:color w:val="auto"/>
        </w:rPr>
        <w:t>排</w:t>
      </w:r>
      <w:r>
        <w:rPr>
          <w:rFonts w:ascii="Times New Roman" w:eastAsia="宋体"/>
          <w:color w:val="auto"/>
        </w:rPr>
        <w:t>水</w:t>
      </w:r>
    </w:p>
    <w:p>
      <w:pPr>
        <w:spacing w:line="360" w:lineRule="auto"/>
        <w:ind w:firstLine="496" w:firstLineChars="200"/>
        <w:rPr>
          <w:rFonts w:ascii="Times New Roman" w:eastAsia="宋体"/>
          <w:color w:val="auto"/>
          <w:u w:val="single"/>
        </w:rPr>
      </w:pPr>
      <w:r>
        <w:rPr>
          <w:rFonts w:hint="eastAsia" w:ascii="Times New Roman" w:eastAsia="宋体"/>
          <w:color w:val="auto"/>
          <w:u w:val="single"/>
          <w:lang w:val="en-US" w:eastAsia="zh-CN"/>
        </w:rPr>
        <w:t>冬季或雏鸡日龄较小时需要生物质锅炉供热。根据建设单位提供的资料，本项目锅炉用水为循环用水，定期补充水量，锅炉排水主要在供暖结束后，锅炉和管道内残余水。</w:t>
      </w:r>
      <w:r>
        <w:rPr>
          <w:rFonts w:ascii="Times New Roman" w:eastAsia="宋体"/>
          <w:color w:val="auto"/>
          <w:u w:val="single"/>
        </w:rPr>
        <w:t>根据《</w:t>
      </w:r>
      <w:r>
        <w:rPr>
          <w:rFonts w:hint="eastAsia" w:ascii="Times New Roman" w:eastAsia="宋体"/>
          <w:color w:val="auto"/>
          <w:u w:val="single"/>
        </w:rPr>
        <w:t>排放源统计调查产排污核算方法和系数手册—4430工业锅炉（热力供应）行业系数手册</w:t>
      </w:r>
      <w:r>
        <w:rPr>
          <w:rFonts w:ascii="Times New Roman" w:eastAsia="宋体"/>
          <w:color w:val="auto"/>
          <w:u w:val="single"/>
        </w:rPr>
        <w:t>》表-</w:t>
      </w:r>
      <w:r>
        <w:rPr>
          <w:rFonts w:hint="eastAsia" w:ascii="Times New Roman" w:eastAsia="宋体"/>
          <w:color w:val="auto"/>
          <w:u w:val="single"/>
        </w:rPr>
        <w:t>4430工业锅炉（热力生产和供应行业）产污系数表</w:t>
      </w:r>
      <w:r>
        <w:rPr>
          <w:rFonts w:ascii="Times New Roman" w:eastAsia="宋体"/>
          <w:color w:val="auto"/>
          <w:u w:val="single"/>
        </w:rPr>
        <w:t>，燃生物质锅炉工业废水排污系数为0.259 t/t原料，则排水量为</w:t>
      </w:r>
      <w:r>
        <w:rPr>
          <w:rFonts w:hint="eastAsia" w:ascii="Times New Roman" w:eastAsia="宋体"/>
          <w:color w:val="auto"/>
          <w:u w:val="single"/>
        </w:rPr>
        <w:t>44.03</w:t>
      </w:r>
      <w:r>
        <w:rPr>
          <w:rFonts w:ascii="Times New Roman" w:eastAsia="宋体"/>
          <w:color w:val="auto"/>
          <w:u w:val="single"/>
        </w:rPr>
        <w:t xml:space="preserve"> m</w:t>
      </w:r>
      <w:r>
        <w:rPr>
          <w:rFonts w:ascii="Times New Roman" w:eastAsia="宋体"/>
          <w:color w:val="auto"/>
          <w:u w:val="single"/>
          <w:vertAlign w:val="superscript"/>
        </w:rPr>
        <w:t>3</w:t>
      </w:r>
      <w:r>
        <w:rPr>
          <w:rFonts w:ascii="Times New Roman" w:eastAsia="宋体"/>
          <w:color w:val="auto"/>
          <w:u w:val="single"/>
        </w:rPr>
        <w:t>/a，排水中主要污染物为SS，用于场区地面洒水抑尘</w:t>
      </w:r>
      <w:r>
        <w:rPr>
          <w:rFonts w:hint="eastAsia" w:ascii="Times New Roman" w:eastAsia="宋体"/>
          <w:color w:val="auto"/>
          <w:u w:val="single"/>
        </w:rPr>
        <w:t>，不外排</w:t>
      </w:r>
      <w:r>
        <w:rPr>
          <w:rFonts w:ascii="Times New Roman" w:eastAsia="宋体"/>
          <w:color w:val="auto"/>
          <w:u w:val="single"/>
        </w:rPr>
        <w:t>。</w:t>
      </w:r>
    </w:p>
    <w:p>
      <w:pPr>
        <w:spacing w:line="360" w:lineRule="auto"/>
        <w:ind w:firstLine="482"/>
        <w:rPr>
          <w:rFonts w:ascii="Times New Roman" w:eastAsia="宋体"/>
          <w:color w:val="auto"/>
        </w:rPr>
      </w:pPr>
      <w:r>
        <w:rPr>
          <w:rFonts w:hint="eastAsia" w:ascii="Times New Roman" w:eastAsia="宋体"/>
          <w:color w:val="auto"/>
        </w:rPr>
        <w:t>（</w:t>
      </w:r>
      <w:r>
        <w:rPr>
          <w:rFonts w:ascii="Times New Roman" w:eastAsia="宋体"/>
          <w:color w:val="auto"/>
        </w:rPr>
        <w:t>3</w:t>
      </w:r>
      <w:r>
        <w:rPr>
          <w:rFonts w:hint="eastAsia" w:ascii="Times New Roman" w:eastAsia="宋体"/>
          <w:color w:val="auto"/>
        </w:rPr>
        <w:t>）职工</w:t>
      </w:r>
      <w:r>
        <w:rPr>
          <w:rFonts w:ascii="Times New Roman" w:eastAsia="宋体"/>
          <w:color w:val="auto"/>
        </w:rPr>
        <w:t>生活</w:t>
      </w:r>
      <w:r>
        <w:rPr>
          <w:rFonts w:hint="eastAsia" w:ascii="Times New Roman" w:eastAsia="宋体"/>
          <w:color w:val="auto"/>
        </w:rPr>
        <w:t>污水</w:t>
      </w:r>
    </w:p>
    <w:p>
      <w:pPr>
        <w:spacing w:line="360" w:lineRule="auto"/>
        <w:ind w:firstLine="496" w:firstLineChars="200"/>
        <w:rPr>
          <w:rFonts w:ascii="Times New Roman" w:eastAsia="宋体"/>
          <w:color w:val="auto"/>
        </w:rPr>
      </w:pPr>
      <w:r>
        <w:rPr>
          <w:rFonts w:ascii="Times New Roman" w:eastAsia="宋体"/>
          <w:color w:val="auto"/>
        </w:rPr>
        <w:t>本项目生活用水量为</w:t>
      </w:r>
      <w:r>
        <w:rPr>
          <w:rFonts w:hint="eastAsia" w:ascii="Times New Roman" w:eastAsia="宋体"/>
          <w:color w:val="auto"/>
        </w:rPr>
        <w:t>2.18t</w:t>
      </w:r>
      <w:r>
        <w:rPr>
          <w:rFonts w:ascii="Times New Roman" w:eastAsia="宋体"/>
          <w:color w:val="auto"/>
        </w:rPr>
        <w:t>/d</w:t>
      </w:r>
      <w:r>
        <w:rPr>
          <w:rFonts w:hint="eastAsia" w:ascii="Times New Roman" w:eastAsia="宋体"/>
          <w:color w:val="auto"/>
        </w:rPr>
        <w:t>，696t</w:t>
      </w:r>
      <w:r>
        <w:rPr>
          <w:rFonts w:ascii="Times New Roman" w:eastAsia="宋体"/>
          <w:color w:val="auto"/>
        </w:rPr>
        <w:t>/a</w:t>
      </w:r>
      <w:r>
        <w:rPr>
          <w:rFonts w:hint="eastAsia" w:ascii="Times New Roman" w:eastAsia="宋体"/>
          <w:color w:val="auto"/>
        </w:rPr>
        <w:t>，</w:t>
      </w:r>
      <w:r>
        <w:rPr>
          <w:rFonts w:ascii="Times New Roman" w:eastAsia="宋体"/>
          <w:color w:val="auto"/>
        </w:rPr>
        <w:t>生活污水排放量按用水量的</w:t>
      </w:r>
      <w:r>
        <w:rPr>
          <w:rFonts w:hint="eastAsia" w:ascii="Times New Roman" w:eastAsia="宋体"/>
          <w:color w:val="auto"/>
        </w:rPr>
        <w:t>8</w:t>
      </w:r>
      <w:r>
        <w:rPr>
          <w:rFonts w:ascii="Times New Roman" w:eastAsia="宋体"/>
          <w:color w:val="auto"/>
        </w:rPr>
        <w:t>0%计</w:t>
      </w:r>
      <w:r>
        <w:rPr>
          <w:rFonts w:hint="eastAsia" w:ascii="Times New Roman" w:eastAsia="宋体"/>
          <w:color w:val="auto"/>
        </w:rPr>
        <w:t>，</w:t>
      </w:r>
      <w:r>
        <w:rPr>
          <w:rFonts w:ascii="Times New Roman" w:eastAsia="宋体"/>
          <w:color w:val="auto"/>
        </w:rPr>
        <w:t>则项目职工生活污水排放量为</w:t>
      </w:r>
      <w:r>
        <w:rPr>
          <w:rFonts w:hint="eastAsia" w:ascii="Times New Roman" w:eastAsia="宋体"/>
          <w:color w:val="auto"/>
        </w:rPr>
        <w:t>1.74</w:t>
      </w:r>
      <w:r>
        <w:rPr>
          <w:rFonts w:ascii="Times New Roman" w:eastAsia="宋体"/>
          <w:color w:val="auto"/>
        </w:rPr>
        <w:t>m</w:t>
      </w:r>
      <w:r>
        <w:rPr>
          <w:rFonts w:ascii="Times New Roman" w:eastAsia="宋体"/>
          <w:color w:val="auto"/>
          <w:vertAlign w:val="superscript"/>
        </w:rPr>
        <w:t>3</w:t>
      </w:r>
      <w:r>
        <w:rPr>
          <w:rFonts w:ascii="Times New Roman" w:eastAsia="宋体"/>
          <w:color w:val="auto"/>
        </w:rPr>
        <w:t>/d，</w:t>
      </w:r>
      <w:r>
        <w:rPr>
          <w:rFonts w:hint="eastAsia" w:ascii="Times New Roman" w:eastAsia="宋体"/>
          <w:color w:val="auto"/>
        </w:rPr>
        <w:t>556.8t</w:t>
      </w:r>
      <w:r>
        <w:rPr>
          <w:rFonts w:ascii="Times New Roman" w:eastAsia="宋体"/>
          <w:color w:val="auto"/>
        </w:rPr>
        <w:t>/a</w:t>
      </w:r>
      <w:r>
        <w:rPr>
          <w:rFonts w:hint="eastAsia" w:ascii="Times New Roman" w:eastAsia="宋体"/>
          <w:color w:val="auto"/>
        </w:rPr>
        <w:t>。</w:t>
      </w:r>
      <w:r>
        <w:rPr>
          <w:rFonts w:ascii="Times New Roman" w:eastAsia="宋体"/>
          <w:color w:val="auto"/>
        </w:rPr>
        <w:t>生活污水</w:t>
      </w:r>
      <w:r>
        <w:rPr>
          <w:rFonts w:hint="eastAsia" w:ascii="Times New Roman" w:eastAsia="宋体"/>
          <w:color w:val="auto"/>
        </w:rPr>
        <w:t>经化粪池处理后</w:t>
      </w:r>
      <w:r>
        <w:rPr>
          <w:rFonts w:ascii="Times New Roman" w:eastAsia="宋体"/>
          <w:color w:val="auto"/>
        </w:rPr>
        <w:t>，通过地下污水管道</w:t>
      </w:r>
      <w:r>
        <w:rPr>
          <w:rFonts w:hint="eastAsia" w:ascii="Times New Roman" w:eastAsia="宋体"/>
          <w:color w:val="auto"/>
        </w:rPr>
        <w:t>汇入污水沉淀池</w:t>
      </w:r>
      <w:r>
        <w:rPr>
          <w:rFonts w:ascii="Times New Roman" w:eastAsia="宋体"/>
          <w:color w:val="auto"/>
        </w:rPr>
        <w:t>，</w:t>
      </w:r>
      <w:r>
        <w:rPr>
          <w:rFonts w:hint="eastAsia" w:ascii="Times New Roman" w:eastAsia="宋体"/>
          <w:color w:val="auto"/>
        </w:rPr>
        <w:t>后</w:t>
      </w:r>
      <w:r>
        <w:rPr>
          <w:rFonts w:hint="eastAsia" w:ascii="Times New Roman" w:eastAsia="宋体"/>
          <w:color w:val="auto"/>
          <w:lang w:val="en-US" w:eastAsia="zh-CN"/>
        </w:rPr>
        <w:t>由</w:t>
      </w:r>
      <w:r>
        <w:rPr>
          <w:rFonts w:hint="eastAsia" w:ascii="Times New Roman" w:eastAsia="宋体"/>
          <w:color w:val="auto"/>
        </w:rPr>
        <w:t>闭槽罐车运送至公司新华养殖场污水处理设施处理。</w:t>
      </w:r>
    </w:p>
    <w:p>
      <w:pPr>
        <w:spacing w:line="360" w:lineRule="auto"/>
        <w:ind w:firstLine="482"/>
        <w:rPr>
          <w:rFonts w:hint="eastAsia" w:ascii="Times New Roman" w:eastAsia="宋体"/>
          <w:color w:val="auto"/>
          <w:lang w:eastAsia="zh-CN"/>
        </w:rPr>
      </w:pPr>
      <w:r>
        <w:rPr>
          <w:rFonts w:hint="eastAsia" w:ascii="Times New Roman" w:eastAsia="宋体"/>
          <w:color w:val="auto"/>
        </w:rPr>
        <w:t>（4）除臭水帘</w:t>
      </w:r>
      <w:r>
        <w:rPr>
          <w:rFonts w:hint="eastAsia" w:ascii="Times New Roman" w:eastAsia="宋体"/>
          <w:color w:val="auto"/>
          <w:lang w:val="en-US" w:eastAsia="zh-CN"/>
        </w:rPr>
        <w:t>排水</w:t>
      </w:r>
    </w:p>
    <w:p>
      <w:pPr>
        <w:spacing w:line="360" w:lineRule="auto"/>
        <w:ind w:firstLine="496" w:firstLineChars="200"/>
        <w:rPr>
          <w:rFonts w:ascii="Times New Roman" w:eastAsia="宋体"/>
          <w:color w:val="auto"/>
          <w:u w:val="single"/>
        </w:rPr>
      </w:pPr>
      <w:r>
        <w:rPr>
          <w:rFonts w:hint="eastAsia" w:ascii="Times New Roman" w:eastAsia="宋体"/>
          <w:color w:val="auto"/>
          <w:u w:val="single"/>
        </w:rPr>
        <w:t>本项目鸡舍通风口采用水帘进行除臭处理，用水量240t/a，按用水量的85%计算排放量为204t/a。</w:t>
      </w:r>
    </w:p>
    <w:p>
      <w:pPr>
        <w:spacing w:line="360" w:lineRule="auto"/>
        <w:ind w:firstLine="496" w:firstLineChars="200"/>
        <w:rPr>
          <w:rFonts w:ascii="Times New Roman" w:eastAsia="宋体"/>
          <w:color w:val="auto"/>
        </w:rPr>
      </w:pPr>
      <w:r>
        <w:rPr>
          <w:rFonts w:ascii="Times New Roman" w:eastAsia="宋体"/>
          <w:color w:val="auto"/>
        </w:rPr>
        <w:t>污水收集管道不采取明沟布设，均为地下管网。</w:t>
      </w:r>
    </w:p>
    <w:bookmarkEnd w:id="290"/>
    <w:bookmarkEnd w:id="291"/>
    <w:p>
      <w:pPr>
        <w:spacing w:line="360" w:lineRule="auto"/>
        <w:outlineLvl w:val="3"/>
        <w:rPr>
          <w:rFonts w:ascii="Times New Roman" w:eastAsia="宋体"/>
          <w:color w:val="auto"/>
          <w:kern w:val="2"/>
        </w:rPr>
      </w:pPr>
      <w:bookmarkStart w:id="292" w:name="_Toc397698062"/>
      <w:bookmarkStart w:id="293" w:name="_Toc397509962"/>
      <w:r>
        <w:rPr>
          <w:rFonts w:hint="eastAsia" w:ascii="Times New Roman" w:eastAsia="宋体"/>
          <w:color w:val="auto"/>
          <w:kern w:val="2"/>
        </w:rPr>
        <w:t>3</w:t>
      </w:r>
      <w:r>
        <w:rPr>
          <w:rFonts w:ascii="Times New Roman" w:eastAsia="宋体"/>
          <w:color w:val="auto"/>
          <w:kern w:val="2"/>
        </w:rPr>
        <w:t>.1.7.3</w:t>
      </w:r>
      <w:r>
        <w:rPr>
          <w:rFonts w:hint="eastAsia" w:ascii="Times New Roman" w:eastAsia="宋体"/>
          <w:color w:val="auto"/>
          <w:kern w:val="2"/>
        </w:rPr>
        <w:t>给排水平衡</w:t>
      </w:r>
    </w:p>
    <w:p>
      <w:pPr>
        <w:spacing w:line="360" w:lineRule="auto"/>
        <w:ind w:firstLine="496" w:firstLineChars="200"/>
        <w:rPr>
          <w:rFonts w:ascii="Times New Roman" w:eastAsia="宋体"/>
          <w:color w:val="auto"/>
        </w:rPr>
      </w:pPr>
      <w:r>
        <w:rPr>
          <w:rFonts w:ascii="Times New Roman" w:eastAsia="宋体"/>
          <w:color w:val="auto"/>
        </w:rPr>
        <w:t>项目给排水平衡见表</w:t>
      </w:r>
      <w:r>
        <w:rPr>
          <w:rFonts w:hint="eastAsia" w:ascii="Times New Roman" w:eastAsia="宋体"/>
          <w:color w:val="auto"/>
        </w:rPr>
        <w:t>3</w:t>
      </w:r>
      <w:r>
        <w:rPr>
          <w:rFonts w:ascii="Times New Roman" w:eastAsia="宋体"/>
          <w:color w:val="auto"/>
        </w:rPr>
        <w:t>.1-6，水平衡图见图</w:t>
      </w:r>
      <w:r>
        <w:rPr>
          <w:rFonts w:hint="eastAsia" w:ascii="Times New Roman" w:eastAsia="宋体"/>
          <w:color w:val="auto"/>
        </w:rPr>
        <w:t>3</w:t>
      </w:r>
      <w:r>
        <w:rPr>
          <w:rFonts w:ascii="Times New Roman" w:eastAsia="宋体"/>
          <w:color w:val="auto"/>
        </w:rPr>
        <w:t>.1.1。</w:t>
      </w:r>
    </w:p>
    <w:tbl>
      <w:tblPr>
        <w:tblStyle w:val="47"/>
        <w:tblpPr w:leftFromText="180" w:rightFromText="180" w:vertAnchor="text" w:horzAnchor="page" w:tblpX="1819" w:tblpY="267"/>
        <w:tblOverlap w:val="never"/>
        <w:tblW w:w="5001"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36"/>
        <w:gridCol w:w="1304"/>
        <w:gridCol w:w="1321"/>
        <w:gridCol w:w="1360"/>
        <w:gridCol w:w="28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960" w:type="pct"/>
            <w:tcBorders>
              <w:tl2br w:val="nil"/>
              <w:tr2bl w:val="nil"/>
            </w:tcBorders>
            <w:vAlign w:val="center"/>
          </w:tcPr>
          <w:p>
            <w:pPr>
              <w:jc w:val="center"/>
              <w:rPr>
                <w:rFonts w:ascii="Times New Roman" w:eastAsia="宋体"/>
                <w:b/>
                <w:bCs/>
                <w:color w:val="auto"/>
                <w:sz w:val="21"/>
                <w:szCs w:val="21"/>
                <w:u w:val="single"/>
              </w:rPr>
            </w:pPr>
            <w:r>
              <w:rPr>
                <w:rFonts w:ascii="Times New Roman" w:eastAsia="宋体"/>
                <w:b/>
                <w:bCs/>
                <w:color w:val="auto"/>
                <w:sz w:val="21"/>
                <w:szCs w:val="21"/>
                <w:u w:val="single"/>
              </w:rPr>
              <w:t>项目</w:t>
            </w:r>
          </w:p>
        </w:tc>
        <w:tc>
          <w:tcPr>
            <w:tcW w:w="765" w:type="pct"/>
            <w:tcBorders>
              <w:tl2br w:val="nil"/>
              <w:tr2bl w:val="nil"/>
            </w:tcBorders>
            <w:vAlign w:val="center"/>
          </w:tcPr>
          <w:p>
            <w:pPr>
              <w:jc w:val="center"/>
              <w:rPr>
                <w:rFonts w:ascii="Times New Roman" w:eastAsia="宋体"/>
                <w:b/>
                <w:bCs/>
                <w:color w:val="auto"/>
                <w:sz w:val="21"/>
                <w:szCs w:val="21"/>
                <w:u w:val="single"/>
              </w:rPr>
            </w:pPr>
            <w:r>
              <w:rPr>
                <w:rFonts w:ascii="Times New Roman" w:eastAsia="宋体"/>
                <w:b/>
                <w:bCs/>
                <w:color w:val="auto"/>
                <w:sz w:val="21"/>
                <w:szCs w:val="21"/>
                <w:u w:val="single"/>
              </w:rPr>
              <w:t>新鲜水量（</w:t>
            </w:r>
            <w:r>
              <w:rPr>
                <w:rFonts w:ascii="Times New Roman" w:eastAsia="宋体"/>
                <w:b/>
                <w:color w:val="auto"/>
                <w:sz w:val="21"/>
                <w:szCs w:val="21"/>
                <w:u w:val="single"/>
              </w:rPr>
              <w:t>m</w:t>
            </w:r>
            <w:r>
              <w:rPr>
                <w:rFonts w:ascii="Times New Roman" w:eastAsia="宋体"/>
                <w:b/>
                <w:color w:val="auto"/>
                <w:sz w:val="21"/>
                <w:szCs w:val="21"/>
                <w:u w:val="single"/>
                <w:vertAlign w:val="superscript"/>
              </w:rPr>
              <w:t>3</w:t>
            </w:r>
            <w:r>
              <w:rPr>
                <w:rFonts w:ascii="Times New Roman" w:eastAsia="宋体"/>
                <w:b/>
                <w:color w:val="auto"/>
                <w:sz w:val="21"/>
                <w:szCs w:val="21"/>
                <w:u w:val="single"/>
              </w:rPr>
              <w:t>/a</w:t>
            </w:r>
            <w:r>
              <w:rPr>
                <w:rFonts w:ascii="Times New Roman" w:eastAsia="宋体"/>
                <w:b/>
                <w:bCs/>
                <w:color w:val="auto"/>
                <w:sz w:val="21"/>
                <w:szCs w:val="21"/>
                <w:u w:val="single"/>
              </w:rPr>
              <w:t>）</w:t>
            </w:r>
          </w:p>
        </w:tc>
        <w:tc>
          <w:tcPr>
            <w:tcW w:w="775" w:type="pct"/>
            <w:tcBorders>
              <w:tl2br w:val="nil"/>
              <w:tr2bl w:val="nil"/>
            </w:tcBorders>
            <w:vAlign w:val="center"/>
          </w:tcPr>
          <w:p>
            <w:pPr>
              <w:jc w:val="center"/>
              <w:rPr>
                <w:rFonts w:ascii="Times New Roman" w:eastAsia="宋体"/>
                <w:b/>
                <w:bCs/>
                <w:color w:val="auto"/>
                <w:sz w:val="21"/>
                <w:szCs w:val="21"/>
                <w:u w:val="single"/>
              </w:rPr>
            </w:pPr>
            <w:r>
              <w:rPr>
                <w:rFonts w:ascii="Times New Roman" w:eastAsia="宋体"/>
                <w:b/>
                <w:bCs/>
                <w:color w:val="auto"/>
                <w:sz w:val="21"/>
                <w:szCs w:val="21"/>
                <w:u w:val="single"/>
              </w:rPr>
              <w:t>损失量（</w:t>
            </w:r>
            <w:r>
              <w:rPr>
                <w:rFonts w:ascii="Times New Roman" w:eastAsia="宋体"/>
                <w:b/>
                <w:color w:val="auto"/>
                <w:sz w:val="21"/>
                <w:szCs w:val="21"/>
                <w:u w:val="single"/>
              </w:rPr>
              <w:t>m</w:t>
            </w:r>
            <w:r>
              <w:rPr>
                <w:rFonts w:ascii="Times New Roman" w:eastAsia="宋体"/>
                <w:b/>
                <w:color w:val="auto"/>
                <w:sz w:val="21"/>
                <w:szCs w:val="21"/>
                <w:u w:val="single"/>
                <w:vertAlign w:val="superscript"/>
              </w:rPr>
              <w:t>3</w:t>
            </w:r>
            <w:r>
              <w:rPr>
                <w:rFonts w:ascii="Times New Roman" w:eastAsia="宋体"/>
                <w:b/>
                <w:color w:val="auto"/>
                <w:sz w:val="21"/>
                <w:szCs w:val="21"/>
                <w:u w:val="single"/>
              </w:rPr>
              <w:t>/a</w:t>
            </w:r>
            <w:r>
              <w:rPr>
                <w:rFonts w:ascii="Times New Roman" w:eastAsia="宋体"/>
                <w:b/>
                <w:bCs/>
                <w:color w:val="auto"/>
                <w:sz w:val="21"/>
                <w:szCs w:val="21"/>
                <w:u w:val="single"/>
              </w:rPr>
              <w:t>）</w:t>
            </w:r>
          </w:p>
        </w:tc>
        <w:tc>
          <w:tcPr>
            <w:tcW w:w="798" w:type="pct"/>
            <w:tcBorders>
              <w:tl2br w:val="nil"/>
              <w:tr2bl w:val="nil"/>
            </w:tcBorders>
            <w:vAlign w:val="center"/>
          </w:tcPr>
          <w:p>
            <w:pPr>
              <w:jc w:val="center"/>
              <w:rPr>
                <w:rFonts w:ascii="Times New Roman" w:eastAsia="宋体"/>
                <w:b/>
                <w:bCs/>
                <w:color w:val="auto"/>
                <w:sz w:val="21"/>
                <w:szCs w:val="21"/>
                <w:u w:val="single"/>
              </w:rPr>
            </w:pPr>
            <w:r>
              <w:rPr>
                <w:rFonts w:ascii="Times New Roman" w:eastAsia="宋体"/>
                <w:b/>
                <w:bCs/>
                <w:color w:val="auto"/>
                <w:sz w:val="21"/>
                <w:szCs w:val="21"/>
                <w:u w:val="single"/>
              </w:rPr>
              <w:t>排放量（</w:t>
            </w:r>
            <w:r>
              <w:rPr>
                <w:rFonts w:ascii="Times New Roman" w:eastAsia="宋体"/>
                <w:b/>
                <w:color w:val="auto"/>
                <w:sz w:val="21"/>
                <w:szCs w:val="21"/>
                <w:u w:val="single"/>
              </w:rPr>
              <w:t>m</w:t>
            </w:r>
            <w:r>
              <w:rPr>
                <w:rFonts w:ascii="Times New Roman" w:eastAsia="宋体"/>
                <w:b/>
                <w:color w:val="auto"/>
                <w:sz w:val="21"/>
                <w:szCs w:val="21"/>
                <w:u w:val="single"/>
                <w:vertAlign w:val="superscript"/>
              </w:rPr>
              <w:t>3</w:t>
            </w:r>
            <w:r>
              <w:rPr>
                <w:rFonts w:ascii="Times New Roman" w:eastAsia="宋体"/>
                <w:b/>
                <w:color w:val="auto"/>
                <w:sz w:val="21"/>
                <w:szCs w:val="21"/>
                <w:u w:val="single"/>
              </w:rPr>
              <w:t>/a</w:t>
            </w:r>
            <w:r>
              <w:rPr>
                <w:rFonts w:ascii="Times New Roman" w:eastAsia="宋体"/>
                <w:b/>
                <w:bCs/>
                <w:color w:val="auto"/>
                <w:sz w:val="21"/>
                <w:szCs w:val="21"/>
                <w:u w:val="single"/>
              </w:rPr>
              <w:t>）</w:t>
            </w:r>
          </w:p>
        </w:tc>
        <w:tc>
          <w:tcPr>
            <w:tcW w:w="1700" w:type="pct"/>
            <w:tcBorders>
              <w:tl2br w:val="nil"/>
              <w:tr2bl w:val="nil"/>
            </w:tcBorders>
            <w:vAlign w:val="center"/>
          </w:tcPr>
          <w:p>
            <w:pPr>
              <w:jc w:val="center"/>
              <w:rPr>
                <w:rFonts w:ascii="Times New Roman" w:eastAsia="宋体"/>
                <w:b/>
                <w:bCs/>
                <w:color w:val="auto"/>
                <w:sz w:val="21"/>
                <w:szCs w:val="21"/>
                <w:u w:val="single"/>
              </w:rPr>
            </w:pPr>
            <w:r>
              <w:rPr>
                <w:rFonts w:ascii="Times New Roman" w:eastAsia="宋体"/>
                <w:b/>
                <w:bCs/>
                <w:color w:val="auto"/>
                <w:sz w:val="21"/>
                <w:szCs w:val="21"/>
                <w:u w:val="singl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鸡饮用水</w:t>
            </w:r>
          </w:p>
        </w:tc>
        <w:tc>
          <w:tcPr>
            <w:tcW w:w="76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13568</w:t>
            </w:r>
          </w:p>
        </w:tc>
        <w:tc>
          <w:tcPr>
            <w:tcW w:w="77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13568</w:t>
            </w:r>
          </w:p>
        </w:tc>
        <w:tc>
          <w:tcPr>
            <w:tcW w:w="798"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0</w:t>
            </w:r>
          </w:p>
        </w:tc>
        <w:tc>
          <w:tcPr>
            <w:tcW w:w="170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70%鸡吸收，30%随鸡粪处理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鸡舍冲洗水</w:t>
            </w:r>
          </w:p>
        </w:tc>
        <w:tc>
          <w:tcPr>
            <w:tcW w:w="76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706</w:t>
            </w:r>
          </w:p>
        </w:tc>
        <w:tc>
          <w:tcPr>
            <w:tcW w:w="77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106</w:t>
            </w:r>
          </w:p>
        </w:tc>
        <w:tc>
          <w:tcPr>
            <w:tcW w:w="798"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600</w:t>
            </w:r>
          </w:p>
        </w:tc>
        <w:tc>
          <w:tcPr>
            <w:tcW w:w="170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排放量按用水量的85%计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鸡舍降温用水</w:t>
            </w:r>
          </w:p>
        </w:tc>
        <w:tc>
          <w:tcPr>
            <w:tcW w:w="76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1395</w:t>
            </w:r>
          </w:p>
        </w:tc>
        <w:tc>
          <w:tcPr>
            <w:tcW w:w="77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1395</w:t>
            </w:r>
          </w:p>
        </w:tc>
        <w:tc>
          <w:tcPr>
            <w:tcW w:w="798"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0</w:t>
            </w:r>
          </w:p>
        </w:tc>
        <w:tc>
          <w:tcPr>
            <w:tcW w:w="170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全部蒸发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锅炉用水</w:t>
            </w:r>
          </w:p>
        </w:tc>
        <w:tc>
          <w:tcPr>
            <w:tcW w:w="765"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44.03</w:t>
            </w:r>
          </w:p>
        </w:tc>
        <w:tc>
          <w:tcPr>
            <w:tcW w:w="775"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0</w:t>
            </w:r>
          </w:p>
        </w:tc>
        <w:tc>
          <w:tcPr>
            <w:tcW w:w="798" w:type="pct"/>
            <w:tcBorders>
              <w:tl2br w:val="nil"/>
              <w:tr2bl w:val="nil"/>
            </w:tcBorders>
            <w:vAlign w:val="center"/>
          </w:tcPr>
          <w:p>
            <w:pPr>
              <w:jc w:val="center"/>
              <w:rPr>
                <w:rFonts w:hint="eastAsia"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44.03</w:t>
            </w:r>
          </w:p>
        </w:tc>
        <w:tc>
          <w:tcPr>
            <w:tcW w:w="1700" w:type="pct"/>
            <w:tcBorders>
              <w:tl2br w:val="nil"/>
              <w:tr2bl w:val="nil"/>
            </w:tcBorders>
            <w:vAlign w:val="center"/>
          </w:tcPr>
          <w:p>
            <w:pPr>
              <w:jc w:val="center"/>
              <w:rPr>
                <w:rFonts w:hint="default" w:ascii="Times New Roman" w:eastAsia="宋体"/>
                <w:color w:val="auto"/>
                <w:sz w:val="21"/>
                <w:szCs w:val="21"/>
                <w:u w:val="single"/>
                <w:lang w:val="en-US" w:eastAsia="zh-CN"/>
              </w:rPr>
            </w:pPr>
            <w:r>
              <w:rPr>
                <w:rFonts w:hint="eastAsia" w:ascii="Times New Roman" w:eastAsia="宋体"/>
                <w:color w:val="auto"/>
                <w:sz w:val="21"/>
                <w:szCs w:val="21"/>
                <w:u w:val="single"/>
                <w:lang w:val="en-US" w:eastAsia="zh-CN"/>
              </w:rPr>
              <w:t>循环水量1155.97t/a,排污水用于洒水抑尘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除臭水帘用水</w:t>
            </w:r>
          </w:p>
        </w:tc>
        <w:tc>
          <w:tcPr>
            <w:tcW w:w="76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240</w:t>
            </w:r>
          </w:p>
        </w:tc>
        <w:tc>
          <w:tcPr>
            <w:tcW w:w="77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36</w:t>
            </w:r>
          </w:p>
        </w:tc>
        <w:tc>
          <w:tcPr>
            <w:tcW w:w="798"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204</w:t>
            </w:r>
          </w:p>
        </w:tc>
        <w:tc>
          <w:tcPr>
            <w:tcW w:w="170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排放量按用水量的85%计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生活用水</w:t>
            </w:r>
          </w:p>
        </w:tc>
        <w:tc>
          <w:tcPr>
            <w:tcW w:w="76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696</w:t>
            </w:r>
          </w:p>
        </w:tc>
        <w:tc>
          <w:tcPr>
            <w:tcW w:w="77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139.2</w:t>
            </w:r>
          </w:p>
        </w:tc>
        <w:tc>
          <w:tcPr>
            <w:tcW w:w="798"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556.8</w:t>
            </w:r>
          </w:p>
        </w:tc>
        <w:tc>
          <w:tcPr>
            <w:tcW w:w="170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排放量按用水量的80%计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消毒用水</w:t>
            </w:r>
          </w:p>
        </w:tc>
        <w:tc>
          <w:tcPr>
            <w:tcW w:w="76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36</w:t>
            </w:r>
          </w:p>
        </w:tc>
        <w:tc>
          <w:tcPr>
            <w:tcW w:w="775"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36</w:t>
            </w:r>
          </w:p>
        </w:tc>
        <w:tc>
          <w:tcPr>
            <w:tcW w:w="798" w:type="pct"/>
            <w:tcBorders>
              <w:tl2br w:val="nil"/>
              <w:tr2bl w:val="nil"/>
            </w:tcBorders>
            <w:vAlign w:val="center"/>
          </w:tcPr>
          <w:p>
            <w:pPr>
              <w:jc w:val="center"/>
              <w:rPr>
                <w:rFonts w:ascii="Times New Roman" w:eastAsia="宋体"/>
                <w:color w:val="auto"/>
                <w:sz w:val="21"/>
                <w:szCs w:val="21"/>
                <w:u w:val="single"/>
              </w:rPr>
            </w:pPr>
            <w:r>
              <w:rPr>
                <w:rFonts w:hint="eastAsia" w:ascii="Times New Roman" w:eastAsia="宋体"/>
                <w:color w:val="auto"/>
                <w:sz w:val="21"/>
                <w:szCs w:val="21"/>
                <w:u w:val="single"/>
              </w:rPr>
              <w:t>0</w:t>
            </w:r>
          </w:p>
        </w:tc>
        <w:tc>
          <w:tcPr>
            <w:tcW w:w="170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全部蒸发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6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总计</w:t>
            </w:r>
          </w:p>
        </w:tc>
        <w:tc>
          <w:tcPr>
            <w:tcW w:w="1304" w:type="dxa"/>
            <w:tcBorders>
              <w:tl2br w:val="nil"/>
              <w:tr2bl w:val="nil"/>
            </w:tcBorders>
            <w:vAlign w:val="center"/>
          </w:tcPr>
          <w:p>
            <w:pPr>
              <w:keepNext w:val="0"/>
              <w:keepLines w:val="0"/>
              <w:widowControl/>
              <w:suppressLineNumbers w:val="0"/>
              <w:jc w:val="center"/>
              <w:textAlignment w:val="center"/>
              <w:rPr>
                <w:rFonts w:hint="default" w:ascii="Times New Roman" w:eastAsia="宋体"/>
                <w:color w:val="auto"/>
                <w:sz w:val="21"/>
                <w:szCs w:val="21"/>
                <w:u w:val="single"/>
                <w:lang w:val="en-US" w:eastAsia="zh-CN"/>
              </w:rPr>
            </w:pPr>
            <w:r>
              <w:rPr>
                <w:rFonts w:hint="default" w:ascii="Times New Roman" w:hAnsi="Times New Roman" w:eastAsia="宋体" w:cs="Times New Roman"/>
                <w:i w:val="0"/>
                <w:iCs w:val="0"/>
                <w:color w:val="000000"/>
                <w:kern w:val="0"/>
                <w:sz w:val="21"/>
                <w:szCs w:val="21"/>
                <w:u w:val="single"/>
                <w:lang w:val="en-US" w:eastAsia="zh-CN" w:bidi="ar"/>
              </w:rPr>
              <w:t>16685.03</w:t>
            </w:r>
          </w:p>
        </w:tc>
        <w:tc>
          <w:tcPr>
            <w:tcW w:w="1321" w:type="dxa"/>
            <w:tcBorders>
              <w:tl2br w:val="nil"/>
              <w:tr2bl w:val="nil"/>
            </w:tcBorders>
            <w:vAlign w:val="center"/>
          </w:tcPr>
          <w:p>
            <w:pPr>
              <w:keepNext w:val="0"/>
              <w:keepLines w:val="0"/>
              <w:widowControl/>
              <w:suppressLineNumbers w:val="0"/>
              <w:jc w:val="center"/>
              <w:textAlignment w:val="center"/>
              <w:rPr>
                <w:rFonts w:hint="default" w:ascii="Times New Roman" w:eastAsia="宋体"/>
                <w:color w:val="auto"/>
                <w:sz w:val="21"/>
                <w:szCs w:val="21"/>
                <w:u w:val="single"/>
                <w:lang w:val="en-US"/>
              </w:rPr>
            </w:pPr>
            <w:r>
              <w:rPr>
                <w:rFonts w:hint="default" w:ascii="Times New Roman" w:hAnsi="Times New Roman" w:eastAsia="宋体" w:cs="Times New Roman"/>
                <w:i w:val="0"/>
                <w:iCs w:val="0"/>
                <w:color w:val="000000"/>
                <w:kern w:val="0"/>
                <w:sz w:val="21"/>
                <w:szCs w:val="21"/>
                <w:u w:val="single"/>
                <w:lang w:val="en-US" w:eastAsia="zh-CN" w:bidi="ar"/>
              </w:rPr>
              <w:t>15280.2</w:t>
            </w:r>
          </w:p>
        </w:tc>
        <w:tc>
          <w:tcPr>
            <w:tcW w:w="1360" w:type="dxa"/>
            <w:tcBorders>
              <w:tl2br w:val="nil"/>
              <w:tr2bl w:val="nil"/>
            </w:tcBorders>
            <w:vAlign w:val="center"/>
          </w:tcPr>
          <w:p>
            <w:pPr>
              <w:keepNext w:val="0"/>
              <w:keepLines w:val="0"/>
              <w:widowControl/>
              <w:suppressLineNumbers w:val="0"/>
              <w:jc w:val="center"/>
              <w:textAlignment w:val="center"/>
              <w:rPr>
                <w:rFonts w:hint="default" w:ascii="Times New Roman" w:eastAsia="宋体"/>
                <w:color w:val="auto"/>
                <w:sz w:val="21"/>
                <w:szCs w:val="21"/>
                <w:u w:val="single"/>
                <w:lang w:val="en-US"/>
              </w:rPr>
            </w:pPr>
            <w:r>
              <w:rPr>
                <w:rFonts w:hint="default" w:ascii="Times New Roman" w:hAnsi="Times New Roman" w:eastAsia="宋体" w:cs="Times New Roman"/>
                <w:i w:val="0"/>
                <w:iCs w:val="0"/>
                <w:color w:val="000000"/>
                <w:kern w:val="0"/>
                <w:sz w:val="21"/>
                <w:szCs w:val="21"/>
                <w:u w:val="single"/>
                <w:lang w:val="en-US" w:eastAsia="zh-CN" w:bidi="ar"/>
              </w:rPr>
              <w:t>1404.83</w:t>
            </w:r>
          </w:p>
        </w:tc>
        <w:tc>
          <w:tcPr>
            <w:tcW w:w="1700" w:type="pct"/>
            <w:tcBorders>
              <w:tl2br w:val="nil"/>
              <w:tr2bl w:val="nil"/>
            </w:tcBorders>
            <w:vAlign w:val="center"/>
          </w:tcPr>
          <w:p>
            <w:pPr>
              <w:jc w:val="center"/>
              <w:rPr>
                <w:rFonts w:ascii="Times New Roman" w:eastAsia="宋体"/>
                <w:color w:val="auto"/>
                <w:sz w:val="21"/>
                <w:szCs w:val="21"/>
                <w:u w:val="single"/>
              </w:rPr>
            </w:pPr>
            <w:r>
              <w:rPr>
                <w:rFonts w:ascii="Times New Roman" w:eastAsia="宋体"/>
                <w:color w:val="auto"/>
                <w:sz w:val="21"/>
                <w:szCs w:val="21"/>
                <w:u w:val="single"/>
              </w:rPr>
              <w:t>/</w:t>
            </w:r>
          </w:p>
        </w:tc>
      </w:tr>
    </w:tbl>
    <w:p>
      <w:pPr>
        <w:pStyle w:val="192"/>
        <w:spacing w:beforeLines="50" w:line="0" w:lineRule="atLeast"/>
        <w:ind w:firstLine="0" w:firstLineChars="0"/>
        <w:rPr>
          <w:rFonts w:ascii="Times New Roman" w:eastAsia="宋体"/>
          <w:color w:val="auto"/>
          <w:sz w:val="21"/>
          <w:szCs w:val="21"/>
        </w:rPr>
      </w:pPr>
      <w:r>
        <w:rPr>
          <w:rFonts w:ascii="Times New Roman" w:eastAsia="宋体"/>
          <w:color w:val="auto"/>
          <w:sz w:val="21"/>
          <w:szCs w:val="21"/>
        </w:rPr>
        <w:t>表</w:t>
      </w:r>
      <w:r>
        <w:rPr>
          <w:rFonts w:hint="eastAsia" w:ascii="Times New Roman" w:eastAsia="宋体"/>
          <w:color w:val="auto"/>
          <w:sz w:val="21"/>
          <w:szCs w:val="21"/>
        </w:rPr>
        <w:t>3</w:t>
      </w:r>
      <w:r>
        <w:rPr>
          <w:rFonts w:ascii="Times New Roman" w:eastAsia="宋体"/>
          <w:color w:val="auto"/>
          <w:sz w:val="21"/>
          <w:szCs w:val="21"/>
        </w:rPr>
        <w:t>.1-6水平衡表</w:t>
      </w:r>
    </w:p>
    <w:p>
      <w:pPr>
        <w:pStyle w:val="264"/>
        <w:spacing w:before="0" w:after="0" w:line="360" w:lineRule="auto"/>
        <w:ind w:left="0" w:firstLine="0" w:firstLineChars="0"/>
        <w:rPr>
          <w:color w:val="auto"/>
        </w:rPr>
      </w:pPr>
      <w:r>
        <w:rPr>
          <w:color w:val="auto"/>
        </w:rPr>
        <w:drawing>
          <wp:inline distT="0" distB="0" distL="114300" distR="114300">
            <wp:extent cx="5498465" cy="4676140"/>
            <wp:effectExtent l="0" t="0" r="0" b="0"/>
            <wp:docPr id="1" name="ECB019B1-382A-4266-B25C-5B523AA43C14-1" descr="C:/Users/Votte/AppData/Local/Temp/wps.IzGSYP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Votte/AppData/Local/Temp/wps.IzGSYPwps"/>
                    <pic:cNvPicPr>
                      <a:picLocks noChangeAspect="1"/>
                    </pic:cNvPicPr>
                  </pic:nvPicPr>
                  <pic:blipFill>
                    <a:blip r:embed="rId24"/>
                    <a:stretch>
                      <a:fillRect/>
                    </a:stretch>
                  </pic:blipFill>
                  <pic:spPr>
                    <a:xfrm>
                      <a:off x="0" y="0"/>
                      <a:ext cx="5498465" cy="4676140"/>
                    </a:xfrm>
                    <a:prstGeom prst="rect">
                      <a:avLst/>
                    </a:prstGeom>
                  </pic:spPr>
                </pic:pic>
              </a:graphicData>
            </a:graphic>
          </wp:inline>
        </w:drawing>
      </w:r>
    </w:p>
    <w:p>
      <w:pPr>
        <w:pStyle w:val="264"/>
        <w:spacing w:before="0" w:after="0" w:line="360" w:lineRule="auto"/>
        <w:ind w:left="0" w:firstLine="0" w:firstLineChars="0"/>
        <w:jc w:val="center"/>
        <w:rPr>
          <w:rFonts w:ascii="Times New Roman" w:hAnsi="Times New Roman"/>
          <w:b/>
          <w:bCs w:val="0"/>
          <w:color w:val="auto"/>
          <w:sz w:val="21"/>
          <w:szCs w:val="21"/>
        </w:rPr>
      </w:pPr>
      <w:r>
        <w:rPr>
          <w:color w:val="auto"/>
        </w:rPr>
        <mc:AlternateContent>
          <mc:Choice Requires="wps">
            <w:drawing>
              <wp:anchor distT="0" distB="0" distL="114300" distR="114300" simplePos="0" relativeHeight="251704320" behindDoc="0" locked="0" layoutInCell="1" allowOverlap="1">
                <wp:simplePos x="0" y="0"/>
                <wp:positionH relativeFrom="column">
                  <wp:posOffset>2565400</wp:posOffset>
                </wp:positionH>
                <wp:positionV relativeFrom="paragraph">
                  <wp:posOffset>4638675</wp:posOffset>
                </wp:positionV>
                <wp:extent cx="497840" cy="300990"/>
                <wp:effectExtent l="0" t="0" r="16510" b="3810"/>
                <wp:wrapNone/>
                <wp:docPr id="104" name="文本框 84"/>
                <wp:cNvGraphicFramePr/>
                <a:graphic xmlns:a="http://schemas.openxmlformats.org/drawingml/2006/main">
                  <a:graphicData uri="http://schemas.microsoft.com/office/word/2010/wordprocessingShape">
                    <wps:wsp>
                      <wps:cNvSpPr txBox="1"/>
                      <wps:spPr>
                        <a:xfrm>
                          <a:off x="0" y="0"/>
                          <a:ext cx="497840" cy="300990"/>
                        </a:xfrm>
                        <a:prstGeom prst="rect">
                          <a:avLst/>
                        </a:prstGeom>
                        <a:solidFill>
                          <a:srgbClr val="FFFFFF"/>
                        </a:solidFill>
                        <a:ln w="6350">
                          <a:noFill/>
                        </a:ln>
                      </wps:spPr>
                      <wps:txbx>
                        <w:txbxContent>
                          <w:p>
                            <w:pPr>
                              <w:rPr>
                                <w:sz w:val="21"/>
                                <w:szCs w:val="16"/>
                              </w:rPr>
                            </w:pPr>
                            <w:r>
                              <w:rPr>
                                <w:rFonts w:hint="eastAsia"/>
                                <w:sz w:val="21"/>
                                <w:szCs w:val="16"/>
                              </w:rPr>
                              <w:t>36</w:t>
                            </w:r>
                          </w:p>
                        </w:txbxContent>
                      </wps:txbx>
                      <wps:bodyPr upright="1"/>
                    </wps:wsp>
                  </a:graphicData>
                </a:graphic>
              </wp:anchor>
            </w:drawing>
          </mc:Choice>
          <mc:Fallback>
            <w:pict>
              <v:shape id="文本框 84" o:spid="_x0000_s1026" o:spt="202" type="#_x0000_t202" style="position:absolute;left:0pt;margin-left:202pt;margin-top:365.25pt;height:23.7pt;width:39.2pt;z-index:251704320;mso-width-relative:page;mso-height-relative:page;" fillcolor="#FFFFFF" filled="t" stroked="f" coordsize="21600,21600" o:gfxdata="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HavWfWAAAACwEAAA8AAAAAAAAAAQAgAAAAIgAAAGRycy9k&#10;b3ducmV2LnhtbFBLAQIUABQAAAAIAIdO4kAu/X90ywEAAIIDAAAOAAAAAAAAAAEAIAAAACUBAABk&#10;cnMvZTJvRG9jLnhtbFBLBQYAAAAABgAGAFkBAABiBQAAAAA=&#10;">
                <v:fill on="t" focussize="0,0"/>
                <v:stroke on="f" weight="0.5pt"/>
                <v:imagedata o:title=""/>
                <o:lock v:ext="edit" aspectratio="f"/>
                <v:textbox>
                  <w:txbxContent>
                    <w:p>
                      <w:pPr>
                        <w:rPr>
                          <w:sz w:val="21"/>
                          <w:szCs w:val="16"/>
                        </w:rPr>
                      </w:pPr>
                      <w:r>
                        <w:rPr>
                          <w:rFonts w:hint="eastAsia"/>
                          <w:sz w:val="21"/>
                          <w:szCs w:val="16"/>
                        </w:rPr>
                        <w:t>36</w:t>
                      </w:r>
                    </w:p>
                  </w:txbxContent>
                </v:textbox>
              </v:shape>
            </w:pict>
          </mc:Fallback>
        </mc:AlternateContent>
      </w:r>
      <w:r>
        <w:rPr>
          <w:color w:val="auto"/>
        </w:rPr>
        <mc:AlternateContent>
          <mc:Choice Requires="wps">
            <w:drawing>
              <wp:anchor distT="0" distB="0" distL="114300" distR="114300" simplePos="0" relativeHeight="251703296" behindDoc="0" locked="0" layoutInCell="1" allowOverlap="1">
                <wp:simplePos x="0" y="0"/>
                <wp:positionH relativeFrom="column">
                  <wp:posOffset>2299970</wp:posOffset>
                </wp:positionH>
                <wp:positionV relativeFrom="paragraph">
                  <wp:posOffset>4809490</wp:posOffset>
                </wp:positionV>
                <wp:extent cx="280670" cy="152400"/>
                <wp:effectExtent l="2540" t="3175" r="2540" b="15875"/>
                <wp:wrapNone/>
                <wp:docPr id="103" name="直接箭头连接符 82"/>
                <wp:cNvGraphicFramePr/>
                <a:graphic xmlns:a="http://schemas.openxmlformats.org/drawingml/2006/main">
                  <a:graphicData uri="http://schemas.microsoft.com/office/word/2010/wordprocessingShape">
                    <wps:wsp>
                      <wps:cNvCnPr/>
                      <wps:spPr>
                        <a:xfrm flipV="1">
                          <a:off x="0" y="0"/>
                          <a:ext cx="280670" cy="152400"/>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直接箭头连接符 82" o:spid="_x0000_s1026" o:spt="32" type="#_x0000_t32" style="position:absolute;left:0pt;flip:y;margin-left:181.1pt;margin-top:378.7pt;height:12pt;width:22.1pt;z-index:251703296;mso-width-relative:page;mso-height-relative:page;" filled="f" stroked="t" coordsize="21600,21600" o:gfxdata="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IVlM62QAAAAsBAAAPAAAAAAAA&#10;AAEAIAAAACIAAABkcnMvZG93bnJldi54bWxQSwECFAAUAAAACACHTuJA5XLjXBECAAD+AwAADgAA&#10;AAAAAAABACAAAAAoAQAAZHJzL2Uyb0RvYy54bWxQSwUGAAAAAAYABgBZAQAAqwUAAAAA&#10;">
                <v:fill on="f" focussize="0,0"/>
                <v:stroke color="#000000" joinstyle="round" endarrow="open"/>
                <v:imagedata o:title=""/>
                <o:lock v:ext="edit" aspectratio="f"/>
              </v:shape>
            </w:pict>
          </mc:Fallback>
        </mc:AlternateContent>
      </w:r>
      <w:r>
        <w:rPr>
          <w:color w:val="auto"/>
        </w:rPr>
        <mc:AlternateContent>
          <mc:Choice Requires="wps">
            <w:drawing>
              <wp:anchor distT="0" distB="0" distL="114300" distR="114300" simplePos="0" relativeHeight="251702272" behindDoc="0" locked="0" layoutInCell="1" allowOverlap="1">
                <wp:simplePos x="0" y="0"/>
                <wp:positionH relativeFrom="column">
                  <wp:posOffset>1885315</wp:posOffset>
                </wp:positionH>
                <wp:positionV relativeFrom="paragraph">
                  <wp:posOffset>4961890</wp:posOffset>
                </wp:positionV>
                <wp:extent cx="828675" cy="305435"/>
                <wp:effectExtent l="4445" t="4445" r="5080" b="13970"/>
                <wp:wrapNone/>
                <wp:docPr id="102" name="矩形 80"/>
                <wp:cNvGraphicFramePr/>
                <a:graphic xmlns:a="http://schemas.openxmlformats.org/drawingml/2006/main">
                  <a:graphicData uri="http://schemas.microsoft.com/office/word/2010/wordprocessingShape">
                    <wps:wsp>
                      <wps:cNvSpPr/>
                      <wps:spPr>
                        <a:xfrm>
                          <a:off x="0" y="0"/>
                          <a:ext cx="828675" cy="3054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color w:val="000000" w:themeColor="text1"/>
                                <w:sz w:val="21"/>
                                <w:szCs w:val="16"/>
                                <w14:textFill>
                                  <w14:solidFill>
                                    <w14:schemeClr w14:val="tx1"/>
                                  </w14:solidFill>
                                </w14:textFill>
                              </w:rPr>
                            </w:pPr>
                            <w:r>
                              <w:rPr>
                                <w:rFonts w:hint="eastAsia"/>
                                <w:color w:val="000000" w:themeColor="text1"/>
                                <w:sz w:val="21"/>
                                <w:szCs w:val="16"/>
                                <w14:textFill>
                                  <w14:solidFill>
                                    <w14:schemeClr w14:val="tx1"/>
                                  </w14:solidFill>
                                </w14:textFill>
                              </w:rPr>
                              <w:t>消毒用水</w:t>
                            </w:r>
                          </w:p>
                        </w:txbxContent>
                      </wps:txbx>
                      <wps:bodyPr anchor="ctr" anchorCtr="0" upright="1"/>
                    </wps:wsp>
                  </a:graphicData>
                </a:graphic>
              </wp:anchor>
            </w:drawing>
          </mc:Choice>
          <mc:Fallback>
            <w:pict>
              <v:rect id="矩形 80" o:spid="_x0000_s1026" o:spt="1" style="position:absolute;left:0pt;margin-left:148.45pt;margin-top:390.7pt;height:24.05pt;width:65.25pt;z-index:251702272;v-text-anchor:middle;mso-width-relative:page;mso-height-relative:page;" fillcolor="#FFFFFF" filled="t" stroked="t" coordsize="21600,21600" o:gfxdata="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3j34i3AAAAAsBAAAPAAAAAAAA&#10;AAEAIAAAACIAAABkcnMvZG93bnJldi54bWxQSwECFAAUAAAACACHTuJAA/khIQ4CAABGBAAADgAA&#10;AAAAAAABACAAAAArAQAAZHJzL2Uyb0RvYy54bWxQSwUGAAAAAAYABgBZAQAAqwUAAAAA&#10;">
                <v:fill on="t" focussize="0,0"/>
                <v:stroke color="#000000" joinstyle="miter"/>
                <v:imagedata o:title=""/>
                <o:lock v:ext="edit" aspectratio="f"/>
                <v:textbox>
                  <w:txbxContent>
                    <w:p>
                      <w:pPr>
                        <w:jc w:val="center"/>
                        <w:rPr>
                          <w:color w:val="000000" w:themeColor="text1"/>
                          <w:sz w:val="21"/>
                          <w:szCs w:val="16"/>
                          <w14:textFill>
                            <w14:solidFill>
                              <w14:schemeClr w14:val="tx1"/>
                            </w14:solidFill>
                          </w14:textFill>
                        </w:rPr>
                      </w:pPr>
                      <w:r>
                        <w:rPr>
                          <w:rFonts w:hint="eastAsia"/>
                          <w:color w:val="000000" w:themeColor="text1"/>
                          <w:sz w:val="21"/>
                          <w:szCs w:val="16"/>
                          <w14:textFill>
                            <w14:solidFill>
                              <w14:schemeClr w14:val="tx1"/>
                            </w14:solidFill>
                          </w14:textFill>
                        </w:rPr>
                        <w:t>消毒用水</w:t>
                      </w:r>
                    </w:p>
                  </w:txbxContent>
                </v:textbox>
              </v:rect>
            </w:pict>
          </mc:Fallback>
        </mc:AlternateContent>
      </w:r>
      <w:r>
        <w:rPr>
          <w:color w:val="auto"/>
        </w:rPr>
        <mc:AlternateContent>
          <mc:Choice Requires="wps">
            <w:drawing>
              <wp:anchor distT="0" distB="0" distL="114300" distR="114300" simplePos="0" relativeHeight="251707392" behindDoc="0" locked="0" layoutInCell="1" allowOverlap="1">
                <wp:simplePos x="0" y="0"/>
                <wp:positionH relativeFrom="column">
                  <wp:posOffset>1132840</wp:posOffset>
                </wp:positionH>
                <wp:positionV relativeFrom="paragraph">
                  <wp:posOffset>4399280</wp:posOffset>
                </wp:positionV>
                <wp:extent cx="742950" cy="686435"/>
                <wp:effectExtent l="4445" t="4445" r="14605" b="52070"/>
                <wp:wrapNone/>
                <wp:docPr id="106" name="肘形连接符 26"/>
                <wp:cNvGraphicFramePr/>
                <a:graphic xmlns:a="http://schemas.openxmlformats.org/drawingml/2006/main">
                  <a:graphicData uri="http://schemas.microsoft.com/office/word/2010/wordprocessingShape">
                    <wps:wsp>
                      <wps:cNvCnPr/>
                      <wps:spPr>
                        <a:xfrm>
                          <a:off x="0" y="0"/>
                          <a:ext cx="742950" cy="686435"/>
                        </a:xfrm>
                        <a:prstGeom prst="bentConnector3">
                          <a:avLst>
                            <a:gd name="adj1" fmla="val 83"/>
                          </a:avLst>
                        </a:prstGeom>
                        <a:ln w="9525" cap="flat" cmpd="sng">
                          <a:solidFill>
                            <a:srgbClr val="000000"/>
                          </a:solidFill>
                          <a:prstDash val="solid"/>
                          <a:miter/>
                          <a:headEnd type="none" w="med" len="med"/>
                          <a:tailEnd type="arrow" w="med" len="med"/>
                        </a:ln>
                      </wps:spPr>
                      <wps:bodyPr/>
                    </wps:wsp>
                  </a:graphicData>
                </a:graphic>
              </wp:anchor>
            </w:drawing>
          </mc:Choice>
          <mc:Fallback>
            <w:pict>
              <v:shape id="肘形连接符 26" o:spid="_x0000_s1026" o:spt="34" type="#_x0000_t34" style="position:absolute;left:0pt;margin-left:89.2pt;margin-top:346.4pt;height:54.05pt;width:58.5pt;z-index:251707392;mso-width-relative:page;mso-height-relative:page;" filled="f" stroked="t" coordsize="21600,21600" o:gfxdata="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NtA/1gAAAAsB&#10;AAAPAAAAAAAAAAEAIAAAACIAAABkcnMvZG93bnJldi54bWxQSwECFAAUAAAACACHTuJA9Vk9dx0C&#10;AAAeBAAADgAAAAAAAAABACAAAAAlAQAAZHJzL2Uyb0RvYy54bWxQSwUGAAAAAAYABgBZAQAAtAUA&#10;AAAA&#10;" adj="18">
                <v:fill on="f" focussize="0,0"/>
                <v:stroke color="#000000" joinstyle="miter" endarrow="open"/>
                <v:imagedata o:title=""/>
                <o:lock v:ext="edit" aspectratio="f"/>
              </v:shape>
            </w:pict>
          </mc:Fallback>
        </mc:AlternateContent>
      </w:r>
      <w:r>
        <w:rPr>
          <w:rFonts w:ascii="Times New Roman" w:hAnsi="Times New Roman"/>
          <w:b/>
          <w:bCs w:val="0"/>
          <w:color w:val="auto"/>
          <w:sz w:val="21"/>
          <w:szCs w:val="21"/>
        </w:rPr>
        <w:t>图</w:t>
      </w:r>
      <w:r>
        <w:rPr>
          <w:rFonts w:hint="eastAsia" w:ascii="Times New Roman" w:hAnsi="Times New Roman"/>
          <w:b/>
          <w:bCs w:val="0"/>
          <w:color w:val="auto"/>
          <w:sz w:val="21"/>
          <w:szCs w:val="21"/>
        </w:rPr>
        <w:t>3</w:t>
      </w:r>
      <w:r>
        <w:rPr>
          <w:rFonts w:ascii="Times New Roman" w:hAnsi="Times New Roman"/>
          <w:b/>
          <w:bCs w:val="0"/>
          <w:color w:val="auto"/>
          <w:sz w:val="21"/>
          <w:szCs w:val="21"/>
        </w:rPr>
        <w:t>.1.1水平衡图</w:t>
      </w:r>
      <w:r>
        <w:rPr>
          <w:rFonts w:hint="eastAsia" w:ascii="Times New Roman" w:hAnsi="Times New Roman"/>
          <w:b/>
          <w:bCs w:val="0"/>
          <w:color w:val="auto"/>
          <w:sz w:val="21"/>
          <w:szCs w:val="21"/>
          <w:lang w:eastAsia="zh-CN"/>
        </w:rPr>
        <w:t>（</w:t>
      </w:r>
      <w:r>
        <w:rPr>
          <w:rFonts w:ascii="Times New Roman" w:hAnsi="Times New Roman"/>
          <w:b/>
          <w:bCs w:val="0"/>
          <w:color w:val="auto"/>
          <w:sz w:val="21"/>
          <w:szCs w:val="21"/>
        </w:rPr>
        <w:t>单位：</w:t>
      </w:r>
      <w:r>
        <w:rPr>
          <w:rFonts w:hint="eastAsia" w:ascii="Times New Roman" w:hAnsi="Times New Roman"/>
          <w:b/>
          <w:bCs w:val="0"/>
          <w:color w:val="auto"/>
          <w:sz w:val="21"/>
          <w:szCs w:val="21"/>
        </w:rPr>
        <w:t>t</w:t>
      </w:r>
      <w:r>
        <w:rPr>
          <w:rFonts w:ascii="Times New Roman" w:hAnsi="Times New Roman"/>
          <w:b/>
          <w:bCs w:val="0"/>
          <w:color w:val="auto"/>
          <w:sz w:val="21"/>
          <w:szCs w:val="21"/>
        </w:rPr>
        <w:t>/a</w:t>
      </w:r>
      <w:r>
        <w:rPr>
          <w:rFonts w:hint="eastAsia" w:ascii="Times New Roman" w:hAnsi="Times New Roman"/>
          <w:b/>
          <w:bCs w:val="0"/>
          <w:color w:val="auto"/>
          <w:sz w:val="21"/>
          <w:szCs w:val="21"/>
          <w:lang w:eastAsia="zh-CN"/>
        </w:rPr>
        <w:t>）</w:t>
      </w:r>
    </w:p>
    <w:p>
      <w:pPr>
        <w:spacing w:line="360" w:lineRule="auto"/>
        <w:outlineLvl w:val="3"/>
        <w:rPr>
          <w:rFonts w:ascii="Times New Roman" w:eastAsia="宋体"/>
          <w:color w:val="auto"/>
          <w:kern w:val="2"/>
        </w:rPr>
      </w:pPr>
      <w:r>
        <w:rPr>
          <w:rFonts w:hint="eastAsia" w:ascii="Times New Roman" w:eastAsia="宋体"/>
          <w:color w:val="auto"/>
          <w:kern w:val="2"/>
        </w:rPr>
        <w:t>3</w:t>
      </w:r>
      <w:r>
        <w:rPr>
          <w:rFonts w:ascii="Times New Roman" w:eastAsia="宋体"/>
          <w:color w:val="auto"/>
          <w:kern w:val="2"/>
        </w:rPr>
        <w:t>.1.7.</w:t>
      </w:r>
      <w:r>
        <w:rPr>
          <w:rFonts w:hint="eastAsia" w:ascii="Times New Roman" w:eastAsia="宋体"/>
          <w:color w:val="auto"/>
          <w:kern w:val="2"/>
        </w:rPr>
        <w:t>4</w:t>
      </w:r>
      <w:r>
        <w:rPr>
          <w:rFonts w:ascii="Times New Roman" w:eastAsia="宋体"/>
          <w:color w:val="auto"/>
          <w:kern w:val="2"/>
        </w:rPr>
        <w:t>供热</w:t>
      </w:r>
    </w:p>
    <w:p>
      <w:pPr>
        <w:spacing w:line="360" w:lineRule="auto"/>
        <w:ind w:firstLine="496" w:firstLineChars="200"/>
        <w:rPr>
          <w:rFonts w:ascii="Times New Roman" w:eastAsia="宋体"/>
          <w:color w:val="auto"/>
        </w:rPr>
      </w:pPr>
      <w:r>
        <w:rPr>
          <w:rFonts w:ascii="Times New Roman" w:eastAsia="宋体"/>
          <w:color w:val="auto"/>
        </w:rPr>
        <w:t>项目新建</w:t>
      </w:r>
      <w:r>
        <w:rPr>
          <w:rFonts w:hint="eastAsia" w:ascii="Times New Roman" w:eastAsia="宋体"/>
          <w:color w:val="auto"/>
        </w:rPr>
        <w:t>2</w:t>
      </w:r>
      <w:r>
        <w:rPr>
          <w:rFonts w:ascii="Times New Roman" w:eastAsia="宋体"/>
          <w:color w:val="auto"/>
        </w:rPr>
        <w:t>台</w:t>
      </w:r>
      <w:r>
        <w:rPr>
          <w:rFonts w:hint="eastAsia" w:ascii="Times New Roman" w:eastAsia="宋体"/>
          <w:color w:val="auto"/>
        </w:rPr>
        <w:t>1t/h生物质成型燃料锅炉，</w:t>
      </w:r>
      <w:r>
        <w:rPr>
          <w:rFonts w:ascii="Times New Roman" w:eastAsia="宋体"/>
          <w:color w:val="auto"/>
        </w:rPr>
        <w:t>用于</w:t>
      </w:r>
      <w:r>
        <w:rPr>
          <w:rFonts w:hint="eastAsia" w:ascii="Times New Roman" w:eastAsia="宋体"/>
          <w:color w:val="auto"/>
        </w:rPr>
        <w:t>鸡舍</w:t>
      </w:r>
      <w:r>
        <w:rPr>
          <w:rFonts w:ascii="Times New Roman" w:eastAsia="宋体"/>
          <w:color w:val="auto"/>
        </w:rPr>
        <w:t>供热。生产供暖：鸡舍温度保持在22～30度</w:t>
      </w:r>
      <w:r>
        <w:rPr>
          <w:rFonts w:hint="eastAsia" w:ascii="Times New Roman" w:eastAsia="宋体"/>
          <w:color w:val="auto"/>
          <w:lang w:eastAsia="zh-CN"/>
        </w:rPr>
        <w:t>，</w:t>
      </w:r>
      <w:r>
        <w:rPr>
          <w:rFonts w:ascii="Times New Roman" w:eastAsia="宋体"/>
          <w:color w:val="auto"/>
        </w:rPr>
        <w:t>全年供暖天数</w:t>
      </w:r>
      <w:r>
        <w:rPr>
          <w:rFonts w:hint="eastAsia" w:ascii="Times New Roman" w:eastAsia="宋体"/>
          <w:color w:val="auto"/>
        </w:rPr>
        <w:t>5</w:t>
      </w:r>
      <w:r>
        <w:rPr>
          <w:rFonts w:ascii="Times New Roman" w:eastAsia="宋体"/>
          <w:color w:val="auto"/>
        </w:rPr>
        <w:t>0天，供暖面积</w:t>
      </w:r>
      <w:r>
        <w:rPr>
          <w:rFonts w:hint="eastAsia" w:ascii="Times New Roman" w:eastAsia="宋体"/>
          <w:color w:val="auto"/>
        </w:rPr>
        <w:t>约16740</w:t>
      </w:r>
      <w:r>
        <w:rPr>
          <w:rFonts w:ascii="Times New Roman" w:eastAsia="宋体"/>
          <w:color w:val="auto"/>
        </w:rPr>
        <w:t>m</w:t>
      </w:r>
      <w:r>
        <w:rPr>
          <w:rFonts w:ascii="Times New Roman" w:eastAsia="宋体"/>
          <w:color w:val="auto"/>
          <w:vertAlign w:val="superscript"/>
        </w:rPr>
        <w:t>2</w:t>
      </w:r>
      <w:r>
        <w:rPr>
          <w:rFonts w:ascii="Times New Roman" w:eastAsia="宋体"/>
          <w:color w:val="auto"/>
        </w:rPr>
        <w:t>（鸡舍）；项目办公</w:t>
      </w:r>
      <w:r>
        <w:rPr>
          <w:rFonts w:hint="eastAsia" w:ascii="Times New Roman" w:eastAsia="宋体"/>
          <w:color w:val="auto"/>
        </w:rPr>
        <w:t>采用电取暖</w:t>
      </w:r>
      <w:r>
        <w:rPr>
          <w:rFonts w:ascii="Times New Roman" w:eastAsia="宋体"/>
          <w:color w:val="auto"/>
        </w:rPr>
        <w:t>。</w:t>
      </w:r>
    </w:p>
    <w:p>
      <w:pPr>
        <w:spacing w:line="360" w:lineRule="auto"/>
        <w:outlineLvl w:val="3"/>
        <w:rPr>
          <w:rFonts w:ascii="Times New Roman" w:eastAsia="宋体"/>
          <w:color w:val="auto"/>
          <w:kern w:val="2"/>
        </w:rPr>
      </w:pPr>
      <w:r>
        <w:rPr>
          <w:rFonts w:hint="eastAsia" w:ascii="Times New Roman" w:eastAsia="宋体"/>
          <w:color w:val="auto"/>
          <w:kern w:val="2"/>
        </w:rPr>
        <w:t>3</w:t>
      </w:r>
      <w:r>
        <w:rPr>
          <w:rFonts w:ascii="Times New Roman" w:eastAsia="宋体"/>
          <w:color w:val="auto"/>
          <w:kern w:val="2"/>
        </w:rPr>
        <w:t>.1.7.</w:t>
      </w:r>
      <w:r>
        <w:rPr>
          <w:rFonts w:hint="eastAsia" w:ascii="Times New Roman" w:eastAsia="宋体"/>
          <w:color w:val="auto"/>
          <w:kern w:val="2"/>
        </w:rPr>
        <w:t>5</w:t>
      </w:r>
      <w:r>
        <w:rPr>
          <w:rFonts w:ascii="Times New Roman" w:eastAsia="宋体"/>
          <w:color w:val="auto"/>
          <w:kern w:val="2"/>
        </w:rPr>
        <w:t>供电</w:t>
      </w:r>
    </w:p>
    <w:p>
      <w:pPr>
        <w:spacing w:line="360" w:lineRule="auto"/>
        <w:ind w:firstLine="496" w:firstLineChars="200"/>
        <w:rPr>
          <w:rFonts w:ascii="Times New Roman" w:eastAsia="宋体"/>
          <w:color w:val="auto"/>
        </w:rPr>
      </w:pPr>
      <w:r>
        <w:rPr>
          <w:rFonts w:ascii="Times New Roman" w:eastAsia="宋体"/>
          <w:color w:val="auto"/>
        </w:rPr>
        <w:t>本工程电源由采用农村电网主供电源，厂内建设一座配电室，负责对整个场地的高低压配电，年供电量</w:t>
      </w:r>
      <w:r>
        <w:rPr>
          <w:rFonts w:hint="eastAsia" w:ascii="Times New Roman" w:eastAsia="宋体"/>
          <w:color w:val="auto"/>
        </w:rPr>
        <w:t>75</w:t>
      </w:r>
      <w:r>
        <w:rPr>
          <w:rFonts w:ascii="Times New Roman" w:eastAsia="宋体"/>
          <w:color w:val="auto"/>
        </w:rPr>
        <w:t>万千瓦时/年</w:t>
      </w:r>
      <w:r>
        <w:rPr>
          <w:rFonts w:hint="eastAsia" w:ascii="Times New Roman" w:eastAsia="宋体"/>
          <w:color w:val="auto"/>
        </w:rPr>
        <w:t>，同时</w:t>
      </w:r>
      <w:r>
        <w:rPr>
          <w:rFonts w:ascii="Times New Roman" w:eastAsia="宋体"/>
          <w:color w:val="auto"/>
        </w:rPr>
        <w:t>配</w:t>
      </w:r>
      <w:r>
        <w:rPr>
          <w:rFonts w:hint="eastAsia" w:ascii="Times New Roman" w:eastAsia="宋体"/>
          <w:color w:val="auto"/>
        </w:rPr>
        <w:t>有两台柴油发电机，</w:t>
      </w:r>
      <w:r>
        <w:rPr>
          <w:rFonts w:ascii="Times New Roman" w:eastAsia="宋体"/>
          <w:color w:val="auto"/>
        </w:rPr>
        <w:t>停电时紧急发电使用</w:t>
      </w:r>
      <w:r>
        <w:rPr>
          <w:rFonts w:hint="eastAsia" w:ascii="Times New Roman" w:eastAsia="宋体"/>
          <w:color w:val="auto"/>
        </w:rPr>
        <w:t>。</w:t>
      </w:r>
    </w:p>
    <w:p>
      <w:pPr>
        <w:spacing w:line="360" w:lineRule="auto"/>
        <w:outlineLvl w:val="3"/>
        <w:rPr>
          <w:rFonts w:ascii="Times New Roman" w:eastAsia="宋体"/>
          <w:color w:val="auto"/>
          <w:kern w:val="2"/>
        </w:rPr>
      </w:pPr>
      <w:r>
        <w:rPr>
          <w:rFonts w:hint="eastAsia" w:ascii="Times New Roman" w:eastAsia="宋体"/>
          <w:color w:val="auto"/>
          <w:kern w:val="2"/>
        </w:rPr>
        <w:t>3</w:t>
      </w:r>
      <w:r>
        <w:rPr>
          <w:rFonts w:ascii="Times New Roman" w:eastAsia="宋体"/>
          <w:color w:val="auto"/>
          <w:kern w:val="2"/>
        </w:rPr>
        <w:t>.1.7.</w:t>
      </w:r>
      <w:r>
        <w:rPr>
          <w:rFonts w:hint="eastAsia" w:ascii="Times New Roman" w:eastAsia="宋体"/>
          <w:color w:val="auto"/>
          <w:kern w:val="2"/>
        </w:rPr>
        <w:t>6</w:t>
      </w:r>
      <w:r>
        <w:rPr>
          <w:rFonts w:ascii="Times New Roman" w:eastAsia="宋体"/>
          <w:color w:val="auto"/>
          <w:kern w:val="2"/>
        </w:rPr>
        <w:t>通风工程</w:t>
      </w:r>
    </w:p>
    <w:p>
      <w:pPr>
        <w:spacing w:line="360" w:lineRule="auto"/>
        <w:ind w:firstLine="496" w:firstLineChars="200"/>
        <w:rPr>
          <w:rFonts w:ascii="Times New Roman" w:eastAsia="宋体"/>
          <w:color w:val="auto"/>
        </w:rPr>
      </w:pPr>
      <w:r>
        <w:rPr>
          <w:rFonts w:ascii="Times New Roman" w:eastAsia="宋体"/>
          <w:color w:val="auto"/>
        </w:rPr>
        <w:t>根据生产工艺要求，本项目</w:t>
      </w:r>
      <w:r>
        <w:rPr>
          <w:rFonts w:hint="eastAsia" w:ascii="Times New Roman" w:eastAsia="宋体"/>
          <w:color w:val="auto"/>
        </w:rPr>
        <w:t>每栋</w:t>
      </w:r>
      <w:r>
        <w:rPr>
          <w:rFonts w:ascii="Times New Roman" w:eastAsia="宋体"/>
          <w:color w:val="auto"/>
        </w:rPr>
        <w:t>鸡舍</w:t>
      </w:r>
      <w:r>
        <w:rPr>
          <w:rFonts w:hint="eastAsia" w:ascii="Times New Roman" w:eastAsia="宋体"/>
          <w:color w:val="auto"/>
        </w:rPr>
        <w:t>均</w:t>
      </w:r>
      <w:r>
        <w:rPr>
          <w:rFonts w:ascii="Times New Roman" w:eastAsia="宋体"/>
          <w:color w:val="auto"/>
        </w:rPr>
        <w:t>采用机械通风。</w:t>
      </w:r>
    </w:p>
    <w:bookmarkEnd w:id="292"/>
    <w:bookmarkEnd w:id="293"/>
    <w:p>
      <w:pPr>
        <w:spacing w:line="360" w:lineRule="auto"/>
        <w:outlineLvl w:val="3"/>
        <w:rPr>
          <w:rFonts w:ascii="Times New Roman" w:eastAsia="宋体"/>
          <w:color w:val="auto"/>
          <w:kern w:val="2"/>
        </w:rPr>
      </w:pPr>
      <w:bookmarkStart w:id="294" w:name="_Toc397698063"/>
      <w:r>
        <w:rPr>
          <w:rFonts w:hint="eastAsia" w:ascii="Times New Roman" w:eastAsia="宋体"/>
          <w:color w:val="auto"/>
          <w:kern w:val="2"/>
        </w:rPr>
        <w:t>3</w:t>
      </w:r>
      <w:r>
        <w:rPr>
          <w:rFonts w:ascii="Times New Roman" w:eastAsia="宋体"/>
          <w:color w:val="auto"/>
          <w:kern w:val="2"/>
        </w:rPr>
        <w:t>.1.7.</w:t>
      </w:r>
      <w:r>
        <w:rPr>
          <w:rFonts w:hint="eastAsia" w:ascii="Times New Roman" w:eastAsia="宋体"/>
          <w:color w:val="auto"/>
          <w:kern w:val="2"/>
        </w:rPr>
        <w:t>7</w:t>
      </w:r>
      <w:r>
        <w:rPr>
          <w:rFonts w:ascii="Times New Roman" w:eastAsia="宋体"/>
          <w:color w:val="auto"/>
          <w:kern w:val="2"/>
        </w:rPr>
        <w:t>储运工程</w:t>
      </w:r>
    </w:p>
    <w:p>
      <w:pPr>
        <w:spacing w:line="360" w:lineRule="auto"/>
        <w:ind w:firstLine="496" w:firstLineChars="200"/>
        <w:rPr>
          <w:rFonts w:ascii="Times New Roman" w:eastAsia="宋体"/>
          <w:color w:val="auto"/>
        </w:rPr>
      </w:pPr>
      <w:r>
        <w:rPr>
          <w:rFonts w:ascii="Times New Roman" w:eastAsia="宋体"/>
          <w:color w:val="auto"/>
        </w:rPr>
        <w:t>本项目饲料不在</w:t>
      </w:r>
      <w:r>
        <w:rPr>
          <w:rFonts w:hint="eastAsia" w:ascii="Times New Roman" w:eastAsia="宋体"/>
          <w:color w:val="auto"/>
        </w:rPr>
        <w:t>场区</w:t>
      </w:r>
      <w:r>
        <w:rPr>
          <w:rFonts w:ascii="Times New Roman" w:eastAsia="宋体"/>
          <w:color w:val="auto"/>
        </w:rPr>
        <w:t>内加工，</w:t>
      </w:r>
      <w:r>
        <w:rPr>
          <w:rFonts w:hint="eastAsia" w:ascii="Times New Roman" w:eastAsia="宋体"/>
          <w:color w:val="auto"/>
        </w:rPr>
        <w:t>由湘佳公司自产（台创园厂区）提供</w:t>
      </w:r>
      <w:r>
        <w:rPr>
          <w:rFonts w:ascii="Times New Roman" w:eastAsia="宋体"/>
          <w:color w:val="auto"/>
        </w:rPr>
        <w:t>，饲料运输工作主要由饲料</w:t>
      </w:r>
      <w:r>
        <w:rPr>
          <w:rFonts w:hint="eastAsia" w:ascii="Times New Roman" w:eastAsia="宋体"/>
          <w:color w:val="auto"/>
        </w:rPr>
        <w:t>加工厂</w:t>
      </w:r>
      <w:r>
        <w:rPr>
          <w:rFonts w:ascii="Times New Roman" w:eastAsia="宋体"/>
          <w:color w:val="auto"/>
        </w:rPr>
        <w:t>承担</w:t>
      </w:r>
      <w:r>
        <w:rPr>
          <w:rFonts w:hint="eastAsia" w:ascii="Times New Roman" w:eastAsia="宋体"/>
          <w:color w:val="auto"/>
        </w:rPr>
        <w:t>；鸡苗由湖南湘家现代农业有限公司（同为湖南湘佳集团下属子公司）现有孵化厂提供和配送；商品鸡运输为社会车辆。</w:t>
      </w:r>
    </w:p>
    <w:bookmarkEnd w:id="294"/>
    <w:p>
      <w:pPr>
        <w:pStyle w:val="4"/>
        <w:spacing w:before="0" w:after="0" w:line="360" w:lineRule="auto"/>
        <w:rPr>
          <w:rFonts w:ascii="Times New Roman" w:eastAsia="宋体"/>
          <w:b/>
          <w:bCs/>
          <w:color w:val="auto"/>
          <w:kern w:val="2"/>
          <w:sz w:val="24"/>
        </w:rPr>
      </w:pPr>
      <w:bookmarkStart w:id="295" w:name="_Toc32246"/>
      <w:r>
        <w:rPr>
          <w:rFonts w:hint="eastAsia" w:ascii="Times New Roman" w:eastAsia="宋体"/>
          <w:b/>
          <w:bCs/>
          <w:color w:val="auto"/>
          <w:kern w:val="2"/>
          <w:sz w:val="24"/>
        </w:rPr>
        <w:t>3</w:t>
      </w:r>
      <w:r>
        <w:rPr>
          <w:rFonts w:ascii="Times New Roman" w:eastAsia="宋体"/>
          <w:b/>
          <w:bCs/>
          <w:color w:val="auto"/>
          <w:kern w:val="2"/>
          <w:sz w:val="24"/>
        </w:rPr>
        <w:t>.1.8项目平面布置</w:t>
      </w:r>
      <w:bookmarkEnd w:id="295"/>
    </w:p>
    <w:p>
      <w:pPr>
        <w:spacing w:line="360" w:lineRule="auto"/>
        <w:outlineLvl w:val="3"/>
        <w:rPr>
          <w:rFonts w:ascii="Times New Roman" w:eastAsia="宋体"/>
          <w:color w:val="auto"/>
          <w:kern w:val="2"/>
        </w:rPr>
      </w:pPr>
      <w:r>
        <w:rPr>
          <w:rFonts w:hint="eastAsia" w:ascii="Times New Roman" w:eastAsia="宋体"/>
          <w:color w:val="auto"/>
          <w:kern w:val="2"/>
        </w:rPr>
        <w:t>3</w:t>
      </w:r>
      <w:r>
        <w:rPr>
          <w:rFonts w:ascii="Times New Roman" w:eastAsia="宋体"/>
          <w:color w:val="auto"/>
          <w:kern w:val="2"/>
        </w:rPr>
        <w:t>.1.8.1平面布置原则</w:t>
      </w:r>
    </w:p>
    <w:p>
      <w:pPr>
        <w:spacing w:line="360" w:lineRule="auto"/>
        <w:ind w:firstLine="496" w:firstLineChars="200"/>
        <w:rPr>
          <w:rFonts w:ascii="Times New Roman" w:eastAsia="宋体"/>
          <w:color w:val="auto"/>
        </w:rPr>
      </w:pPr>
      <w:r>
        <w:rPr>
          <w:rFonts w:ascii="Times New Roman" w:eastAsia="宋体"/>
          <w:color w:val="auto"/>
        </w:rPr>
        <w:t>本项目平面布置原则参照《畜禽养殖业污染防治技术规范》（HJ/T81-2001）中第4条相关规定，具体规定如下：</w:t>
      </w:r>
    </w:p>
    <w:p>
      <w:pPr>
        <w:spacing w:line="360" w:lineRule="auto"/>
        <w:ind w:firstLine="496" w:firstLineChars="200"/>
        <w:rPr>
          <w:rFonts w:ascii="Times New Roman" w:eastAsia="宋体"/>
          <w:color w:val="auto"/>
        </w:rPr>
      </w:pPr>
      <w:r>
        <w:rPr>
          <w:rFonts w:ascii="Times New Roman" w:eastAsia="宋体"/>
          <w:color w:val="auto"/>
        </w:rPr>
        <w:t>（1）新建、改建、扩建的畜禽养殖场应实现生产区、生活管理区的隔离，粪便污水处理和畜禽尸体焚烧炉应设在养殖场的生产区、生活管理区的常年主导风向的下风向或侧风向处；</w:t>
      </w:r>
    </w:p>
    <w:p>
      <w:pPr>
        <w:spacing w:line="360" w:lineRule="auto"/>
        <w:ind w:firstLine="496" w:firstLineChars="200"/>
        <w:rPr>
          <w:rFonts w:ascii="Times New Roman" w:eastAsia="宋体"/>
          <w:color w:val="auto"/>
        </w:rPr>
      </w:pPr>
      <w:r>
        <w:rPr>
          <w:rFonts w:ascii="Times New Roman" w:eastAsia="宋体"/>
          <w:color w:val="auto"/>
        </w:rPr>
        <w:t>（2）养殖场的排水系统应实行雨水和污水收集输送系统分离，在场区内外设置的污水收集输送系统，不得采取明沟布设；</w:t>
      </w:r>
    </w:p>
    <w:p>
      <w:pPr>
        <w:spacing w:line="360" w:lineRule="auto"/>
        <w:ind w:firstLine="496" w:firstLineChars="200"/>
        <w:rPr>
          <w:rFonts w:ascii="Times New Roman" w:eastAsia="宋体"/>
          <w:color w:val="auto"/>
        </w:rPr>
      </w:pPr>
      <w:r>
        <w:rPr>
          <w:rFonts w:ascii="Times New Roman" w:eastAsia="宋体"/>
          <w:color w:val="auto"/>
        </w:rPr>
        <w:t>（3）新建、改建、扩建的畜禽养殖场应采取干法清粪工艺，采取有效措施将粪及时、单独清出，不可与尿、污水混合排出，并将产生的粪渣及时运至贮存或处理场所，实现日产日清，采用水冲粪、水泡粪湿法清粪工艺的养殖场，要逐步改为干法清粪工艺。</w:t>
      </w:r>
    </w:p>
    <w:p>
      <w:pPr>
        <w:spacing w:line="360" w:lineRule="auto"/>
        <w:outlineLvl w:val="3"/>
        <w:rPr>
          <w:rFonts w:ascii="Times New Roman" w:eastAsia="宋体"/>
          <w:color w:val="auto"/>
          <w:kern w:val="2"/>
        </w:rPr>
      </w:pPr>
      <w:r>
        <w:rPr>
          <w:rFonts w:hint="eastAsia" w:ascii="Times New Roman" w:eastAsia="宋体"/>
          <w:color w:val="auto"/>
          <w:kern w:val="2"/>
        </w:rPr>
        <w:t>3</w:t>
      </w:r>
      <w:r>
        <w:rPr>
          <w:rFonts w:ascii="Times New Roman" w:eastAsia="宋体"/>
          <w:color w:val="auto"/>
          <w:kern w:val="2"/>
        </w:rPr>
        <w:t>.1.8.2平面布置</w:t>
      </w:r>
    </w:p>
    <w:p>
      <w:pPr>
        <w:spacing w:line="360" w:lineRule="auto"/>
        <w:ind w:firstLine="496" w:firstLineChars="200"/>
        <w:rPr>
          <w:rFonts w:ascii="Times New Roman" w:eastAsia="宋体"/>
          <w:color w:val="auto"/>
        </w:rPr>
      </w:pPr>
      <w:r>
        <w:rPr>
          <w:rFonts w:hint="eastAsia" w:ascii="Times New Roman" w:eastAsia="宋体"/>
          <w:color w:val="auto"/>
        </w:rPr>
        <w:t>根据岳阳县长期统计的风玫瑰图</w:t>
      </w:r>
      <w:r>
        <w:rPr>
          <w:rFonts w:hint="eastAsia" w:ascii="Times New Roman" w:eastAsia="宋体"/>
          <w:color w:val="auto"/>
          <w:lang w:eastAsia="zh-CN"/>
        </w:rPr>
        <w:t>，</w:t>
      </w:r>
      <w:r>
        <w:rPr>
          <w:rFonts w:ascii="Times New Roman" w:eastAsia="宋体"/>
          <w:color w:val="auto"/>
        </w:rPr>
        <w:t>项目所在地常年主导风向为</w:t>
      </w:r>
      <w:r>
        <w:rPr>
          <w:rFonts w:hint="eastAsia" w:ascii="Times New Roman" w:eastAsia="宋体"/>
          <w:color w:val="auto"/>
          <w:lang w:val="en-US" w:eastAsia="zh-CN"/>
        </w:rPr>
        <w:t>NNE</w:t>
      </w:r>
      <w:r>
        <w:rPr>
          <w:rFonts w:ascii="Times New Roman" w:eastAsia="宋体"/>
          <w:color w:val="auto"/>
        </w:rPr>
        <w:t>，冬季主导风向为偏北风，夏季主导风向为偏南风，风频最多的风向为</w:t>
      </w:r>
      <w:r>
        <w:rPr>
          <w:rFonts w:hint="eastAsia" w:ascii="Times New Roman" w:eastAsia="宋体"/>
          <w:color w:val="auto"/>
        </w:rPr>
        <w:t>东</w:t>
      </w:r>
      <w:r>
        <w:rPr>
          <w:rFonts w:ascii="Times New Roman" w:eastAsia="宋体"/>
          <w:color w:val="auto"/>
        </w:rPr>
        <w:t>北风。</w:t>
      </w:r>
    </w:p>
    <w:p>
      <w:pPr>
        <w:spacing w:line="360" w:lineRule="auto"/>
        <w:ind w:firstLine="496" w:firstLineChars="200"/>
        <w:rPr>
          <w:rFonts w:ascii="Times New Roman" w:eastAsia="宋体"/>
          <w:color w:val="auto"/>
        </w:rPr>
      </w:pPr>
      <w:r>
        <w:rPr>
          <w:rFonts w:ascii="Times New Roman" w:eastAsia="宋体"/>
          <w:color w:val="auto"/>
        </w:rPr>
        <w:t>根据场地实际情况，将</w:t>
      </w:r>
      <w:r>
        <w:rPr>
          <w:rFonts w:hint="eastAsia" w:ascii="Times New Roman" w:eastAsia="宋体"/>
          <w:color w:val="auto"/>
        </w:rPr>
        <w:t>场区</w:t>
      </w:r>
      <w:r>
        <w:rPr>
          <w:rFonts w:ascii="Times New Roman" w:eastAsia="宋体"/>
          <w:color w:val="auto"/>
        </w:rPr>
        <w:t>按功能分为饲养区</w:t>
      </w:r>
      <w:r>
        <w:rPr>
          <w:rFonts w:hint="eastAsia" w:ascii="Times New Roman" w:eastAsia="宋体"/>
          <w:color w:val="auto"/>
        </w:rPr>
        <w:t>和</w:t>
      </w:r>
      <w:r>
        <w:rPr>
          <w:rFonts w:ascii="Times New Roman" w:eastAsia="宋体"/>
          <w:color w:val="auto"/>
        </w:rPr>
        <w:t>办公区。</w:t>
      </w:r>
      <w:r>
        <w:rPr>
          <w:rFonts w:hint="eastAsia" w:ascii="Times New Roman" w:eastAsia="宋体"/>
          <w:color w:val="auto"/>
        </w:rPr>
        <w:t>场区</w:t>
      </w:r>
      <w:r>
        <w:rPr>
          <w:rFonts w:ascii="Times New Roman" w:eastAsia="宋体"/>
          <w:color w:val="auto"/>
        </w:rPr>
        <w:t>进口设置在</w:t>
      </w:r>
      <w:r>
        <w:rPr>
          <w:rFonts w:hint="eastAsia" w:ascii="Times New Roman" w:eastAsia="宋体"/>
          <w:color w:val="auto"/>
        </w:rPr>
        <w:t>南侧</w:t>
      </w:r>
      <w:r>
        <w:rPr>
          <w:rFonts w:ascii="Times New Roman" w:eastAsia="宋体"/>
          <w:color w:val="auto"/>
        </w:rPr>
        <w:t>，在进口处设置消毒通道，方便人车出入时消毒。</w:t>
      </w:r>
      <w:r>
        <w:rPr>
          <w:rFonts w:hint="eastAsia" w:ascii="Times New Roman" w:eastAsia="宋体"/>
          <w:color w:val="auto"/>
        </w:rPr>
        <w:t>污水沉淀池</w:t>
      </w:r>
      <w:r>
        <w:rPr>
          <w:rFonts w:ascii="Times New Roman" w:eastAsia="宋体"/>
          <w:color w:val="auto"/>
        </w:rPr>
        <w:t>位于</w:t>
      </w:r>
      <w:r>
        <w:rPr>
          <w:rFonts w:hint="eastAsia" w:ascii="Times New Roman" w:eastAsia="宋体"/>
          <w:color w:val="auto"/>
        </w:rPr>
        <w:t>鸡舍西侧</w:t>
      </w:r>
      <w:r>
        <w:rPr>
          <w:rFonts w:ascii="Times New Roman" w:eastAsia="宋体"/>
          <w:color w:val="auto"/>
        </w:rPr>
        <w:t>，病死鸡</w:t>
      </w:r>
      <w:r>
        <w:rPr>
          <w:rFonts w:hint="eastAsia" w:ascii="Times New Roman" w:eastAsia="宋体"/>
          <w:color w:val="auto"/>
        </w:rPr>
        <w:t>冷藏柜位于场区西南侧，</w:t>
      </w:r>
      <w:r>
        <w:rPr>
          <w:rFonts w:ascii="Times New Roman" w:eastAsia="宋体"/>
          <w:color w:val="auto"/>
        </w:rPr>
        <w:t>方便养殖区产生废物的处理。办公区位于</w:t>
      </w:r>
      <w:r>
        <w:rPr>
          <w:rFonts w:hint="eastAsia" w:ascii="Times New Roman" w:eastAsia="宋体"/>
          <w:color w:val="auto"/>
        </w:rPr>
        <w:t>场区东侧</w:t>
      </w:r>
      <w:r>
        <w:rPr>
          <w:rFonts w:ascii="Times New Roman" w:eastAsia="宋体"/>
          <w:color w:val="auto"/>
        </w:rPr>
        <w:t>。</w:t>
      </w:r>
      <w:r>
        <w:rPr>
          <w:rFonts w:hint="eastAsia" w:ascii="Times New Roman" w:eastAsia="宋体"/>
          <w:color w:val="auto"/>
        </w:rPr>
        <w:t>本</w:t>
      </w:r>
      <w:r>
        <w:rPr>
          <w:rFonts w:ascii="Times New Roman" w:eastAsia="宋体"/>
          <w:color w:val="auto"/>
        </w:rPr>
        <w:t>项目</w:t>
      </w:r>
      <w:r>
        <w:rPr>
          <w:rFonts w:hint="eastAsia" w:ascii="Times New Roman" w:eastAsia="宋体"/>
          <w:color w:val="auto"/>
        </w:rPr>
        <w:t>养殖</w:t>
      </w:r>
      <w:r>
        <w:rPr>
          <w:rFonts w:ascii="Times New Roman" w:eastAsia="宋体"/>
          <w:color w:val="auto"/>
        </w:rPr>
        <w:t>区、生活区</w:t>
      </w:r>
      <w:r>
        <w:rPr>
          <w:rFonts w:hint="eastAsia" w:ascii="Times New Roman" w:eastAsia="宋体"/>
          <w:color w:val="auto"/>
        </w:rPr>
        <w:t>分开设置</w:t>
      </w:r>
      <w:r>
        <w:rPr>
          <w:rFonts w:ascii="Times New Roman" w:eastAsia="宋体"/>
          <w:color w:val="auto"/>
        </w:rPr>
        <w:t>，</w:t>
      </w:r>
      <w:r>
        <w:rPr>
          <w:rFonts w:hint="eastAsia" w:ascii="Times New Roman" w:eastAsia="宋体"/>
          <w:color w:val="auto"/>
        </w:rPr>
        <w:t>生活管理区</w:t>
      </w:r>
      <w:r>
        <w:rPr>
          <w:rFonts w:hint="eastAsia" w:ascii="Times New Roman" w:eastAsia="宋体"/>
          <w:color w:val="auto"/>
          <w:lang w:val="en-US" w:eastAsia="zh-CN"/>
        </w:rPr>
        <w:t>位于养殖区</w:t>
      </w:r>
      <w:r>
        <w:rPr>
          <w:rFonts w:hint="eastAsia" w:ascii="Times New Roman" w:eastAsia="宋体"/>
          <w:color w:val="auto"/>
        </w:rPr>
        <w:t>常年主导风向的上风向处。</w:t>
      </w:r>
    </w:p>
    <w:p>
      <w:pPr>
        <w:spacing w:line="360" w:lineRule="auto"/>
        <w:outlineLvl w:val="3"/>
        <w:rPr>
          <w:rFonts w:ascii="Times New Roman" w:eastAsia="宋体"/>
          <w:color w:val="auto"/>
          <w:kern w:val="2"/>
        </w:rPr>
      </w:pPr>
      <w:r>
        <w:rPr>
          <w:rFonts w:hint="eastAsia" w:ascii="Times New Roman" w:eastAsia="宋体"/>
          <w:color w:val="auto"/>
          <w:kern w:val="2"/>
        </w:rPr>
        <w:t>3</w:t>
      </w:r>
      <w:r>
        <w:rPr>
          <w:rFonts w:ascii="Times New Roman" w:eastAsia="宋体"/>
          <w:color w:val="auto"/>
          <w:kern w:val="2"/>
        </w:rPr>
        <w:t>.1.8.3平面布置合理性</w:t>
      </w:r>
    </w:p>
    <w:p>
      <w:pPr>
        <w:spacing w:line="360" w:lineRule="auto"/>
        <w:ind w:firstLine="496" w:firstLineChars="200"/>
        <w:rPr>
          <w:rFonts w:ascii="Times New Roman" w:eastAsia="宋体"/>
          <w:color w:val="auto"/>
        </w:rPr>
      </w:pPr>
      <w:r>
        <w:rPr>
          <w:rFonts w:ascii="Times New Roman" w:eastAsia="宋体"/>
          <w:color w:val="auto"/>
        </w:rPr>
        <w:t>养殖场的排水实行雨污分流，均采用地下输送管道设计；项目采用干清粪工艺，鸡粪日产日清，通过自动清粪机收集</w:t>
      </w:r>
      <w:r>
        <w:rPr>
          <w:rFonts w:hint="eastAsia" w:ascii="Times New Roman" w:eastAsia="宋体"/>
          <w:color w:val="auto"/>
          <w:lang w:eastAsia="zh-CN"/>
        </w:rPr>
        <w:t>，通过传送带运输至末端打捆装袋</w:t>
      </w:r>
      <w:r>
        <w:rPr>
          <w:rFonts w:ascii="Times New Roman" w:eastAsia="宋体"/>
          <w:color w:val="auto"/>
        </w:rPr>
        <w:t>，</w:t>
      </w:r>
      <w:r>
        <w:rPr>
          <w:rFonts w:hint="eastAsia" w:ascii="Times New Roman" w:eastAsia="宋体"/>
          <w:color w:val="auto"/>
        </w:rPr>
        <w:t>暂存于</w:t>
      </w:r>
      <w:r>
        <w:rPr>
          <w:rFonts w:hint="eastAsia" w:ascii="Times New Roman" w:eastAsia="宋体"/>
          <w:color w:val="auto"/>
          <w:lang w:eastAsia="zh-CN"/>
        </w:rPr>
        <w:t>鸡舍内</w:t>
      </w:r>
      <w:r>
        <w:rPr>
          <w:rFonts w:hint="eastAsia" w:ascii="Times New Roman" w:eastAsia="宋体"/>
          <w:color w:val="auto"/>
        </w:rPr>
        <w:t>鸡粪暂</w:t>
      </w:r>
      <w:r>
        <w:rPr>
          <w:rFonts w:hint="eastAsia" w:ascii="Times New Roman" w:eastAsia="宋体"/>
          <w:color w:val="auto"/>
          <w:lang w:eastAsia="zh-CN"/>
        </w:rPr>
        <w:t>区</w:t>
      </w:r>
      <w:r>
        <w:rPr>
          <w:rFonts w:hint="eastAsia" w:ascii="Times New Roman" w:eastAsia="宋体"/>
          <w:color w:val="auto"/>
        </w:rPr>
        <w:t>，</w:t>
      </w:r>
      <w:r>
        <w:rPr>
          <w:rFonts w:hint="eastAsia" w:ascii="Times New Roman" w:eastAsia="宋体"/>
          <w:color w:val="auto"/>
          <w:lang w:eastAsia="zh-CN"/>
        </w:rPr>
        <w:t>后</w:t>
      </w:r>
      <w:r>
        <w:rPr>
          <w:rFonts w:hint="eastAsia" w:ascii="Times New Roman" w:eastAsia="宋体"/>
          <w:color w:val="auto"/>
          <w:lang w:val="en-US" w:eastAsia="zh-CN"/>
        </w:rPr>
        <w:t>定期</w:t>
      </w:r>
      <w:r>
        <w:rPr>
          <w:rFonts w:hint="eastAsia" w:ascii="Times New Roman" w:eastAsia="宋体"/>
          <w:color w:val="auto"/>
        </w:rPr>
        <w:t>由湖南春雨生物科技有限公司运走</w:t>
      </w:r>
      <w:r>
        <w:rPr>
          <w:rFonts w:ascii="Times New Roman" w:eastAsia="宋体"/>
          <w:color w:val="auto"/>
        </w:rPr>
        <w:t>。</w:t>
      </w:r>
    </w:p>
    <w:p>
      <w:pPr>
        <w:spacing w:line="360" w:lineRule="auto"/>
        <w:ind w:firstLine="496" w:firstLineChars="200"/>
        <w:rPr>
          <w:rFonts w:ascii="Times New Roman" w:eastAsia="宋体"/>
          <w:color w:val="auto"/>
        </w:rPr>
      </w:pPr>
      <w:r>
        <w:rPr>
          <w:rFonts w:ascii="Times New Roman" w:eastAsia="宋体"/>
          <w:color w:val="auto"/>
        </w:rPr>
        <w:t>本工程按照饲养的操作流程布置鸡舍、饲料塔等设施，做到功能分区明确合理，保证养殖场内物料运输距离短捷顺畅，干净道和污染道尽量不交叉，搞好绿化工作，使养殖场内部环境优美，空气清新，有利于人畜生活。</w:t>
      </w:r>
    </w:p>
    <w:p>
      <w:pPr>
        <w:spacing w:line="360" w:lineRule="auto"/>
        <w:ind w:firstLine="496" w:firstLineChars="200"/>
        <w:rPr>
          <w:rFonts w:ascii="Times New Roman" w:eastAsia="宋体"/>
          <w:color w:val="auto"/>
        </w:rPr>
        <w:sectPr>
          <w:pgSz w:w="11906" w:h="16838"/>
          <w:pgMar w:top="1440" w:right="1803" w:bottom="1440" w:left="1803" w:header="850" w:footer="992" w:gutter="0"/>
          <w:pgNumType w:fmt="decimal"/>
          <w:cols w:space="720" w:num="1"/>
          <w:docGrid w:type="linesAndChars" w:linePitch="319" w:charSpace="1724"/>
        </w:sectPr>
      </w:pPr>
      <w:r>
        <w:rPr>
          <w:rFonts w:ascii="Times New Roman" w:eastAsia="宋体"/>
          <w:color w:val="auto"/>
        </w:rPr>
        <w:t>综上所述，本项目在平面布置上生产区和非生产区功能分区布置相对独立，采用合理组织功能分区，合理布置。污染区距敏感点相对较远，尽可能减轻了恶臭气体对居民的影响因素。</w:t>
      </w:r>
      <w:r>
        <w:rPr>
          <w:rFonts w:hint="eastAsia" w:ascii="Times New Roman" w:eastAsia="宋体"/>
          <w:color w:val="auto"/>
        </w:rPr>
        <w:t>场区</w:t>
      </w:r>
      <w:r>
        <w:rPr>
          <w:rFonts w:ascii="Times New Roman" w:eastAsia="宋体"/>
          <w:color w:val="auto"/>
        </w:rPr>
        <w:t>平面布置情况见图</w:t>
      </w:r>
      <w:r>
        <w:rPr>
          <w:rFonts w:hint="eastAsia" w:ascii="Times New Roman" w:eastAsia="宋体"/>
          <w:color w:val="auto"/>
        </w:rPr>
        <w:t>3</w:t>
      </w:r>
      <w:r>
        <w:rPr>
          <w:rFonts w:ascii="Times New Roman" w:eastAsia="宋体"/>
          <w:color w:val="auto"/>
        </w:rPr>
        <w:t>.1</w:t>
      </w:r>
      <w:r>
        <w:rPr>
          <w:rFonts w:hint="eastAsia" w:ascii="Times New Roman" w:eastAsia="宋体"/>
          <w:color w:val="auto"/>
        </w:rPr>
        <w:t>.2</w:t>
      </w:r>
      <w:r>
        <w:rPr>
          <w:rFonts w:ascii="Times New Roman" w:eastAsia="宋体"/>
          <w:color w:val="auto"/>
        </w:rPr>
        <w:t>。</w:t>
      </w:r>
    </w:p>
    <w:p>
      <w:pPr>
        <w:jc w:val="center"/>
        <w:rPr>
          <w:lang w:val="en-US" w:eastAsia="zh-CN"/>
        </w:rPr>
      </w:pPr>
      <w:r>
        <w:rPr>
          <w:rFonts w:hint="eastAsia" w:ascii="Times New Roman" w:hAnsi="Times New Roman" w:eastAsia="宋体" w:cs="Times New Roman"/>
          <w:b/>
          <w:sz w:val="28"/>
          <w:szCs w:val="28"/>
          <w:lang w:val="en-US" w:eastAsia="zh-CN"/>
        </w:rPr>
        <w:drawing>
          <wp:anchor distT="0" distB="0" distL="114300" distR="114300" simplePos="0" relativeHeight="251716608" behindDoc="0" locked="0" layoutInCell="1" allowOverlap="1">
            <wp:simplePos x="0" y="0"/>
            <wp:positionH relativeFrom="column">
              <wp:posOffset>8449945</wp:posOffset>
            </wp:positionH>
            <wp:positionV relativeFrom="paragraph">
              <wp:posOffset>71755</wp:posOffset>
            </wp:positionV>
            <wp:extent cx="360680" cy="645160"/>
            <wp:effectExtent l="0" t="0" r="7620" b="2540"/>
            <wp:wrapNone/>
            <wp:docPr id="123" name="图片 3" descr="a24107915dac3cc3baa6c1c4471a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3" descr="a24107915dac3cc3baa6c1c4471a862"/>
                    <pic:cNvPicPr>
                      <a:picLocks noChangeAspect="1"/>
                    </pic:cNvPicPr>
                  </pic:nvPicPr>
                  <pic:blipFill>
                    <a:blip r:embed="rId16"/>
                    <a:stretch>
                      <a:fillRect/>
                    </a:stretch>
                  </pic:blipFill>
                  <pic:spPr>
                    <a:xfrm>
                      <a:off x="0" y="0"/>
                      <a:ext cx="360680" cy="645160"/>
                    </a:xfrm>
                    <a:prstGeom prst="rect">
                      <a:avLst/>
                    </a:prstGeom>
                    <a:noFill/>
                    <a:ln>
                      <a:noFill/>
                    </a:ln>
                  </pic:spPr>
                </pic:pic>
              </a:graphicData>
            </a:graphic>
          </wp:anchor>
        </w:drawing>
      </w:r>
      <w:r>
        <w:rPr>
          <w:color w:val="auto"/>
        </w:rPr>
        <w:drawing>
          <wp:anchor distT="0" distB="0" distL="114300" distR="114300" simplePos="0" relativeHeight="251660288" behindDoc="1" locked="0" layoutInCell="1" allowOverlap="1">
            <wp:simplePos x="0" y="0"/>
            <wp:positionH relativeFrom="column">
              <wp:posOffset>-92710</wp:posOffset>
            </wp:positionH>
            <wp:positionV relativeFrom="paragraph">
              <wp:posOffset>609600</wp:posOffset>
            </wp:positionV>
            <wp:extent cx="8135620" cy="4131310"/>
            <wp:effectExtent l="439420" t="1155700" r="441960" b="1164590"/>
            <wp:wrapNone/>
            <wp:docPr id="119" name="图片 119" descr="capture_20231008232403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capture_20231008232403010"/>
                    <pic:cNvPicPr>
                      <a:picLocks noChangeAspect="1"/>
                    </pic:cNvPicPr>
                  </pic:nvPicPr>
                  <pic:blipFill>
                    <a:blip r:embed="rId25"/>
                    <a:stretch>
                      <a:fillRect/>
                    </a:stretch>
                  </pic:blipFill>
                  <pic:spPr>
                    <a:xfrm rot="1080000">
                      <a:off x="0" y="0"/>
                      <a:ext cx="8135620" cy="4131310"/>
                    </a:xfrm>
                    <a:prstGeom prst="rect">
                      <a:avLst/>
                    </a:prstGeom>
                  </pic:spPr>
                </pic:pic>
              </a:graphicData>
            </a:graphic>
          </wp:anchor>
        </w:drawing>
      </w:r>
    </w:p>
    <w:p>
      <w:pPr>
        <w:bidi w:val="0"/>
        <w:rPr>
          <w:lang w:val="en-US" w:eastAsia="zh-CN"/>
        </w:rPr>
      </w:pPr>
    </w:p>
    <w:p>
      <w:pPr>
        <w:pStyle w:val="23"/>
        <w:rPr>
          <w:lang w:val="en-US" w:eastAsia="zh-CN"/>
        </w:rPr>
      </w:pPr>
    </w:p>
    <w:p>
      <w:pPr>
        <w:rPr>
          <w:lang w:val="en-US" w:eastAsia="zh-CN"/>
        </w:rPr>
      </w:pPr>
    </w:p>
    <w:p>
      <w:pPr>
        <w:pStyle w:val="23"/>
        <w:rPr>
          <w:lang w:val="en-US" w:eastAsia="zh-CN"/>
        </w:rPr>
      </w:pPr>
    </w:p>
    <w:p>
      <w:pPr>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r>
        <w:rPr>
          <w:color w:val="auto"/>
        </w:rPr>
        <w:drawing>
          <wp:anchor distT="0" distB="0" distL="114300" distR="114300" simplePos="0" relativeHeight="251710464" behindDoc="1" locked="0" layoutInCell="1" allowOverlap="1">
            <wp:simplePos x="0" y="0"/>
            <wp:positionH relativeFrom="column">
              <wp:posOffset>7751445</wp:posOffset>
            </wp:positionH>
            <wp:positionV relativeFrom="paragraph">
              <wp:posOffset>60325</wp:posOffset>
            </wp:positionV>
            <wp:extent cx="1036955" cy="1140460"/>
            <wp:effectExtent l="0" t="0" r="4445" b="2540"/>
            <wp:wrapNone/>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26"/>
                    <a:stretch>
                      <a:fillRect/>
                    </a:stretch>
                  </pic:blipFill>
                  <pic:spPr>
                    <a:xfrm>
                      <a:off x="0" y="0"/>
                      <a:ext cx="1036955" cy="1140460"/>
                    </a:xfrm>
                    <a:prstGeom prst="rect">
                      <a:avLst/>
                    </a:prstGeom>
                    <a:noFill/>
                    <a:ln>
                      <a:noFill/>
                    </a:ln>
                  </pic:spPr>
                </pic:pic>
              </a:graphicData>
            </a:graphic>
          </wp:anchor>
        </w:drawing>
      </w:r>
    </w:p>
    <w:p>
      <w:pPr>
        <w:bidi w:val="0"/>
        <w:rPr>
          <w:lang w:val="en-US" w:eastAsia="zh-CN"/>
        </w:rPr>
      </w:pPr>
    </w:p>
    <w:p>
      <w:pPr>
        <w:tabs>
          <w:tab w:val="left" w:pos="4710"/>
        </w:tabs>
        <w:bidi w:val="0"/>
        <w:jc w:val="left"/>
        <w:rPr>
          <w:rFonts w:hint="eastAsia"/>
          <w:lang w:val="en-US" w:eastAsia="zh-CN"/>
        </w:rPr>
      </w:pPr>
    </w:p>
    <w:p>
      <w:pPr>
        <w:tabs>
          <w:tab w:val="left" w:pos="4710"/>
        </w:tabs>
        <w:bidi w:val="0"/>
        <w:jc w:val="center"/>
        <w:rPr>
          <w:rFonts w:hint="eastAsia" w:ascii="Times New Roman" w:eastAsia="宋体"/>
          <w:b/>
          <w:bCs/>
          <w:color w:val="auto"/>
          <w:sz w:val="21"/>
          <w:szCs w:val="21"/>
        </w:rPr>
      </w:pPr>
    </w:p>
    <w:p>
      <w:pPr>
        <w:tabs>
          <w:tab w:val="left" w:pos="4710"/>
        </w:tabs>
        <w:bidi w:val="0"/>
        <w:jc w:val="center"/>
        <w:rPr>
          <w:rFonts w:hint="eastAsia" w:ascii="Times New Roman" w:eastAsia="宋体"/>
          <w:b/>
          <w:bCs/>
          <w:color w:val="auto"/>
          <w:sz w:val="21"/>
          <w:szCs w:val="21"/>
        </w:rPr>
      </w:pPr>
    </w:p>
    <w:p>
      <w:pPr>
        <w:tabs>
          <w:tab w:val="left" w:pos="4710"/>
        </w:tabs>
        <w:bidi w:val="0"/>
        <w:jc w:val="center"/>
        <w:rPr>
          <w:rFonts w:hint="eastAsia" w:ascii="Times New Roman" w:eastAsia="宋体"/>
          <w:b/>
          <w:bCs/>
          <w:color w:val="auto"/>
          <w:sz w:val="21"/>
          <w:szCs w:val="21"/>
        </w:rPr>
      </w:pPr>
    </w:p>
    <w:p>
      <w:pPr>
        <w:tabs>
          <w:tab w:val="left" w:pos="4710"/>
        </w:tabs>
        <w:bidi w:val="0"/>
        <w:jc w:val="center"/>
        <w:rPr>
          <w:lang w:val="en-US" w:eastAsia="zh-CN"/>
        </w:rPr>
        <w:sectPr>
          <w:pgSz w:w="16838" w:h="11906" w:orient="landscape"/>
          <w:pgMar w:top="1803" w:right="1440" w:bottom="1803" w:left="1440" w:header="850" w:footer="992" w:gutter="0"/>
          <w:pgNumType w:fmt="decimal"/>
          <w:cols w:space="720" w:num="1"/>
          <w:docGrid w:type="linesAndChars" w:linePitch="319" w:charSpace="1724"/>
        </w:sectPr>
      </w:pPr>
      <w:r>
        <w:rPr>
          <w:rFonts w:hint="eastAsia" w:ascii="Times New Roman" w:eastAsia="宋体"/>
          <w:b/>
          <w:bCs/>
          <w:color w:val="auto"/>
          <w:sz w:val="21"/>
          <w:szCs w:val="21"/>
        </w:rPr>
        <w:t>图3.1.21项目总平面布置示意图</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296" w:name="_Toc414"/>
      <w:bookmarkStart w:id="297" w:name="_Toc8849"/>
      <w:bookmarkStart w:id="298" w:name="_Toc5962"/>
      <w:bookmarkStart w:id="299" w:name="_Toc397698040"/>
      <w:bookmarkStart w:id="300" w:name="_Toc397762451"/>
      <w:bookmarkStart w:id="301" w:name="_Toc185231502"/>
      <w:bookmarkStart w:id="302" w:name="_Toc308032983"/>
      <w:bookmarkStart w:id="303" w:name="_Toc385331551"/>
      <w:r>
        <w:rPr>
          <w:rFonts w:hint="eastAsia" w:ascii="Times New Roman" w:hAnsi="Times New Roman" w:eastAsia="宋体"/>
          <w:color w:val="auto"/>
          <w:kern w:val="2"/>
          <w:sz w:val="28"/>
          <w:szCs w:val="28"/>
        </w:rPr>
        <w:t>3</w:t>
      </w:r>
      <w:r>
        <w:rPr>
          <w:rFonts w:ascii="Times New Roman" w:hAnsi="Times New Roman" w:eastAsia="宋体"/>
          <w:color w:val="auto"/>
          <w:kern w:val="2"/>
          <w:sz w:val="28"/>
          <w:szCs w:val="28"/>
        </w:rPr>
        <w:t>.2依托工程及依托可行性分析</w:t>
      </w:r>
      <w:bookmarkEnd w:id="296"/>
    </w:p>
    <w:p>
      <w:pPr>
        <w:adjustRightInd w:val="0"/>
        <w:snapToGrid w:val="0"/>
        <w:spacing w:line="360" w:lineRule="auto"/>
        <w:ind w:firstLine="496" w:firstLineChars="200"/>
        <w:rPr>
          <w:rFonts w:ascii="Times New Roman" w:eastAsia="宋体"/>
          <w:color w:val="auto"/>
          <w:kern w:val="2"/>
          <w:szCs w:val="24"/>
        </w:rPr>
      </w:pPr>
      <w:r>
        <w:rPr>
          <w:rFonts w:ascii="Times New Roman" w:eastAsia="宋体"/>
          <w:color w:val="auto"/>
          <w:kern w:val="2"/>
          <w:szCs w:val="24"/>
        </w:rPr>
        <w:t>本项目废水处理依托</w:t>
      </w:r>
      <w:r>
        <w:rPr>
          <w:rFonts w:hint="eastAsia" w:ascii="Times New Roman" w:eastAsia="宋体"/>
          <w:color w:val="auto"/>
          <w:kern w:val="2"/>
          <w:szCs w:val="24"/>
        </w:rPr>
        <w:t>岳阳湘佳牧业有限公司新华养殖场的</w:t>
      </w:r>
      <w:r>
        <w:rPr>
          <w:rFonts w:ascii="Times New Roman" w:eastAsia="宋体"/>
          <w:color w:val="auto"/>
          <w:kern w:val="2"/>
          <w:szCs w:val="24"/>
        </w:rPr>
        <w:t>废水处理站。本项目的依托工程以及可行性分析内容详见表3.</w:t>
      </w:r>
      <w:r>
        <w:rPr>
          <w:rFonts w:hint="eastAsia" w:ascii="Times New Roman" w:eastAsia="宋体"/>
          <w:color w:val="auto"/>
          <w:kern w:val="2"/>
          <w:szCs w:val="24"/>
        </w:rPr>
        <w:t>2</w:t>
      </w:r>
      <w:r>
        <w:rPr>
          <w:rFonts w:ascii="Times New Roman" w:eastAsia="宋体"/>
          <w:color w:val="auto"/>
          <w:kern w:val="2"/>
          <w:szCs w:val="24"/>
        </w:rPr>
        <w:t>-1。</w:t>
      </w:r>
      <w:r>
        <w:rPr>
          <w:rFonts w:hint="eastAsia" w:ascii="Times New Roman" w:eastAsia="宋体"/>
          <w:color w:val="auto"/>
          <w:kern w:val="2"/>
          <w:szCs w:val="24"/>
        </w:rPr>
        <w:t xml:space="preserve"> </w:t>
      </w:r>
    </w:p>
    <w:p>
      <w:pPr>
        <w:jc w:val="center"/>
        <w:rPr>
          <w:rFonts w:ascii="Times New Roman" w:eastAsia="宋体"/>
          <w:b/>
          <w:bCs/>
          <w:color w:val="auto"/>
          <w:sz w:val="21"/>
          <w:szCs w:val="21"/>
        </w:rPr>
      </w:pPr>
      <w:r>
        <w:rPr>
          <w:rFonts w:ascii="Times New Roman" w:eastAsia="宋体"/>
          <w:b/>
          <w:bCs/>
          <w:color w:val="auto"/>
          <w:sz w:val="21"/>
          <w:szCs w:val="21"/>
        </w:rPr>
        <w:t>表3.</w:t>
      </w:r>
      <w:r>
        <w:rPr>
          <w:rFonts w:hint="eastAsia" w:ascii="Times New Roman" w:eastAsia="宋体"/>
          <w:b/>
          <w:bCs/>
          <w:color w:val="auto"/>
          <w:sz w:val="21"/>
          <w:szCs w:val="21"/>
        </w:rPr>
        <w:t>2</w:t>
      </w:r>
      <w:r>
        <w:rPr>
          <w:rFonts w:ascii="Times New Roman" w:eastAsia="宋体"/>
          <w:b/>
          <w:bCs/>
          <w:color w:val="auto"/>
          <w:sz w:val="21"/>
          <w:szCs w:val="21"/>
        </w:rPr>
        <w:t>-1  本项目主要依托工程可行性分析一览表</w:t>
      </w:r>
    </w:p>
    <w:tbl>
      <w:tblPr>
        <w:tblStyle w:val="4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18"/>
        <w:gridCol w:w="1482"/>
        <w:gridCol w:w="57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774" w:type="pct"/>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依托公司</w:t>
            </w:r>
          </w:p>
        </w:tc>
        <w:tc>
          <w:tcPr>
            <w:tcW w:w="870" w:type="pct"/>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依托工程类别</w:t>
            </w:r>
          </w:p>
        </w:tc>
        <w:tc>
          <w:tcPr>
            <w:tcW w:w="3356" w:type="pct"/>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依托内容及可行性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774" w:type="pct"/>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岳阳湘佳牧业有限公司新华养殖场</w:t>
            </w:r>
          </w:p>
        </w:tc>
        <w:tc>
          <w:tcPr>
            <w:tcW w:w="870" w:type="pct"/>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污水处理站</w:t>
            </w:r>
          </w:p>
        </w:tc>
        <w:tc>
          <w:tcPr>
            <w:tcW w:w="3356" w:type="pct"/>
            <w:vAlign w:val="center"/>
          </w:tcPr>
          <w:p>
            <w:pPr>
              <w:numPr>
                <w:ilvl w:val="0"/>
                <w:numId w:val="7"/>
              </w:numPr>
              <w:adjustRightInd w:val="0"/>
              <w:snapToGrid w:val="0"/>
              <w:jc w:val="left"/>
              <w:rPr>
                <w:rFonts w:ascii="Times New Roman" w:eastAsia="宋体"/>
                <w:color w:val="auto"/>
                <w:sz w:val="21"/>
                <w:szCs w:val="21"/>
                <w:u w:val="single"/>
              </w:rPr>
            </w:pPr>
            <w:r>
              <w:rPr>
                <w:rFonts w:ascii="Times New Roman" w:eastAsia="宋体"/>
                <w:color w:val="auto"/>
                <w:sz w:val="21"/>
                <w:szCs w:val="21"/>
                <w:u w:val="single"/>
              </w:rPr>
              <w:t>本项目依托的</w:t>
            </w:r>
            <w:r>
              <w:rPr>
                <w:rFonts w:hint="eastAsia" w:ascii="Times New Roman" w:eastAsia="宋体"/>
                <w:color w:val="auto"/>
                <w:sz w:val="21"/>
                <w:szCs w:val="21"/>
                <w:u w:val="single"/>
              </w:rPr>
              <w:t>新华养殖场</w:t>
            </w:r>
            <w:r>
              <w:rPr>
                <w:rFonts w:ascii="Times New Roman" w:eastAsia="宋体"/>
                <w:color w:val="auto"/>
                <w:sz w:val="21"/>
                <w:szCs w:val="21"/>
                <w:u w:val="single"/>
              </w:rPr>
              <w:t>污水处理站废水处理规模约为</w:t>
            </w:r>
            <w:r>
              <w:rPr>
                <w:rFonts w:hint="eastAsia" w:ascii="Times New Roman" w:eastAsia="宋体"/>
                <w:color w:val="auto"/>
                <w:sz w:val="21"/>
                <w:szCs w:val="21"/>
                <w:u w:val="single"/>
              </w:rPr>
              <w:t>60</w:t>
            </w:r>
            <w:r>
              <w:rPr>
                <w:rFonts w:ascii="Times New Roman" w:eastAsia="宋体"/>
                <w:color w:val="auto"/>
                <w:sz w:val="21"/>
                <w:szCs w:val="21"/>
                <w:u w:val="single"/>
              </w:rPr>
              <w:t>m³/d，</w:t>
            </w:r>
            <w:r>
              <w:rPr>
                <w:rFonts w:hint="eastAsia" w:ascii="Times New Roman" w:eastAsia="宋体"/>
                <w:color w:val="auto"/>
                <w:sz w:val="21"/>
                <w:szCs w:val="21"/>
                <w:u w:val="single"/>
              </w:rPr>
              <w:t>除处理新华养殖场废水，还接纳前进养殖场废水。新华养殖场和前进养殖场均为岳阳湘佳牧业有限公司的肉鸡养殖场，废水产生量均为</w:t>
            </w:r>
            <w:r>
              <w:rPr>
                <w:rFonts w:hint="eastAsia" w:ascii="Times New Roman" w:eastAsia="宋体"/>
                <w:color w:val="auto"/>
                <w:sz w:val="21"/>
                <w:szCs w:val="21"/>
                <w:u w:val="single"/>
                <w:lang w:val="en-US" w:eastAsia="zh-CN"/>
              </w:rPr>
              <w:t>5</w:t>
            </w:r>
            <w:r>
              <w:rPr>
                <w:rFonts w:hint="eastAsia" w:ascii="Times New Roman" w:eastAsia="宋体"/>
                <w:color w:val="auto"/>
                <w:sz w:val="21"/>
                <w:szCs w:val="21"/>
                <w:u w:val="single"/>
              </w:rPr>
              <w:t>m</w:t>
            </w:r>
            <w:r>
              <w:rPr>
                <w:rFonts w:ascii="Times New Roman" w:eastAsia="宋体"/>
                <w:color w:val="auto"/>
                <w:sz w:val="21"/>
                <w:szCs w:val="21"/>
                <w:u w:val="single"/>
                <w:vertAlign w:val="superscript"/>
              </w:rPr>
              <w:t>3</w:t>
            </w:r>
            <w:r>
              <w:rPr>
                <w:rFonts w:hint="eastAsia" w:ascii="Times New Roman" w:eastAsia="宋体"/>
                <w:color w:val="auto"/>
                <w:sz w:val="21"/>
                <w:szCs w:val="21"/>
                <w:u w:val="single"/>
              </w:rPr>
              <w:t>/d。新华养殖场养殖废水为连续性处理，前进养殖场根据养殖周期批次运送至废水处理站处理（约</w:t>
            </w:r>
            <w:r>
              <w:rPr>
                <w:rFonts w:hint="eastAsia" w:ascii="Times New Roman" w:eastAsia="宋体"/>
                <w:color w:val="auto"/>
                <w:sz w:val="21"/>
                <w:szCs w:val="21"/>
                <w:u w:val="single"/>
                <w:lang w:val="en-US" w:eastAsia="zh-CN"/>
              </w:rPr>
              <w:t>3</w:t>
            </w:r>
            <w:r>
              <w:rPr>
                <w:rFonts w:hint="eastAsia" w:ascii="Times New Roman" w:eastAsia="宋体"/>
                <w:color w:val="auto"/>
                <w:sz w:val="21"/>
                <w:szCs w:val="21"/>
                <w:u w:val="single"/>
              </w:rPr>
              <w:t>00m</w:t>
            </w:r>
            <w:r>
              <w:rPr>
                <w:rFonts w:hint="eastAsia" w:ascii="Times New Roman" w:eastAsia="宋体"/>
                <w:color w:val="auto"/>
                <w:sz w:val="21"/>
                <w:szCs w:val="21"/>
                <w:u w:val="single"/>
                <w:vertAlign w:val="superscript"/>
              </w:rPr>
              <w:t>3</w:t>
            </w:r>
            <w:r>
              <w:rPr>
                <w:rFonts w:hint="eastAsia" w:ascii="Times New Roman" w:eastAsia="宋体"/>
                <w:color w:val="auto"/>
                <w:sz w:val="21"/>
                <w:szCs w:val="21"/>
                <w:u w:val="single"/>
              </w:rPr>
              <w:t>/批次*4次）。</w:t>
            </w:r>
            <w:r>
              <w:rPr>
                <w:rFonts w:hint="eastAsia" w:ascii="Times New Roman" w:eastAsia="宋体"/>
                <w:color w:val="auto"/>
                <w:sz w:val="21"/>
                <w:szCs w:val="21"/>
                <w:u w:val="single"/>
                <w:lang w:val="en-US" w:eastAsia="zh-CN"/>
              </w:rPr>
              <w:t>本</w:t>
            </w:r>
            <w:r>
              <w:rPr>
                <w:rFonts w:ascii="Times New Roman" w:eastAsia="宋体"/>
                <w:color w:val="auto"/>
                <w:sz w:val="21"/>
                <w:szCs w:val="21"/>
                <w:u w:val="single"/>
              </w:rPr>
              <w:t>项目生产废水产生量约</w:t>
            </w:r>
            <w:r>
              <w:rPr>
                <w:rFonts w:hint="eastAsia" w:ascii="Times New Roman" w:eastAsia="宋体"/>
                <w:color w:val="auto"/>
                <w:sz w:val="21"/>
                <w:szCs w:val="21"/>
                <w:u w:val="single"/>
              </w:rPr>
              <w:t>为1360.8t/a</w:t>
            </w:r>
            <w:r>
              <w:rPr>
                <w:rFonts w:ascii="Times New Roman" w:eastAsia="宋体"/>
                <w:color w:val="auto"/>
                <w:sz w:val="21"/>
                <w:szCs w:val="21"/>
                <w:u w:val="single"/>
              </w:rPr>
              <w:t>，</w:t>
            </w:r>
            <w:r>
              <w:rPr>
                <w:rFonts w:hint="eastAsia" w:ascii="Times New Roman" w:eastAsia="宋体"/>
                <w:color w:val="auto"/>
                <w:sz w:val="21"/>
                <w:szCs w:val="21"/>
                <w:u w:val="single"/>
              </w:rPr>
              <w:t>产生频率低（四次/年，340.2t/批次）</w:t>
            </w:r>
            <w:r>
              <w:rPr>
                <w:rFonts w:hint="eastAsia" w:ascii="Times New Roman" w:eastAsia="宋体"/>
                <w:color w:val="auto"/>
                <w:sz w:val="21"/>
                <w:szCs w:val="21"/>
                <w:u w:val="single"/>
                <w:lang w:eastAsia="zh-CN"/>
              </w:rPr>
              <w:t>，</w:t>
            </w:r>
            <w:r>
              <w:rPr>
                <w:rFonts w:hint="eastAsia" w:ascii="Times New Roman" w:eastAsia="宋体"/>
                <w:color w:val="auto"/>
                <w:sz w:val="21"/>
                <w:szCs w:val="21"/>
                <w:u w:val="single"/>
                <w:lang w:val="en-US" w:eastAsia="zh-CN"/>
              </w:rPr>
              <w:t>污水处理站调节池750m</w:t>
            </w:r>
            <w:r>
              <w:rPr>
                <w:rFonts w:hint="eastAsia" w:ascii="Times New Roman" w:eastAsia="宋体"/>
                <w:color w:val="auto"/>
                <w:sz w:val="21"/>
                <w:szCs w:val="21"/>
                <w:u w:val="single"/>
                <w:vertAlign w:val="superscript"/>
                <w:lang w:val="en-US" w:eastAsia="zh-CN"/>
              </w:rPr>
              <w:t>3</w:t>
            </w:r>
            <w:r>
              <w:rPr>
                <w:rFonts w:hint="eastAsia" w:ascii="Times New Roman" w:eastAsia="宋体"/>
                <w:color w:val="auto"/>
                <w:sz w:val="21"/>
                <w:szCs w:val="21"/>
                <w:u w:val="single"/>
                <w:vertAlign w:val="baseline"/>
                <w:lang w:val="en-US" w:eastAsia="zh-CN"/>
              </w:rPr>
              <w:t>，满足每栏次废水的一次性接纳，废水处理时间约需6天</w:t>
            </w:r>
            <w:r>
              <w:rPr>
                <w:rFonts w:hint="eastAsia" w:ascii="Times New Roman" w:eastAsia="宋体"/>
                <w:color w:val="auto"/>
                <w:sz w:val="21"/>
                <w:szCs w:val="21"/>
                <w:u w:val="single"/>
              </w:rPr>
              <w:t>。本项目和前进养殖场废水均为分批集中处置，且清舍周期较长（约30d），公司可通过统一调度</w:t>
            </w:r>
            <w:r>
              <w:rPr>
                <w:rFonts w:hint="eastAsia" w:ascii="Times New Roman" w:eastAsia="宋体"/>
                <w:color w:val="auto"/>
                <w:sz w:val="21"/>
                <w:szCs w:val="21"/>
                <w:u w:val="single"/>
                <w:lang w:val="en-US" w:eastAsia="zh-CN"/>
              </w:rPr>
              <w:t>两个养殖场的废水</w:t>
            </w:r>
            <w:r>
              <w:rPr>
                <w:rFonts w:hint="eastAsia" w:ascii="Times New Roman" w:eastAsia="宋体"/>
                <w:color w:val="auto"/>
                <w:sz w:val="21"/>
                <w:szCs w:val="21"/>
                <w:u w:val="single"/>
              </w:rPr>
              <w:t>进行错峰处置。</w:t>
            </w:r>
          </w:p>
          <w:p>
            <w:pPr>
              <w:numPr>
                <w:ilvl w:val="0"/>
                <w:numId w:val="7"/>
              </w:numPr>
              <w:adjustRightInd w:val="0"/>
              <w:snapToGrid w:val="0"/>
              <w:jc w:val="left"/>
              <w:rPr>
                <w:rFonts w:ascii="Times New Roman" w:eastAsia="宋体"/>
                <w:color w:val="auto"/>
                <w:sz w:val="21"/>
                <w:szCs w:val="21"/>
              </w:rPr>
            </w:pPr>
            <w:r>
              <w:rPr>
                <w:rFonts w:ascii="Times New Roman" w:eastAsia="宋体"/>
                <w:color w:val="auto"/>
                <w:sz w:val="21"/>
                <w:szCs w:val="21"/>
              </w:rPr>
              <w:t>项目废水处理采用“</w:t>
            </w:r>
            <w:r>
              <w:rPr>
                <w:rFonts w:hint="eastAsia" w:ascii="Times New Roman" w:eastAsia="宋体"/>
                <w:color w:val="auto"/>
                <w:sz w:val="21"/>
                <w:szCs w:val="21"/>
              </w:rPr>
              <w:t>沉淀</w:t>
            </w:r>
            <w:r>
              <w:rPr>
                <w:rFonts w:ascii="Times New Roman" w:eastAsia="宋体"/>
                <w:color w:val="auto"/>
                <w:sz w:val="21"/>
                <w:szCs w:val="21"/>
              </w:rPr>
              <w:t>+</w:t>
            </w:r>
            <w:r>
              <w:rPr>
                <w:rFonts w:hint="eastAsia" w:ascii="Times New Roman" w:eastAsia="宋体"/>
                <w:color w:val="auto"/>
                <w:sz w:val="21"/>
                <w:szCs w:val="21"/>
              </w:rPr>
              <w:t>水解</w:t>
            </w:r>
            <w:r>
              <w:rPr>
                <w:rFonts w:ascii="Times New Roman" w:eastAsia="宋体"/>
                <w:color w:val="auto"/>
                <w:sz w:val="21"/>
                <w:szCs w:val="21"/>
              </w:rPr>
              <w:t>+</w:t>
            </w:r>
            <w:r>
              <w:rPr>
                <w:rFonts w:hint="eastAsia" w:ascii="Times New Roman" w:eastAsia="宋体"/>
                <w:color w:val="auto"/>
                <w:sz w:val="21"/>
                <w:szCs w:val="21"/>
                <w:lang w:val="en-US" w:eastAsia="zh-CN"/>
              </w:rPr>
              <w:t>兼氧+</w:t>
            </w:r>
            <w:r>
              <w:rPr>
                <w:rFonts w:hint="eastAsia" w:ascii="Times New Roman" w:eastAsia="宋体"/>
                <w:color w:val="auto"/>
                <w:sz w:val="21"/>
                <w:szCs w:val="21"/>
              </w:rPr>
              <w:t>接触氧化</w:t>
            </w:r>
            <w:r>
              <w:rPr>
                <w:rFonts w:ascii="Times New Roman" w:eastAsia="宋体"/>
                <w:color w:val="auto"/>
                <w:sz w:val="21"/>
                <w:szCs w:val="21"/>
              </w:rPr>
              <w:t>+</w:t>
            </w:r>
            <w:r>
              <w:rPr>
                <w:rFonts w:hint="eastAsia" w:ascii="Times New Roman" w:eastAsia="宋体"/>
                <w:color w:val="auto"/>
                <w:sz w:val="21"/>
                <w:szCs w:val="21"/>
              </w:rPr>
              <w:t>沉淀</w:t>
            </w:r>
            <w:r>
              <w:rPr>
                <w:rFonts w:ascii="Times New Roman" w:eastAsia="宋体"/>
                <w:color w:val="auto"/>
                <w:sz w:val="21"/>
                <w:szCs w:val="21"/>
              </w:rPr>
              <w:t>”处理工艺</w:t>
            </w:r>
            <w:r>
              <w:rPr>
                <w:rFonts w:hint="eastAsia" w:ascii="Times New Roman" w:eastAsia="宋体"/>
                <w:color w:val="auto"/>
                <w:sz w:val="21"/>
                <w:szCs w:val="21"/>
              </w:rPr>
              <w:t>，</w:t>
            </w:r>
            <w:r>
              <w:rPr>
                <w:rFonts w:hint="eastAsia" w:ascii="Times New Roman" w:eastAsia="宋体"/>
                <w:color w:val="auto"/>
                <w:sz w:val="21"/>
                <w:szCs w:val="21"/>
                <w:lang w:val="en-US" w:eastAsia="zh-CN"/>
              </w:rPr>
              <w:t>处理后废水</w:t>
            </w:r>
            <w:r>
              <w:rPr>
                <w:rFonts w:hint="eastAsia" w:ascii="Times New Roman" w:eastAsia="宋体"/>
                <w:color w:val="auto"/>
                <w:sz w:val="21"/>
                <w:szCs w:val="21"/>
              </w:rPr>
              <w:t>排入水塘进一步沉淀净化</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后用于周边农田浇灌</w:t>
            </w:r>
            <w:r>
              <w:rPr>
                <w:rFonts w:ascii="Times New Roman" w:eastAsia="宋体"/>
                <w:color w:val="auto"/>
                <w:sz w:val="21"/>
                <w:szCs w:val="21"/>
              </w:rPr>
              <w:t>。</w:t>
            </w:r>
            <w:r>
              <w:rPr>
                <w:rFonts w:hint="eastAsia" w:ascii="Times New Roman" w:eastAsia="宋体"/>
                <w:color w:val="auto"/>
                <w:sz w:val="21"/>
                <w:szCs w:val="21"/>
              </w:rPr>
              <w:t>新墙养殖场</w:t>
            </w:r>
            <w:r>
              <w:rPr>
                <w:rFonts w:ascii="Times New Roman" w:eastAsia="宋体"/>
                <w:color w:val="auto"/>
                <w:sz w:val="21"/>
                <w:szCs w:val="21"/>
              </w:rPr>
              <w:t>与本项目</w:t>
            </w:r>
            <w:r>
              <w:rPr>
                <w:rFonts w:hint="eastAsia" w:ascii="Times New Roman" w:eastAsia="宋体"/>
                <w:color w:val="auto"/>
                <w:sz w:val="21"/>
                <w:szCs w:val="21"/>
              </w:rPr>
              <w:t>工艺类型</w:t>
            </w:r>
            <w:r>
              <w:rPr>
                <w:rFonts w:ascii="Times New Roman" w:eastAsia="宋体"/>
                <w:color w:val="auto"/>
                <w:sz w:val="21"/>
                <w:szCs w:val="21"/>
              </w:rPr>
              <w:t>一致，根据</w:t>
            </w:r>
            <w:r>
              <w:rPr>
                <w:rFonts w:hint="eastAsia" w:ascii="Times New Roman" w:eastAsia="宋体"/>
                <w:color w:val="auto"/>
                <w:sz w:val="21"/>
                <w:szCs w:val="21"/>
              </w:rPr>
              <w:t>新</w:t>
            </w:r>
            <w:r>
              <w:rPr>
                <w:rFonts w:hint="eastAsia" w:ascii="Times New Roman" w:eastAsia="宋体"/>
                <w:color w:val="auto"/>
                <w:sz w:val="21"/>
                <w:szCs w:val="21"/>
                <w:lang w:val="en-US" w:eastAsia="zh-CN"/>
              </w:rPr>
              <w:t>华</w:t>
            </w:r>
            <w:r>
              <w:rPr>
                <w:rFonts w:hint="eastAsia" w:ascii="Times New Roman" w:eastAsia="宋体"/>
                <w:color w:val="auto"/>
                <w:sz w:val="21"/>
                <w:szCs w:val="21"/>
              </w:rPr>
              <w:t>养殖场废水总排口水质检测报告</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PST检字2022111509】</w:t>
            </w:r>
            <w:r>
              <w:rPr>
                <w:rFonts w:ascii="Times New Roman" w:eastAsia="宋体"/>
                <w:color w:val="auto"/>
                <w:sz w:val="21"/>
                <w:szCs w:val="21"/>
              </w:rPr>
              <w:t>，水质</w:t>
            </w:r>
            <w:r>
              <w:rPr>
                <w:rFonts w:hint="eastAsia" w:ascii="Times New Roman" w:eastAsia="宋体"/>
                <w:color w:val="auto"/>
                <w:sz w:val="21"/>
                <w:szCs w:val="21"/>
              </w:rPr>
              <w:t>稳定达标，满足《污水综合排放标准》GB 8978-1996一级</w:t>
            </w:r>
            <w:r>
              <w:rPr>
                <w:rFonts w:ascii="Times New Roman" w:eastAsia="宋体"/>
                <w:color w:val="auto"/>
                <w:sz w:val="21"/>
                <w:szCs w:val="21"/>
              </w:rPr>
              <w:t>标准要求。</w:t>
            </w:r>
          </w:p>
          <w:p>
            <w:pPr>
              <w:adjustRightInd w:val="0"/>
              <w:snapToGrid w:val="0"/>
              <w:jc w:val="left"/>
              <w:rPr>
                <w:rFonts w:ascii="Times New Roman" w:eastAsia="宋体"/>
                <w:color w:val="auto"/>
                <w:sz w:val="21"/>
                <w:szCs w:val="21"/>
              </w:rPr>
            </w:pPr>
            <w:r>
              <w:rPr>
                <w:rFonts w:hint="eastAsia" w:ascii="Times New Roman" w:eastAsia="宋体"/>
                <w:color w:val="auto"/>
                <w:sz w:val="21"/>
                <w:szCs w:val="21"/>
              </w:rPr>
              <w:t>3</w:t>
            </w:r>
            <w:r>
              <w:rPr>
                <w:rFonts w:ascii="Times New Roman" w:eastAsia="宋体"/>
                <w:color w:val="auto"/>
                <w:sz w:val="21"/>
                <w:szCs w:val="21"/>
              </w:rPr>
              <w:t>、项目拟建厂区</w:t>
            </w:r>
            <w:r>
              <w:rPr>
                <w:rFonts w:hint="eastAsia" w:ascii="Times New Roman" w:eastAsia="宋体"/>
                <w:color w:val="auto"/>
                <w:sz w:val="21"/>
                <w:szCs w:val="21"/>
              </w:rPr>
              <w:t>废水委托湖南春雨生物科技有限公司用密闭槽罐车运送</w:t>
            </w:r>
            <w:r>
              <w:rPr>
                <w:rFonts w:ascii="Times New Roman" w:eastAsia="宋体"/>
                <w:color w:val="auto"/>
                <w:sz w:val="21"/>
                <w:szCs w:val="21"/>
              </w:rPr>
              <w:t>至</w:t>
            </w:r>
            <w:r>
              <w:rPr>
                <w:rFonts w:hint="eastAsia" w:ascii="Times New Roman" w:eastAsia="宋体"/>
                <w:color w:val="auto"/>
                <w:sz w:val="21"/>
                <w:szCs w:val="21"/>
              </w:rPr>
              <w:t>新华养殖场</w:t>
            </w:r>
            <w:r>
              <w:rPr>
                <w:rFonts w:ascii="Times New Roman" w:eastAsia="宋体"/>
                <w:color w:val="auto"/>
                <w:sz w:val="21"/>
                <w:szCs w:val="21"/>
              </w:rPr>
              <w:t>污水处理站，</w:t>
            </w:r>
            <w:r>
              <w:rPr>
                <w:rFonts w:hint="eastAsia" w:ascii="Times New Roman" w:eastAsia="宋体"/>
                <w:color w:val="auto"/>
                <w:sz w:val="21"/>
                <w:szCs w:val="21"/>
              </w:rPr>
              <w:t>运输</w:t>
            </w:r>
            <w:r>
              <w:rPr>
                <w:rFonts w:ascii="Times New Roman" w:eastAsia="宋体"/>
                <w:color w:val="auto"/>
                <w:sz w:val="21"/>
                <w:szCs w:val="21"/>
              </w:rPr>
              <w:t>内容不属于本项目评价内容。</w:t>
            </w:r>
          </w:p>
          <w:p>
            <w:pPr>
              <w:adjustRightInd w:val="0"/>
              <w:snapToGrid w:val="0"/>
              <w:ind w:firstLine="436" w:firstLineChars="200"/>
              <w:jc w:val="left"/>
              <w:rPr>
                <w:rFonts w:ascii="Times New Roman" w:eastAsia="宋体"/>
                <w:color w:val="auto"/>
                <w:sz w:val="21"/>
                <w:szCs w:val="21"/>
              </w:rPr>
            </w:pPr>
            <w:r>
              <w:rPr>
                <w:rFonts w:ascii="Times New Roman" w:eastAsia="宋体"/>
                <w:color w:val="auto"/>
                <w:sz w:val="21"/>
                <w:szCs w:val="21"/>
              </w:rPr>
              <w:t>因此，本项目废水依托现有工程污水处理站可行。</w:t>
            </w:r>
          </w:p>
        </w:tc>
      </w:tr>
    </w:tbl>
    <w:p>
      <w:pPr>
        <w:rPr>
          <w:color w:val="auto"/>
        </w:rPr>
      </w:pPr>
      <w:r>
        <w:rPr>
          <w:color w:val="auto"/>
        </w:rPr>
        <w:drawing>
          <wp:inline distT="0" distB="0" distL="114300" distR="114300">
            <wp:extent cx="5467350" cy="1915795"/>
            <wp:effectExtent l="0" t="0" r="6350" b="1905"/>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27"/>
                    <a:stretch>
                      <a:fillRect/>
                    </a:stretch>
                  </pic:blipFill>
                  <pic:spPr>
                    <a:xfrm>
                      <a:off x="0" y="0"/>
                      <a:ext cx="5467350" cy="1915795"/>
                    </a:xfrm>
                    <a:prstGeom prst="rect">
                      <a:avLst/>
                    </a:prstGeom>
                    <a:noFill/>
                    <a:ln>
                      <a:noFill/>
                    </a:ln>
                  </pic:spPr>
                </pic:pic>
              </a:graphicData>
            </a:graphic>
          </wp:inline>
        </w:drawing>
      </w:r>
    </w:p>
    <w:p>
      <w:pPr>
        <w:pStyle w:val="23"/>
        <w:jc w:val="center"/>
        <w:rPr>
          <w:rFonts w:hint="default" w:eastAsia="宋体"/>
          <w:color w:val="auto"/>
          <w:lang w:val="en-US" w:eastAsia="zh-CN"/>
        </w:rPr>
      </w:pPr>
      <w:r>
        <w:rPr>
          <w:rFonts w:hint="eastAsia" w:ascii="Times New Roman" w:eastAsia="宋体"/>
          <w:b/>
          <w:bCs/>
          <w:color w:val="auto"/>
          <w:sz w:val="21"/>
          <w:szCs w:val="21"/>
        </w:rPr>
        <w:t>图3.1.2</w:t>
      </w:r>
      <w:r>
        <w:rPr>
          <w:rFonts w:hint="eastAsia" w:ascii="Times New Roman" w:eastAsia="宋体"/>
          <w:b/>
          <w:bCs/>
          <w:color w:val="auto"/>
          <w:sz w:val="21"/>
          <w:szCs w:val="21"/>
          <w:lang w:val="en-US" w:eastAsia="zh-CN"/>
        </w:rPr>
        <w:t>2新华养殖场总排口2022年11月监测数据</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04" w:name="_Toc27334"/>
      <w:r>
        <w:rPr>
          <w:rFonts w:hint="eastAsia" w:ascii="Times New Roman" w:hAnsi="Times New Roman" w:eastAsia="宋体"/>
          <w:color w:val="auto"/>
          <w:kern w:val="2"/>
          <w:sz w:val="28"/>
          <w:szCs w:val="28"/>
        </w:rPr>
        <w:t>3</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3</w:t>
      </w:r>
      <w:r>
        <w:rPr>
          <w:rFonts w:ascii="Times New Roman" w:hAnsi="Times New Roman" w:eastAsia="宋体"/>
          <w:color w:val="auto"/>
          <w:kern w:val="2"/>
          <w:sz w:val="28"/>
          <w:szCs w:val="28"/>
        </w:rPr>
        <w:t>工程分析</w:t>
      </w:r>
      <w:bookmarkEnd w:id="297"/>
      <w:bookmarkEnd w:id="298"/>
      <w:bookmarkEnd w:id="304"/>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3.3.</w:t>
      </w:r>
      <w:r>
        <w:rPr>
          <w:rFonts w:ascii="Times New Roman" w:eastAsia="宋体"/>
          <w:b/>
          <w:bCs/>
          <w:color w:val="auto"/>
          <w:kern w:val="2"/>
          <w:sz w:val="24"/>
        </w:rPr>
        <w:t>1工艺流程</w:t>
      </w:r>
    </w:p>
    <w:p>
      <w:pPr>
        <w:spacing w:line="360" w:lineRule="auto"/>
        <w:outlineLvl w:val="3"/>
        <w:rPr>
          <w:rFonts w:ascii="Times New Roman" w:eastAsia="宋体"/>
          <w:color w:val="auto"/>
          <w:kern w:val="2"/>
        </w:rPr>
      </w:pPr>
      <w:r>
        <w:rPr>
          <w:rFonts w:hint="eastAsia" w:ascii="Times New Roman" w:eastAsia="宋体"/>
          <w:color w:val="auto"/>
          <w:kern w:val="2"/>
        </w:rPr>
        <w:t>3.3.</w:t>
      </w:r>
      <w:r>
        <w:rPr>
          <w:rFonts w:ascii="Times New Roman" w:eastAsia="宋体"/>
          <w:color w:val="auto"/>
          <w:kern w:val="2"/>
        </w:rPr>
        <w:t>1.1施工期工艺流程</w:t>
      </w:r>
    </w:p>
    <w:p>
      <w:pPr>
        <w:spacing w:line="360" w:lineRule="auto"/>
        <w:ind w:firstLine="496" w:firstLineChars="200"/>
        <w:rPr>
          <w:rFonts w:ascii="Times New Roman" w:eastAsia="宋体"/>
          <w:color w:val="auto"/>
        </w:rPr>
      </w:pPr>
      <w:r>
        <w:rPr>
          <w:rFonts w:ascii="Times New Roman" w:eastAsia="宋体"/>
          <w:color w:val="auto"/>
        </w:rPr>
        <w:t>施工期分为基础施工、主体工程建设阶段、内部装修及设施安装阶段以及扫尾工程阶段等。本项目施工期主要工序及排污节点见图</w:t>
      </w:r>
      <w:r>
        <w:rPr>
          <w:rFonts w:hint="eastAsia" w:ascii="Times New Roman" w:eastAsia="宋体"/>
          <w:color w:val="auto"/>
        </w:rPr>
        <w:t>2.2.1</w:t>
      </w:r>
      <w:r>
        <w:rPr>
          <w:rFonts w:ascii="Times New Roman" w:eastAsia="宋体"/>
          <w:color w:val="auto"/>
        </w:rPr>
        <w:t>。</w:t>
      </w:r>
    </w:p>
    <w:p>
      <w:pPr>
        <w:rPr>
          <w:rFonts w:ascii="Times New Roman" w:eastAsia="宋体"/>
          <w:color w:val="auto"/>
        </w:rPr>
      </w:pPr>
      <w:r>
        <w:rPr>
          <w:rFonts w:ascii="Times New Roman" w:eastAsia="宋体"/>
          <w:color w:val="auto"/>
        </w:rPr>
        <w:drawing>
          <wp:anchor distT="0" distB="0" distL="114300" distR="114300" simplePos="0" relativeHeight="251663360" behindDoc="0" locked="0" layoutInCell="1" allowOverlap="1">
            <wp:simplePos x="0" y="0"/>
            <wp:positionH relativeFrom="column">
              <wp:posOffset>172720</wp:posOffset>
            </wp:positionH>
            <wp:positionV relativeFrom="paragraph">
              <wp:posOffset>158750</wp:posOffset>
            </wp:positionV>
            <wp:extent cx="5105400" cy="991870"/>
            <wp:effectExtent l="15875" t="15875" r="22225" b="20955"/>
            <wp:wrapNone/>
            <wp:docPr id="76" name="图片 129" descr="施工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29" descr="施工图"/>
                    <pic:cNvPicPr>
                      <a:picLocks noChangeAspect="1"/>
                    </pic:cNvPicPr>
                  </pic:nvPicPr>
                  <pic:blipFill>
                    <a:blip r:embed="rId28"/>
                    <a:stretch>
                      <a:fillRect/>
                    </a:stretch>
                  </pic:blipFill>
                  <pic:spPr>
                    <a:xfrm>
                      <a:off x="0" y="0"/>
                      <a:ext cx="5105400" cy="991870"/>
                    </a:xfrm>
                    <a:prstGeom prst="rect">
                      <a:avLst/>
                    </a:prstGeom>
                    <a:noFill/>
                    <a:ln w="15875" cap="flat" cmpd="sng">
                      <a:solidFill>
                        <a:srgbClr val="000000"/>
                      </a:solidFill>
                      <a:prstDash val="solid"/>
                      <a:miter/>
                      <a:headEnd type="none" w="med" len="med"/>
                      <a:tailEnd type="none" w="med" len="med"/>
                    </a:ln>
                  </pic:spPr>
                </pic:pic>
              </a:graphicData>
            </a:graphic>
          </wp:anchor>
        </w:drawing>
      </w:r>
    </w:p>
    <w:p>
      <w:pPr>
        <w:rPr>
          <w:rFonts w:ascii="Times New Roman" w:eastAsia="宋体"/>
          <w:color w:val="auto"/>
        </w:rPr>
      </w:pPr>
    </w:p>
    <w:p>
      <w:pPr>
        <w:rPr>
          <w:rFonts w:ascii="Times New Roman" w:eastAsia="宋体"/>
          <w:color w:val="auto"/>
        </w:rPr>
      </w:pPr>
    </w:p>
    <w:p>
      <w:pPr>
        <w:rPr>
          <w:rFonts w:ascii="Times New Roman" w:eastAsia="宋体"/>
          <w:color w:val="auto"/>
        </w:rPr>
      </w:pPr>
    </w:p>
    <w:p>
      <w:pPr>
        <w:rPr>
          <w:rFonts w:ascii="Times New Roman" w:eastAsia="宋体"/>
          <w:color w:val="auto"/>
        </w:rPr>
      </w:pPr>
    </w:p>
    <w:p>
      <w:pPr>
        <w:rPr>
          <w:rFonts w:ascii="Times New Roman" w:eastAsia="宋体"/>
          <w:color w:val="auto"/>
        </w:rPr>
      </w:pPr>
    </w:p>
    <w:p>
      <w:pPr>
        <w:tabs>
          <w:tab w:val="left" w:pos="2010"/>
        </w:tabs>
        <w:rPr>
          <w:rFonts w:ascii="Times New Roman" w:eastAsia="宋体"/>
          <w:b/>
          <w:color w:val="auto"/>
          <w:w w:val="99"/>
        </w:rPr>
      </w:pPr>
      <w:r>
        <w:rPr>
          <w:rFonts w:ascii="Times New Roman" w:eastAsia="宋体"/>
          <w:color w:val="auto"/>
        </w:rPr>
        <w:tab/>
      </w:r>
      <w:r>
        <w:rPr>
          <w:rFonts w:ascii="Times New Roman" w:eastAsia="宋体"/>
          <w:b/>
          <w:bCs/>
          <w:color w:val="auto"/>
          <w:sz w:val="21"/>
          <w:szCs w:val="21"/>
        </w:rPr>
        <w:t>图</w:t>
      </w:r>
      <w:r>
        <w:rPr>
          <w:rFonts w:hint="eastAsia" w:ascii="Times New Roman" w:eastAsia="宋体"/>
          <w:b/>
          <w:bCs/>
          <w:color w:val="auto"/>
          <w:sz w:val="21"/>
          <w:szCs w:val="21"/>
        </w:rPr>
        <w:t>3.3.</w:t>
      </w:r>
      <w:r>
        <w:rPr>
          <w:rFonts w:ascii="Times New Roman" w:eastAsia="宋体"/>
          <w:b/>
          <w:bCs/>
          <w:color w:val="auto"/>
          <w:sz w:val="21"/>
          <w:szCs w:val="21"/>
        </w:rPr>
        <w:t>1建设项目施工期主要工序及排污节点图</w:t>
      </w:r>
    </w:p>
    <w:p>
      <w:pPr>
        <w:spacing w:line="360" w:lineRule="auto"/>
        <w:outlineLvl w:val="3"/>
        <w:rPr>
          <w:rFonts w:ascii="Times New Roman" w:eastAsia="宋体"/>
          <w:color w:val="auto"/>
          <w:kern w:val="2"/>
        </w:rPr>
      </w:pPr>
      <w:r>
        <w:rPr>
          <w:rFonts w:hint="eastAsia" w:ascii="Times New Roman" w:eastAsia="宋体"/>
          <w:color w:val="auto"/>
          <w:kern w:val="2"/>
        </w:rPr>
        <w:t>3.3.</w:t>
      </w:r>
      <w:r>
        <w:rPr>
          <w:rFonts w:ascii="Times New Roman" w:eastAsia="宋体"/>
          <w:color w:val="auto"/>
          <w:kern w:val="2"/>
        </w:rPr>
        <w:t>1.2运营期工艺流程</w:t>
      </w:r>
    </w:p>
    <w:p>
      <w:pPr>
        <w:spacing w:line="360" w:lineRule="auto"/>
        <w:ind w:firstLine="482"/>
        <w:rPr>
          <w:rFonts w:ascii="Times New Roman" w:eastAsia="宋体"/>
          <w:color w:val="auto"/>
        </w:rPr>
      </w:pPr>
      <w:r>
        <w:rPr>
          <w:rFonts w:ascii="Times New Roman" w:eastAsia="宋体"/>
          <w:color w:val="auto"/>
        </w:rPr>
        <w:t>（1）生产工艺说明：</w:t>
      </w:r>
    </w:p>
    <w:p>
      <w:pPr>
        <w:spacing w:line="360" w:lineRule="auto"/>
        <w:ind w:firstLine="482"/>
        <w:rPr>
          <w:rFonts w:ascii="Times New Roman" w:eastAsia="宋体"/>
          <w:color w:val="auto"/>
          <w:szCs w:val="24"/>
        </w:rPr>
      </w:pPr>
      <w:r>
        <w:rPr>
          <w:rFonts w:ascii="Times New Roman" w:eastAsia="宋体"/>
          <w:color w:val="auto"/>
        </w:rPr>
        <w:t>本项目由</w:t>
      </w:r>
      <w:r>
        <w:rPr>
          <w:rFonts w:hint="eastAsia" w:ascii="Times New Roman" w:eastAsia="宋体"/>
          <w:color w:val="auto"/>
        </w:rPr>
        <w:t>湖南湘佳牧业股份有限公司</w:t>
      </w:r>
      <w:r>
        <w:rPr>
          <w:rFonts w:ascii="Times New Roman" w:eastAsia="宋体"/>
          <w:color w:val="auto"/>
        </w:rPr>
        <w:t>分批提供的合格的雏鸡，经过培育大约</w:t>
      </w:r>
      <w:r>
        <w:rPr>
          <w:rFonts w:hint="eastAsia" w:ascii="Times New Roman" w:eastAsia="宋体"/>
          <w:color w:val="auto"/>
        </w:rPr>
        <w:t>60天</w:t>
      </w:r>
      <w:r>
        <w:rPr>
          <w:rFonts w:ascii="Times New Roman" w:eastAsia="宋体"/>
          <w:color w:val="auto"/>
        </w:rPr>
        <w:t>的饲养周期出栏外售。生产废水主要为鸡舍清洗废水，</w:t>
      </w:r>
      <w:r>
        <w:rPr>
          <w:rFonts w:ascii="Times New Roman" w:eastAsia="宋体"/>
          <w:color w:val="auto"/>
          <w:szCs w:val="24"/>
        </w:rPr>
        <w:t>收集于</w:t>
      </w:r>
      <w:r>
        <w:rPr>
          <w:rFonts w:hint="eastAsia" w:ascii="Times New Roman" w:eastAsia="宋体"/>
          <w:color w:val="auto"/>
          <w:szCs w:val="24"/>
        </w:rPr>
        <w:t>污水沉淀池外运至新华养殖场污水处理设施</w:t>
      </w:r>
      <w:r>
        <w:rPr>
          <w:rFonts w:ascii="Times New Roman" w:eastAsia="宋体"/>
          <w:color w:val="auto"/>
          <w:szCs w:val="24"/>
        </w:rPr>
        <w:t>处理</w:t>
      </w:r>
      <w:r>
        <w:rPr>
          <w:rFonts w:ascii="Times New Roman" w:eastAsia="宋体"/>
          <w:color w:val="auto"/>
        </w:rPr>
        <w:t>；鸡粪通过自动清粪机收集</w:t>
      </w:r>
      <w:r>
        <w:rPr>
          <w:rFonts w:hint="eastAsia" w:ascii="Times New Roman" w:eastAsia="宋体"/>
          <w:color w:val="auto"/>
          <w:lang w:eastAsia="zh-CN"/>
        </w:rPr>
        <w:t>，通过传送带运输至末端打捆装袋</w:t>
      </w:r>
      <w:r>
        <w:rPr>
          <w:rFonts w:ascii="Times New Roman" w:eastAsia="宋体"/>
          <w:color w:val="auto"/>
        </w:rPr>
        <w:t>，</w:t>
      </w:r>
      <w:r>
        <w:rPr>
          <w:rFonts w:hint="eastAsia" w:ascii="Times New Roman" w:eastAsia="宋体"/>
          <w:color w:val="auto"/>
        </w:rPr>
        <w:t>暂存于</w:t>
      </w:r>
      <w:r>
        <w:rPr>
          <w:rFonts w:hint="eastAsia" w:ascii="Times New Roman" w:eastAsia="宋体"/>
          <w:color w:val="auto"/>
          <w:lang w:eastAsia="zh-CN"/>
        </w:rPr>
        <w:t>鸡舍内</w:t>
      </w:r>
      <w:r>
        <w:rPr>
          <w:rFonts w:hint="eastAsia" w:ascii="Times New Roman" w:eastAsia="宋体"/>
          <w:color w:val="auto"/>
        </w:rPr>
        <w:t>鸡粪暂</w:t>
      </w:r>
      <w:r>
        <w:rPr>
          <w:rFonts w:hint="eastAsia" w:ascii="Times New Roman" w:eastAsia="宋体"/>
          <w:color w:val="auto"/>
          <w:lang w:eastAsia="zh-CN"/>
        </w:rPr>
        <w:t>区</w:t>
      </w:r>
      <w:r>
        <w:rPr>
          <w:rFonts w:hint="eastAsia" w:ascii="Times New Roman" w:eastAsia="宋体"/>
          <w:color w:val="auto"/>
        </w:rPr>
        <w:t>，后定期外售</w:t>
      </w:r>
      <w:r>
        <w:rPr>
          <w:rFonts w:hint="eastAsia" w:ascii="Times New Roman" w:eastAsia="宋体"/>
          <w:color w:val="auto"/>
          <w:lang w:val="en-US" w:eastAsia="zh-CN"/>
        </w:rPr>
        <w:t>制肥</w:t>
      </w:r>
      <w:r>
        <w:rPr>
          <w:rFonts w:ascii="Times New Roman" w:eastAsia="宋体"/>
          <w:color w:val="auto"/>
          <w:szCs w:val="24"/>
        </w:rPr>
        <w:t>；</w:t>
      </w:r>
      <w:r>
        <w:rPr>
          <w:rFonts w:ascii="Times New Roman" w:eastAsia="宋体"/>
          <w:color w:val="auto"/>
        </w:rPr>
        <w:t>病死鸡</w:t>
      </w:r>
      <w:r>
        <w:rPr>
          <w:rFonts w:hint="eastAsia" w:ascii="Times New Roman" w:eastAsia="宋体"/>
          <w:color w:val="auto"/>
        </w:rPr>
        <w:t>暂存冷藏柜，后外委</w:t>
      </w:r>
      <w:r>
        <w:rPr>
          <w:rFonts w:ascii="Times New Roman" w:eastAsia="宋体"/>
          <w:color w:val="auto"/>
        </w:rPr>
        <w:t>进行无害化处理；一批肉鸡出栏后，经过清栏消毒、空栏</w:t>
      </w:r>
      <w:r>
        <w:rPr>
          <w:rFonts w:hint="eastAsia" w:ascii="Times New Roman" w:eastAsia="宋体"/>
          <w:color w:val="auto"/>
        </w:rPr>
        <w:t>30</w:t>
      </w:r>
      <w:r>
        <w:rPr>
          <w:rFonts w:ascii="Times New Roman" w:eastAsia="宋体"/>
          <w:color w:val="auto"/>
        </w:rPr>
        <w:t>天之后再进行下一批的饲养。本项目生产工艺及排污节点见图</w:t>
      </w:r>
      <w:r>
        <w:rPr>
          <w:rFonts w:hint="eastAsia" w:ascii="Times New Roman" w:eastAsia="宋体"/>
          <w:color w:val="auto"/>
        </w:rPr>
        <w:t>3.3.</w:t>
      </w:r>
      <w:r>
        <w:rPr>
          <w:rFonts w:ascii="Times New Roman" w:eastAsia="宋体"/>
          <w:color w:val="auto"/>
        </w:rPr>
        <w:t>2。</w:t>
      </w:r>
    </w:p>
    <w:p>
      <w:pPr>
        <w:jc w:val="center"/>
        <w:rPr>
          <w:rFonts w:ascii="Times New Roman" w:eastAsia="宋体"/>
          <w:color w:val="auto"/>
        </w:rPr>
      </w:pPr>
      <w:r>
        <w:rPr>
          <w:rFonts w:ascii="Times New Roman"/>
          <w:color w:val="auto"/>
        </w:rPr>
        <mc:AlternateContent>
          <mc:Choice Requires="wps">
            <w:drawing>
              <wp:anchor distT="0" distB="0" distL="114300" distR="114300" simplePos="0" relativeHeight="251719680" behindDoc="0" locked="0" layoutInCell="1" allowOverlap="1">
                <wp:simplePos x="0" y="0"/>
                <wp:positionH relativeFrom="column">
                  <wp:posOffset>4387850</wp:posOffset>
                </wp:positionH>
                <wp:positionV relativeFrom="paragraph">
                  <wp:posOffset>1322705</wp:posOffset>
                </wp:positionV>
                <wp:extent cx="409575" cy="0"/>
                <wp:effectExtent l="0" t="48895" r="9525" b="52705"/>
                <wp:wrapNone/>
                <wp:docPr id="133" name="直接箭头连接符 195"/>
                <wp:cNvGraphicFramePr/>
                <a:graphic xmlns:a="http://schemas.openxmlformats.org/drawingml/2006/main">
                  <a:graphicData uri="http://schemas.microsoft.com/office/word/2010/wordprocessingShape">
                    <wps:wsp>
                      <wps:cNvCnPr/>
                      <wps:spPr>
                        <a:xfrm>
                          <a:off x="0" y="0"/>
                          <a:ext cx="409575" cy="0"/>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直接箭头连接符 195" o:spid="_x0000_s1026" o:spt="32" type="#_x0000_t32" style="position:absolute;left:0pt;margin-left:345.5pt;margin-top:104.15pt;height:0pt;width:32.25pt;z-index:251719680;mso-width-relative:page;mso-height-relative:page;" filled="f" stroked="t" coordsize="21600,21600" o:gfxdata="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&#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wg5ULYAAAACwEAAA8AAAAAAAAAAQAgAAAAIgAAAGRy&#10;cy9kb3ducmV2LnhtbFBLAQIUABQAAAAIAIdO4kDSC8hkBQIAAPADAAAOAAAAAAAAAAEAIAAAACcB&#10;AABkcnMvZTJvRG9jLnhtbFBLBQYAAAAABgAGAFkBAACeBQAAAAA=&#10;">
                <v:fill on="f" focussize="0,0"/>
                <v:stroke color="#000000" joinstyle="round" endarrow="open"/>
                <v:imagedata o:title=""/>
                <o:lock v:ext="edit" aspectratio="f"/>
              </v:shape>
            </w:pict>
          </mc:Fallback>
        </mc:AlternateContent>
      </w:r>
      <w:r>
        <w:rPr>
          <w:rFonts w:ascii="Times New Roman"/>
          <w:color w:val="auto"/>
        </w:rPr>
        <mc:AlternateContent>
          <mc:Choice Requires="wps">
            <w:drawing>
              <wp:anchor distT="0" distB="0" distL="114300" distR="114300" simplePos="0" relativeHeight="251665408" behindDoc="0" locked="0" layoutInCell="1" allowOverlap="1">
                <wp:simplePos x="0" y="0"/>
                <wp:positionH relativeFrom="column">
                  <wp:posOffset>4124960</wp:posOffset>
                </wp:positionH>
                <wp:positionV relativeFrom="paragraph">
                  <wp:posOffset>826770</wp:posOffset>
                </wp:positionV>
                <wp:extent cx="409575" cy="0"/>
                <wp:effectExtent l="0" t="48895" r="9525" b="65405"/>
                <wp:wrapNone/>
                <wp:docPr id="73" name="直接箭头连接符 195"/>
                <wp:cNvGraphicFramePr/>
                <a:graphic xmlns:a="http://schemas.openxmlformats.org/drawingml/2006/main">
                  <a:graphicData uri="http://schemas.microsoft.com/office/word/2010/wordprocessingShape">
                    <wps:wsp>
                      <wps:cNvCnPr/>
                      <wps:spPr>
                        <a:xfrm>
                          <a:off x="0" y="0"/>
                          <a:ext cx="409575" cy="0"/>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直接箭头连接符 195" o:spid="_x0000_s1026" o:spt="32" type="#_x0000_t32" style="position:absolute;left:0pt;margin-left:324.8pt;margin-top:65.1pt;height:0pt;width:32.25pt;z-index:251665408;mso-width-relative:page;mso-height-relative:page;" filled="f" stroked="t" coordsize="21600,21600" o:gfxdata="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zjjnL1wAAAAsBAAAPAAAAAAAAAAEAIAAAACIAAABkcnMv&#10;ZG93bnJldi54bWxQSwECFAAUAAAACACHTuJAyJlsgQQCAADvAwAADgAAAAAAAAABACAAAAAmAQAA&#10;ZHJzL2Uyb0RvYy54bWxQSwUGAAAAAAYABgBZAQAAnAUAAAAA&#10;">
                <v:fill on="f" focussize="0,0"/>
                <v:stroke color="#000000" joinstyle="round" endarrow="open"/>
                <v:imagedata o:title=""/>
                <o:lock v:ext="edit" aspectratio="f"/>
              </v:shape>
            </w:pict>
          </mc:Fallback>
        </mc:AlternateContent>
      </w:r>
      <w:r>
        <w:rPr>
          <w:rFonts w:ascii="Times New Roman"/>
          <w:color w:val="auto"/>
        </w:rPr>
        <mc:AlternateContent>
          <mc:Choice Requires="wpc">
            <w:drawing>
              <wp:anchor distT="0" distB="0" distL="114300" distR="114300" simplePos="0" relativeHeight="251662336" behindDoc="0" locked="0" layoutInCell="1" allowOverlap="1">
                <wp:simplePos x="0" y="0"/>
                <wp:positionH relativeFrom="column">
                  <wp:posOffset>-192405</wp:posOffset>
                </wp:positionH>
                <wp:positionV relativeFrom="paragraph">
                  <wp:posOffset>163830</wp:posOffset>
                </wp:positionV>
                <wp:extent cx="5655945" cy="3195955"/>
                <wp:effectExtent l="0" t="0" r="0" b="0"/>
                <wp:wrapTopAndBottom/>
                <wp:docPr id="71" name="画布 19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 name="文本框 267"/>
                        <wps:cNvSpPr txBox="1"/>
                        <wps:spPr>
                          <a:xfrm>
                            <a:off x="2158617" y="50801"/>
                            <a:ext cx="759506" cy="241904"/>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1"/>
                                  <w:szCs w:val="21"/>
                                </w:rPr>
                              </w:pPr>
                              <w:r>
                                <w:rPr>
                                  <w:rFonts w:hint="eastAsia"/>
                                  <w:sz w:val="21"/>
                                  <w:szCs w:val="21"/>
                                </w:rPr>
                                <w:t>雏鸡</w:t>
                              </w:r>
                            </w:p>
                          </w:txbxContent>
                        </wps:txbx>
                        <wps:bodyPr lIns="92430" tIns="46213" rIns="92430" bIns="46213" upright="1"/>
                      </wps:wsp>
                      <wps:wsp>
                        <wps:cNvPr id="15" name="直接箭头连接符 268"/>
                        <wps:cNvCnPr/>
                        <wps:spPr>
                          <a:xfrm>
                            <a:off x="2522520" y="292705"/>
                            <a:ext cx="600" cy="887115"/>
                          </a:xfrm>
                          <a:prstGeom prst="straightConnector1">
                            <a:avLst/>
                          </a:prstGeom>
                          <a:ln w="6350" cap="flat" cmpd="sng">
                            <a:solidFill>
                              <a:srgbClr val="000000"/>
                            </a:solidFill>
                            <a:prstDash val="solid"/>
                            <a:headEnd type="none" w="med" len="med"/>
                            <a:tailEnd type="triangle" w="med" len="med"/>
                          </a:ln>
                        </wps:spPr>
                        <wps:bodyPr/>
                      </wps:wsp>
                      <wps:wsp>
                        <wps:cNvPr id="16" name="直接箭头连接符 269"/>
                        <wps:cNvCnPr/>
                        <wps:spPr>
                          <a:xfrm flipH="1">
                            <a:off x="1952216" y="170803"/>
                            <a:ext cx="3800" cy="2287239"/>
                          </a:xfrm>
                          <a:prstGeom prst="straightConnector1">
                            <a:avLst/>
                          </a:prstGeom>
                          <a:ln w="6350" cap="flat" cmpd="sng">
                            <a:solidFill>
                              <a:srgbClr val="000000"/>
                            </a:solidFill>
                            <a:prstDash val="solid"/>
                            <a:headEnd type="none" w="med" len="med"/>
                            <a:tailEnd type="none" w="med" len="med"/>
                          </a:ln>
                        </wps:spPr>
                        <wps:bodyPr/>
                      </wps:wsp>
                      <wps:wsp>
                        <wps:cNvPr id="17" name="文本框 270"/>
                        <wps:cNvSpPr txBox="1"/>
                        <wps:spPr>
                          <a:xfrm>
                            <a:off x="2142717" y="1197621"/>
                            <a:ext cx="760206" cy="240604"/>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1"/>
                                  <w:szCs w:val="21"/>
                                </w:rPr>
                              </w:pPr>
                              <w:r>
                                <w:rPr>
                                  <w:rFonts w:hint="eastAsia"/>
                                  <w:sz w:val="21"/>
                                  <w:szCs w:val="21"/>
                                </w:rPr>
                                <w:t>育成鸡</w:t>
                              </w:r>
                            </w:p>
                          </w:txbxContent>
                        </wps:txbx>
                        <wps:bodyPr lIns="92430" tIns="46213" rIns="92430" bIns="46213" upright="1"/>
                      </wps:wsp>
                      <wps:wsp>
                        <wps:cNvPr id="18" name="文本框 271"/>
                        <wps:cNvSpPr txBox="1"/>
                        <wps:spPr>
                          <a:xfrm>
                            <a:off x="2154717" y="2338040"/>
                            <a:ext cx="757706" cy="287705"/>
                          </a:xfrm>
                          <a:prstGeom prst="rect">
                            <a:avLst/>
                          </a:prstGeom>
                          <a:noFill/>
                          <a:ln w="6350" cap="flat" cmpd="sng">
                            <a:solidFill>
                              <a:srgbClr val="000000"/>
                            </a:solidFill>
                            <a:prstDash val="solid"/>
                            <a:miter/>
                            <a:headEnd type="none" w="med" len="med"/>
                            <a:tailEnd type="none" w="med" len="med"/>
                          </a:ln>
                        </wps:spPr>
                        <wps:txbx>
                          <w:txbxContent>
                            <w:p>
                              <w:pPr>
                                <w:rPr>
                                  <w:sz w:val="21"/>
                                  <w:szCs w:val="21"/>
                                </w:rPr>
                              </w:pPr>
                              <w:r>
                                <w:rPr>
                                  <w:rFonts w:hint="eastAsia"/>
                                  <w:sz w:val="21"/>
                                  <w:szCs w:val="21"/>
                                </w:rPr>
                                <w:t>商品肉鸡</w:t>
                              </w:r>
                            </w:p>
                          </w:txbxContent>
                        </wps:txbx>
                        <wps:bodyPr lIns="92430" tIns="46213" rIns="92430" bIns="46213" upright="1"/>
                      </wps:wsp>
                      <wps:wsp>
                        <wps:cNvPr id="19" name="文本框 272"/>
                        <wps:cNvSpPr txBox="1"/>
                        <wps:spPr>
                          <a:xfrm>
                            <a:off x="2166817" y="2839749"/>
                            <a:ext cx="760806" cy="356806"/>
                          </a:xfrm>
                          <a:prstGeom prst="rect">
                            <a:avLst/>
                          </a:prstGeom>
                          <a:noFill/>
                          <a:ln w="6350">
                            <a:noFill/>
                          </a:ln>
                        </wps:spPr>
                        <wps:txbx>
                          <w:txbxContent>
                            <w:p>
                              <w:pPr>
                                <w:jc w:val="center"/>
                                <w:rPr>
                                  <w:sz w:val="21"/>
                                  <w:szCs w:val="21"/>
                                </w:rPr>
                              </w:pPr>
                              <w:r>
                                <w:rPr>
                                  <w:rFonts w:hint="eastAsia"/>
                                  <w:sz w:val="21"/>
                                  <w:szCs w:val="21"/>
                                </w:rPr>
                                <w:t>外售</w:t>
                              </w:r>
                            </w:p>
                          </w:txbxContent>
                        </wps:txbx>
                        <wps:bodyPr lIns="92430" tIns="46213" rIns="92430" bIns="46213" upright="1"/>
                      </wps:wsp>
                      <wps:wsp>
                        <wps:cNvPr id="20" name="直接箭头连接符 273"/>
                        <wps:cNvCnPr/>
                        <wps:spPr>
                          <a:xfrm>
                            <a:off x="2522820" y="1443925"/>
                            <a:ext cx="600" cy="907516"/>
                          </a:xfrm>
                          <a:prstGeom prst="straightConnector1">
                            <a:avLst/>
                          </a:prstGeom>
                          <a:ln w="6350" cap="flat" cmpd="sng">
                            <a:solidFill>
                              <a:srgbClr val="000000"/>
                            </a:solidFill>
                            <a:prstDash val="solid"/>
                            <a:headEnd type="none" w="med" len="med"/>
                            <a:tailEnd type="triangle" w="med" len="med"/>
                          </a:ln>
                        </wps:spPr>
                        <wps:bodyPr/>
                      </wps:wsp>
                      <wps:wsp>
                        <wps:cNvPr id="21" name="直接箭头连接符 274"/>
                        <wps:cNvCnPr/>
                        <wps:spPr>
                          <a:xfrm>
                            <a:off x="2531120" y="2629545"/>
                            <a:ext cx="1200" cy="299105"/>
                          </a:xfrm>
                          <a:prstGeom prst="straightConnector1">
                            <a:avLst/>
                          </a:prstGeom>
                          <a:ln w="6350" cap="flat" cmpd="sng">
                            <a:solidFill>
                              <a:srgbClr val="000000"/>
                            </a:solidFill>
                            <a:prstDash val="solid"/>
                            <a:headEnd type="none" w="med" len="med"/>
                            <a:tailEnd type="triangle" w="med" len="med"/>
                          </a:ln>
                        </wps:spPr>
                        <wps:bodyPr/>
                      </wps:wsp>
                      <wps:wsp>
                        <wps:cNvPr id="23" name="直接箭头连接符 275"/>
                        <wps:cNvCnPr/>
                        <wps:spPr>
                          <a:xfrm>
                            <a:off x="1956016" y="167003"/>
                            <a:ext cx="202602" cy="600"/>
                          </a:xfrm>
                          <a:prstGeom prst="straightConnector1">
                            <a:avLst/>
                          </a:prstGeom>
                          <a:ln w="6350" cap="flat" cmpd="sng">
                            <a:solidFill>
                              <a:srgbClr val="000000"/>
                            </a:solidFill>
                            <a:prstDash val="solid"/>
                            <a:headEnd type="none" w="med" len="med"/>
                            <a:tailEnd type="triangle" w="med" len="med"/>
                          </a:ln>
                        </wps:spPr>
                        <wps:bodyPr/>
                      </wps:wsp>
                      <wps:wsp>
                        <wps:cNvPr id="25" name="文本框 276"/>
                        <wps:cNvSpPr txBox="1"/>
                        <wps:spPr>
                          <a:xfrm>
                            <a:off x="990708" y="50801"/>
                            <a:ext cx="501704" cy="241904"/>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1"/>
                                  <w:szCs w:val="21"/>
                                </w:rPr>
                              </w:pPr>
                              <w:r>
                                <w:rPr>
                                  <w:rFonts w:hint="eastAsia"/>
                                  <w:sz w:val="21"/>
                                  <w:szCs w:val="21"/>
                                </w:rPr>
                                <w:t>饮水</w:t>
                              </w:r>
                            </w:p>
                          </w:txbxContent>
                        </wps:txbx>
                        <wps:bodyPr lIns="92430" tIns="46213" rIns="92430" bIns="46213" upright="1"/>
                      </wps:wsp>
                      <wps:wsp>
                        <wps:cNvPr id="26" name="直接箭头连接符 277"/>
                        <wps:cNvCnPr/>
                        <wps:spPr>
                          <a:xfrm>
                            <a:off x="1740514" y="1303022"/>
                            <a:ext cx="414003" cy="0"/>
                          </a:xfrm>
                          <a:prstGeom prst="straightConnector1">
                            <a:avLst/>
                          </a:prstGeom>
                          <a:ln w="6350" cap="flat" cmpd="sng">
                            <a:solidFill>
                              <a:srgbClr val="000000"/>
                            </a:solidFill>
                            <a:prstDash val="solid"/>
                            <a:headEnd type="none" w="med" len="med"/>
                            <a:tailEnd type="triangle" w="med" len="med"/>
                          </a:ln>
                        </wps:spPr>
                        <wps:bodyPr/>
                      </wps:wsp>
                      <wps:wsp>
                        <wps:cNvPr id="27" name="直接箭头连接符 278"/>
                        <wps:cNvCnPr/>
                        <wps:spPr>
                          <a:xfrm>
                            <a:off x="1955816" y="2458042"/>
                            <a:ext cx="202502" cy="2600"/>
                          </a:xfrm>
                          <a:prstGeom prst="straightConnector1">
                            <a:avLst/>
                          </a:prstGeom>
                          <a:ln w="6350" cap="flat" cmpd="sng">
                            <a:solidFill>
                              <a:srgbClr val="000000"/>
                            </a:solidFill>
                            <a:prstDash val="solid"/>
                            <a:headEnd type="none" w="med" len="med"/>
                            <a:tailEnd type="triangle" w="med" len="med"/>
                          </a:ln>
                        </wps:spPr>
                        <wps:bodyPr/>
                      </wps:wsp>
                      <wps:wsp>
                        <wps:cNvPr id="28" name="直接箭头连接符 279"/>
                        <wps:cNvCnPr/>
                        <wps:spPr>
                          <a:xfrm flipH="1">
                            <a:off x="1733514" y="175203"/>
                            <a:ext cx="4400" cy="2291139"/>
                          </a:xfrm>
                          <a:prstGeom prst="straightConnector1">
                            <a:avLst/>
                          </a:prstGeom>
                          <a:ln w="6350" cap="flat" cmpd="sng">
                            <a:solidFill>
                              <a:srgbClr val="000000"/>
                            </a:solidFill>
                            <a:prstDash val="solid"/>
                            <a:headEnd type="none" w="med" len="med"/>
                            <a:tailEnd type="none" w="med" len="med"/>
                          </a:ln>
                        </wps:spPr>
                        <wps:bodyPr/>
                      </wps:wsp>
                      <wps:wsp>
                        <wps:cNvPr id="29" name="直接箭头连接符 280"/>
                        <wps:cNvCnPr/>
                        <wps:spPr>
                          <a:xfrm flipH="1" flipV="1">
                            <a:off x="1487812" y="173903"/>
                            <a:ext cx="248202" cy="2600"/>
                          </a:xfrm>
                          <a:prstGeom prst="straightConnector1">
                            <a:avLst/>
                          </a:prstGeom>
                          <a:ln w="6350" cap="flat" cmpd="sng">
                            <a:solidFill>
                              <a:srgbClr val="000000"/>
                            </a:solidFill>
                            <a:prstDash val="solid"/>
                            <a:headEnd type="none" w="med" len="med"/>
                            <a:tailEnd type="none" w="med" len="med"/>
                          </a:ln>
                        </wps:spPr>
                        <wps:bodyPr/>
                      </wps:wsp>
                      <wps:wsp>
                        <wps:cNvPr id="30" name="文本框 281"/>
                        <wps:cNvSpPr txBox="1"/>
                        <wps:spPr>
                          <a:xfrm>
                            <a:off x="965908" y="2320240"/>
                            <a:ext cx="514404" cy="242604"/>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2"/>
                                </w:rPr>
                              </w:pPr>
                              <w:r>
                                <w:rPr>
                                  <w:rFonts w:hint="eastAsia"/>
                                  <w:sz w:val="21"/>
                                  <w:szCs w:val="21"/>
                                </w:rPr>
                                <w:t>光照</w:t>
                              </w:r>
                            </w:p>
                          </w:txbxContent>
                        </wps:txbx>
                        <wps:bodyPr lIns="92430" tIns="46213" rIns="92430" bIns="46213" upright="1"/>
                      </wps:wsp>
                      <wps:wsp>
                        <wps:cNvPr id="31" name="文本框 282"/>
                        <wps:cNvSpPr txBox="1"/>
                        <wps:spPr>
                          <a:xfrm>
                            <a:off x="978008" y="494609"/>
                            <a:ext cx="502304" cy="242004"/>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1"/>
                                  <w:szCs w:val="21"/>
                                </w:rPr>
                              </w:pPr>
                              <w:r>
                                <w:rPr>
                                  <w:rFonts w:hint="eastAsia"/>
                                  <w:sz w:val="21"/>
                                  <w:szCs w:val="21"/>
                                </w:rPr>
                                <w:t>饲喂</w:t>
                              </w:r>
                            </w:p>
                          </w:txbxContent>
                        </wps:txbx>
                        <wps:bodyPr lIns="92430" tIns="46213" rIns="92430" bIns="46213" upright="1"/>
                      </wps:wsp>
                      <wps:wsp>
                        <wps:cNvPr id="32" name="文本框 283"/>
                        <wps:cNvSpPr txBox="1"/>
                        <wps:spPr>
                          <a:xfrm>
                            <a:off x="969708" y="911816"/>
                            <a:ext cx="502304" cy="262305"/>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1"/>
                                  <w:szCs w:val="21"/>
                                </w:rPr>
                              </w:pPr>
                              <w:r>
                                <w:rPr>
                                  <w:rFonts w:hint="eastAsia"/>
                                  <w:sz w:val="21"/>
                                  <w:szCs w:val="21"/>
                                </w:rPr>
                                <w:t>温度</w:t>
                              </w:r>
                            </w:p>
                          </w:txbxContent>
                        </wps:txbx>
                        <wps:bodyPr lIns="92430" tIns="46213" rIns="92430" bIns="46213" upright="1"/>
                      </wps:wsp>
                      <wps:wsp>
                        <wps:cNvPr id="33" name="文本框 284"/>
                        <wps:cNvSpPr txBox="1"/>
                        <wps:spPr>
                          <a:xfrm>
                            <a:off x="985608" y="1428725"/>
                            <a:ext cx="494704" cy="243204"/>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1"/>
                                  <w:szCs w:val="21"/>
                                </w:rPr>
                              </w:pPr>
                              <w:r>
                                <w:rPr>
                                  <w:rFonts w:hint="eastAsia"/>
                                  <w:sz w:val="21"/>
                                  <w:szCs w:val="21"/>
                                </w:rPr>
                                <w:t>湿度</w:t>
                              </w:r>
                            </w:p>
                          </w:txbxContent>
                        </wps:txbx>
                        <wps:bodyPr lIns="92430" tIns="46213" rIns="92430" bIns="46213" upright="1"/>
                      </wps:wsp>
                      <wps:wsp>
                        <wps:cNvPr id="34" name="文本框 285"/>
                        <wps:cNvSpPr txBox="1"/>
                        <wps:spPr>
                          <a:xfrm>
                            <a:off x="965908" y="1899233"/>
                            <a:ext cx="522704" cy="243204"/>
                          </a:xfrm>
                          <a:prstGeom prst="rect">
                            <a:avLst/>
                          </a:prstGeom>
                          <a:noFill/>
                          <a:ln w="6350" cap="flat" cmpd="sng">
                            <a:solidFill>
                              <a:srgbClr val="000000"/>
                            </a:solidFill>
                            <a:prstDash val="solid"/>
                            <a:miter/>
                            <a:headEnd type="none" w="med" len="med"/>
                            <a:tailEnd type="none" w="med" len="med"/>
                          </a:ln>
                        </wps:spPr>
                        <wps:txbx>
                          <w:txbxContent>
                            <w:p>
                              <w:pPr>
                                <w:spacing w:line="240" w:lineRule="exact"/>
                                <w:jc w:val="center"/>
                                <w:rPr>
                                  <w:sz w:val="21"/>
                                  <w:szCs w:val="21"/>
                                </w:rPr>
                              </w:pPr>
                              <w:r>
                                <w:rPr>
                                  <w:rFonts w:hint="eastAsia"/>
                                  <w:sz w:val="21"/>
                                  <w:szCs w:val="21"/>
                                </w:rPr>
                                <w:t>通风</w:t>
                              </w:r>
                            </w:p>
                          </w:txbxContent>
                        </wps:txbx>
                        <wps:bodyPr lIns="92430" tIns="46213" rIns="92430" bIns="46213" upright="1"/>
                      </wps:wsp>
                      <wps:wsp>
                        <wps:cNvPr id="35" name="自选图形 76"/>
                        <wps:cNvCnPr/>
                        <wps:spPr>
                          <a:xfrm flipH="1" flipV="1">
                            <a:off x="530804" y="2011635"/>
                            <a:ext cx="422903" cy="3200"/>
                          </a:xfrm>
                          <a:prstGeom prst="straightConnector1">
                            <a:avLst/>
                          </a:prstGeom>
                          <a:ln w="6350" cap="flat" cmpd="sng">
                            <a:solidFill>
                              <a:srgbClr val="00B0F0"/>
                            </a:solidFill>
                            <a:prstDash val="dash"/>
                            <a:headEnd type="none" w="med" len="med"/>
                            <a:tailEnd type="triangle" w="med" len="med"/>
                          </a:ln>
                        </wps:spPr>
                        <wps:bodyPr/>
                      </wps:wsp>
                      <wps:wsp>
                        <wps:cNvPr id="36" name="文本框 75"/>
                        <wps:cNvSpPr txBox="1"/>
                        <wps:spPr>
                          <a:xfrm>
                            <a:off x="102201" y="1882132"/>
                            <a:ext cx="512404" cy="337806"/>
                          </a:xfrm>
                          <a:prstGeom prst="rect">
                            <a:avLst/>
                          </a:prstGeom>
                          <a:noFill/>
                          <a:ln w="6350">
                            <a:noFill/>
                          </a:ln>
                        </wps:spPr>
                        <wps:txbx>
                          <w:txbxContent>
                            <w:p>
                              <w:pPr>
                                <w:jc w:val="center"/>
                                <w:rPr>
                                  <w:sz w:val="21"/>
                                  <w:szCs w:val="21"/>
                                </w:rPr>
                              </w:pPr>
                              <w:r>
                                <w:rPr>
                                  <w:rFonts w:hint="eastAsia"/>
                                  <w:sz w:val="21"/>
                                  <w:szCs w:val="21"/>
                                </w:rPr>
                                <w:t>噪声</w:t>
                              </w:r>
                            </w:p>
                          </w:txbxContent>
                        </wps:txbx>
                        <wps:bodyPr lIns="92430" tIns="46213" rIns="92430" bIns="46213" upright="1"/>
                      </wps:wsp>
                      <wps:wsp>
                        <wps:cNvPr id="38" name="直接箭头连接符 22"/>
                        <wps:cNvCnPr/>
                        <wps:spPr>
                          <a:xfrm flipV="1">
                            <a:off x="474304" y="577810"/>
                            <a:ext cx="7000" cy="316905"/>
                          </a:xfrm>
                          <a:prstGeom prst="straightConnector1">
                            <a:avLst/>
                          </a:prstGeom>
                          <a:ln w="6350" cap="flat" cmpd="sng">
                            <a:solidFill>
                              <a:srgbClr val="00B0F0"/>
                            </a:solidFill>
                            <a:prstDash val="dash"/>
                            <a:headEnd type="none" w="med" len="med"/>
                            <a:tailEnd type="triangle" w="med" len="med"/>
                          </a:ln>
                        </wps:spPr>
                        <wps:bodyPr/>
                      </wps:wsp>
                      <wps:wsp>
                        <wps:cNvPr id="39" name="文本框 73"/>
                        <wps:cNvSpPr txBox="1"/>
                        <wps:spPr>
                          <a:xfrm>
                            <a:off x="0" y="252004"/>
                            <a:ext cx="1091509" cy="299105"/>
                          </a:xfrm>
                          <a:prstGeom prst="rect">
                            <a:avLst/>
                          </a:prstGeom>
                          <a:noFill/>
                          <a:ln w="6350">
                            <a:noFill/>
                          </a:ln>
                        </wps:spPr>
                        <wps:txbx>
                          <w:txbxContent>
                            <w:p>
                              <w:pPr>
                                <w:rPr>
                                  <w:sz w:val="21"/>
                                  <w:szCs w:val="21"/>
                                </w:rPr>
                              </w:pPr>
                              <w:r>
                                <w:rPr>
                                  <w:rFonts w:hint="eastAsia"/>
                                  <w:sz w:val="21"/>
                                  <w:szCs w:val="21"/>
                                </w:rPr>
                                <w:t>锅炉废气、噪声</w:t>
                              </w:r>
                            </w:p>
                          </w:txbxContent>
                        </wps:txbx>
                        <wps:bodyPr lIns="92430" tIns="46213" rIns="92430" bIns="46213" upright="1"/>
                      </wps:wsp>
                      <wps:wsp>
                        <wps:cNvPr id="40" name="直接箭头连接符 286"/>
                        <wps:cNvCnPr/>
                        <wps:spPr>
                          <a:xfrm>
                            <a:off x="3169925" y="170103"/>
                            <a:ext cx="8200" cy="2322240"/>
                          </a:xfrm>
                          <a:prstGeom prst="straightConnector1">
                            <a:avLst/>
                          </a:prstGeom>
                          <a:ln w="6350" cap="flat" cmpd="sng">
                            <a:solidFill>
                              <a:srgbClr val="00B0F0"/>
                            </a:solidFill>
                            <a:prstDash val="dash"/>
                            <a:headEnd type="none" w="med" len="med"/>
                            <a:tailEnd type="none" w="med" len="med"/>
                          </a:ln>
                        </wps:spPr>
                        <wps:bodyPr/>
                      </wps:wsp>
                      <wps:wsp>
                        <wps:cNvPr id="41" name="直接箭头连接符 287"/>
                        <wps:cNvCnPr/>
                        <wps:spPr>
                          <a:xfrm>
                            <a:off x="3173725" y="269205"/>
                            <a:ext cx="480704" cy="7000"/>
                          </a:xfrm>
                          <a:prstGeom prst="straightConnector1">
                            <a:avLst/>
                          </a:prstGeom>
                          <a:ln w="6350" cap="flat" cmpd="sng">
                            <a:solidFill>
                              <a:srgbClr val="00B0F0"/>
                            </a:solidFill>
                            <a:prstDash val="dash"/>
                            <a:headEnd type="none" w="med" len="med"/>
                            <a:tailEnd type="triangle" w="med" len="med"/>
                          </a:ln>
                        </wps:spPr>
                        <wps:bodyPr/>
                      </wps:wsp>
                      <wps:wsp>
                        <wps:cNvPr id="42" name="文本框 288"/>
                        <wps:cNvSpPr txBox="1"/>
                        <wps:spPr>
                          <a:xfrm>
                            <a:off x="3545228" y="123802"/>
                            <a:ext cx="921307" cy="289505"/>
                          </a:xfrm>
                          <a:prstGeom prst="rect">
                            <a:avLst/>
                          </a:prstGeom>
                          <a:noFill/>
                          <a:ln w="6350">
                            <a:noFill/>
                          </a:ln>
                        </wps:spPr>
                        <wps:txbx>
                          <w:txbxContent>
                            <w:p>
                              <w:pPr>
                                <w:jc w:val="center"/>
                                <w:rPr>
                                  <w:sz w:val="21"/>
                                  <w:szCs w:val="21"/>
                                </w:rPr>
                              </w:pPr>
                              <w:r>
                                <w:rPr>
                                  <w:rFonts w:hint="eastAsia"/>
                                  <w:sz w:val="21"/>
                                  <w:szCs w:val="21"/>
                                </w:rPr>
                                <w:t>恶臭气体</w:t>
                              </w:r>
                            </w:p>
                          </w:txbxContent>
                        </wps:txbx>
                        <wps:bodyPr lIns="92430" tIns="46213" rIns="92430" bIns="46213" upright="1"/>
                      </wps:wsp>
                      <wps:wsp>
                        <wps:cNvPr id="43" name="文本框 290"/>
                        <wps:cNvSpPr txBox="1"/>
                        <wps:spPr>
                          <a:xfrm>
                            <a:off x="3028950" y="2186940"/>
                            <a:ext cx="736600" cy="243205"/>
                          </a:xfrm>
                          <a:prstGeom prst="rect">
                            <a:avLst/>
                          </a:prstGeom>
                          <a:noFill/>
                          <a:ln w="6350">
                            <a:noFill/>
                          </a:ln>
                        </wps:spPr>
                        <wps:txbx>
                          <w:txbxContent>
                            <w:p>
                              <w:pPr>
                                <w:spacing w:line="240" w:lineRule="exact"/>
                                <w:jc w:val="center"/>
                                <w:rPr>
                                  <w:sz w:val="21"/>
                                  <w:szCs w:val="21"/>
                                </w:rPr>
                              </w:pPr>
                              <w:r>
                                <w:rPr>
                                  <w:rFonts w:hint="eastAsia"/>
                                  <w:sz w:val="21"/>
                                  <w:szCs w:val="21"/>
                                </w:rPr>
                                <w:t>废水</w:t>
                              </w:r>
                            </w:p>
                          </w:txbxContent>
                        </wps:txbx>
                        <wps:bodyPr lIns="92430" tIns="46213" rIns="92430" bIns="46213" upright="1"/>
                      </wps:wsp>
                      <wps:wsp>
                        <wps:cNvPr id="44" name="文本框 291"/>
                        <wps:cNvSpPr txBox="1"/>
                        <wps:spPr>
                          <a:xfrm>
                            <a:off x="3025140" y="1299210"/>
                            <a:ext cx="999490" cy="243205"/>
                          </a:xfrm>
                          <a:prstGeom prst="rect">
                            <a:avLst/>
                          </a:prstGeom>
                          <a:noFill/>
                          <a:ln w="6350">
                            <a:noFill/>
                          </a:ln>
                        </wps:spPr>
                        <wps:txbx>
                          <w:txbxContent>
                            <w:p>
                              <w:pPr>
                                <w:spacing w:line="240" w:lineRule="exact"/>
                                <w:jc w:val="center"/>
                                <w:rPr>
                                  <w:rFonts w:hint="default" w:eastAsia="仿宋"/>
                                  <w:sz w:val="21"/>
                                  <w:szCs w:val="21"/>
                                  <w:lang w:val="en-US" w:eastAsia="zh-CN"/>
                                </w:rPr>
                              </w:pPr>
                              <w:r>
                                <w:rPr>
                                  <w:rFonts w:hint="eastAsia"/>
                                  <w:sz w:val="21"/>
                                  <w:szCs w:val="21"/>
                                </w:rPr>
                                <w:t>鸡粪</w:t>
                              </w:r>
                              <w:r>
                                <w:rPr>
                                  <w:rFonts w:hint="eastAsia"/>
                                  <w:sz w:val="21"/>
                                  <w:szCs w:val="21"/>
                                  <w:lang w:val="en-US" w:eastAsia="zh-CN"/>
                                </w:rPr>
                                <w:t>和羽毛</w:t>
                              </w:r>
                            </w:p>
                          </w:txbxContent>
                        </wps:txbx>
                        <wps:bodyPr lIns="92430" tIns="46213" rIns="92430" bIns="46213" upright="1"/>
                      </wps:wsp>
                      <wps:wsp>
                        <wps:cNvPr id="45" name="文本框 292"/>
                        <wps:cNvSpPr txBox="1"/>
                        <wps:spPr>
                          <a:xfrm>
                            <a:off x="3107055" y="428625"/>
                            <a:ext cx="624205" cy="242570"/>
                          </a:xfrm>
                          <a:prstGeom prst="rect">
                            <a:avLst/>
                          </a:prstGeom>
                          <a:noFill/>
                          <a:ln w="6350">
                            <a:noFill/>
                          </a:ln>
                        </wps:spPr>
                        <wps:txbx>
                          <w:txbxContent>
                            <w:p>
                              <w:pPr>
                                <w:spacing w:line="240" w:lineRule="exact"/>
                                <w:jc w:val="center"/>
                                <w:rPr>
                                  <w:sz w:val="21"/>
                                  <w:szCs w:val="21"/>
                                </w:rPr>
                              </w:pPr>
                              <w:r>
                                <w:rPr>
                                  <w:rFonts w:hint="eastAsia"/>
                                  <w:sz w:val="21"/>
                                  <w:szCs w:val="21"/>
                                </w:rPr>
                                <w:t>病死鸡</w:t>
                              </w:r>
                            </w:p>
                          </w:txbxContent>
                        </wps:txbx>
                        <wps:bodyPr lIns="92430" tIns="46213" rIns="92430" bIns="46213" upright="1"/>
                      </wps:wsp>
                      <wps:wsp>
                        <wps:cNvPr id="46" name="直接箭头连接符 293"/>
                        <wps:cNvCnPr/>
                        <wps:spPr>
                          <a:xfrm flipH="1" flipV="1">
                            <a:off x="1484612" y="626111"/>
                            <a:ext cx="253302" cy="600"/>
                          </a:xfrm>
                          <a:prstGeom prst="straightConnector1">
                            <a:avLst/>
                          </a:prstGeom>
                          <a:ln w="6350" cap="flat" cmpd="sng">
                            <a:solidFill>
                              <a:srgbClr val="000000"/>
                            </a:solidFill>
                            <a:prstDash val="solid"/>
                            <a:headEnd type="none" w="med" len="med"/>
                            <a:tailEnd type="none" w="med" len="med"/>
                          </a:ln>
                        </wps:spPr>
                        <wps:bodyPr/>
                      </wps:wsp>
                      <wps:wsp>
                        <wps:cNvPr id="47" name="直接箭头连接符 294"/>
                        <wps:cNvCnPr/>
                        <wps:spPr>
                          <a:xfrm flipH="1">
                            <a:off x="1470012" y="1037518"/>
                            <a:ext cx="262202" cy="700"/>
                          </a:xfrm>
                          <a:prstGeom prst="straightConnector1">
                            <a:avLst/>
                          </a:prstGeom>
                          <a:ln w="6350" cap="flat" cmpd="sng">
                            <a:solidFill>
                              <a:srgbClr val="000000"/>
                            </a:solidFill>
                            <a:prstDash val="solid"/>
                            <a:headEnd type="none" w="med" len="med"/>
                            <a:tailEnd type="none" w="med" len="med"/>
                          </a:ln>
                        </wps:spPr>
                        <wps:bodyPr/>
                      </wps:wsp>
                      <wps:wsp>
                        <wps:cNvPr id="48" name="直接箭头连接符 295"/>
                        <wps:cNvCnPr/>
                        <wps:spPr>
                          <a:xfrm flipH="1" flipV="1">
                            <a:off x="1484612" y="1544927"/>
                            <a:ext cx="253302" cy="600"/>
                          </a:xfrm>
                          <a:prstGeom prst="straightConnector1">
                            <a:avLst/>
                          </a:prstGeom>
                          <a:ln w="6350" cap="flat" cmpd="sng">
                            <a:solidFill>
                              <a:srgbClr val="000000"/>
                            </a:solidFill>
                            <a:prstDash val="solid"/>
                            <a:headEnd type="none" w="med" len="med"/>
                            <a:tailEnd type="none" w="med" len="med"/>
                          </a:ln>
                        </wps:spPr>
                        <wps:bodyPr/>
                      </wps:wsp>
                      <wps:wsp>
                        <wps:cNvPr id="49" name="直接箭头连接符 296"/>
                        <wps:cNvCnPr/>
                        <wps:spPr>
                          <a:xfrm flipH="1" flipV="1">
                            <a:off x="1492212" y="2009735"/>
                            <a:ext cx="240002" cy="700"/>
                          </a:xfrm>
                          <a:prstGeom prst="straightConnector1">
                            <a:avLst/>
                          </a:prstGeom>
                          <a:ln w="6350" cap="flat" cmpd="sng">
                            <a:solidFill>
                              <a:srgbClr val="000000"/>
                            </a:solidFill>
                            <a:prstDash val="solid"/>
                            <a:headEnd type="none" w="med" len="med"/>
                            <a:tailEnd type="none" w="med" len="med"/>
                          </a:ln>
                        </wps:spPr>
                        <wps:bodyPr/>
                      </wps:wsp>
                      <wps:wsp>
                        <wps:cNvPr id="50" name="直接箭头连接符 297"/>
                        <wps:cNvCnPr/>
                        <wps:spPr>
                          <a:xfrm flipH="1" flipV="1">
                            <a:off x="1482712" y="2466942"/>
                            <a:ext cx="253302" cy="700"/>
                          </a:xfrm>
                          <a:prstGeom prst="straightConnector1">
                            <a:avLst/>
                          </a:prstGeom>
                          <a:ln w="6350" cap="flat" cmpd="sng">
                            <a:solidFill>
                              <a:srgbClr val="000000"/>
                            </a:solidFill>
                            <a:prstDash val="solid"/>
                            <a:headEnd type="none" w="med" len="med"/>
                            <a:tailEnd type="none" w="med" len="med"/>
                          </a:ln>
                        </wps:spPr>
                        <wps:bodyPr/>
                      </wps:wsp>
                      <wps:wsp>
                        <wps:cNvPr id="51" name="直接箭头连接符 298"/>
                        <wps:cNvCnPr/>
                        <wps:spPr>
                          <a:xfrm>
                            <a:off x="729606" y="1051518"/>
                            <a:ext cx="246302" cy="1900"/>
                          </a:xfrm>
                          <a:prstGeom prst="straightConnector1">
                            <a:avLst/>
                          </a:prstGeom>
                          <a:ln w="6350" cap="flat" cmpd="sng">
                            <a:solidFill>
                              <a:srgbClr val="000000"/>
                            </a:solidFill>
                            <a:prstDash val="solid"/>
                            <a:headEnd type="none" w="med" len="med"/>
                            <a:tailEnd type="triangle" w="med" len="med"/>
                          </a:ln>
                        </wps:spPr>
                        <wps:bodyPr/>
                      </wps:wsp>
                      <wps:wsp>
                        <wps:cNvPr id="52" name="文本框 299"/>
                        <wps:cNvSpPr txBox="1"/>
                        <wps:spPr>
                          <a:xfrm>
                            <a:off x="226602" y="895915"/>
                            <a:ext cx="501704" cy="291505"/>
                          </a:xfrm>
                          <a:prstGeom prst="rect">
                            <a:avLst/>
                          </a:prstGeom>
                          <a:noFill/>
                          <a:ln w="6350"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锅炉</w:t>
                              </w:r>
                            </w:p>
                          </w:txbxContent>
                        </wps:txbx>
                        <wps:bodyPr lIns="92430" tIns="46213" rIns="92430" bIns="46213" upright="1"/>
                      </wps:wsp>
                      <wps:wsp>
                        <wps:cNvPr id="53" name="直接箭头连接符 300"/>
                        <wps:cNvCnPr/>
                        <wps:spPr>
                          <a:xfrm flipH="1" flipV="1">
                            <a:off x="2920623" y="169503"/>
                            <a:ext cx="252802" cy="600"/>
                          </a:xfrm>
                          <a:prstGeom prst="straightConnector1">
                            <a:avLst/>
                          </a:prstGeom>
                          <a:ln w="6350" cap="flat" cmpd="sng">
                            <a:solidFill>
                              <a:srgbClr val="00B0F0"/>
                            </a:solidFill>
                            <a:prstDash val="dash"/>
                            <a:headEnd type="none" w="med" len="med"/>
                            <a:tailEnd type="none" w="med" len="med"/>
                          </a:ln>
                        </wps:spPr>
                        <wps:bodyPr/>
                      </wps:wsp>
                      <wps:wsp>
                        <wps:cNvPr id="54" name="直接箭头连接符 301"/>
                        <wps:cNvCnPr/>
                        <wps:spPr>
                          <a:xfrm flipH="1">
                            <a:off x="2911423" y="2493643"/>
                            <a:ext cx="261602" cy="1900"/>
                          </a:xfrm>
                          <a:prstGeom prst="straightConnector1">
                            <a:avLst/>
                          </a:prstGeom>
                          <a:ln w="6350" cap="flat" cmpd="sng">
                            <a:solidFill>
                              <a:srgbClr val="00B0F0"/>
                            </a:solidFill>
                            <a:prstDash val="dash"/>
                            <a:headEnd type="none" w="med" len="med"/>
                            <a:tailEnd type="none" w="med" len="med"/>
                          </a:ln>
                        </wps:spPr>
                        <wps:bodyPr/>
                      </wps:wsp>
                      <wps:wsp>
                        <wps:cNvPr id="55" name="直接箭头连接符 302"/>
                        <wps:cNvCnPr/>
                        <wps:spPr>
                          <a:xfrm>
                            <a:off x="3181350" y="688340"/>
                            <a:ext cx="492125" cy="635"/>
                          </a:xfrm>
                          <a:prstGeom prst="straightConnector1">
                            <a:avLst/>
                          </a:prstGeom>
                          <a:ln w="6350" cap="flat" cmpd="sng">
                            <a:solidFill>
                              <a:srgbClr val="00B0F0"/>
                            </a:solidFill>
                            <a:prstDash val="dash"/>
                            <a:headEnd type="none" w="med" len="med"/>
                            <a:tailEnd type="triangle" w="med" len="med"/>
                          </a:ln>
                        </wps:spPr>
                        <wps:bodyPr/>
                      </wps:wsp>
                      <wps:wsp>
                        <wps:cNvPr id="56" name="直接箭头连接符 315"/>
                        <wps:cNvCnPr/>
                        <wps:spPr>
                          <a:xfrm>
                            <a:off x="3171190" y="1550670"/>
                            <a:ext cx="501650" cy="3175"/>
                          </a:xfrm>
                          <a:prstGeom prst="straightConnector1">
                            <a:avLst/>
                          </a:prstGeom>
                          <a:ln w="6350" cap="flat" cmpd="sng">
                            <a:solidFill>
                              <a:srgbClr val="00B0F0"/>
                            </a:solidFill>
                            <a:prstDash val="dash"/>
                            <a:headEnd type="none" w="med" len="med"/>
                            <a:tailEnd type="triangle" w="med" len="med"/>
                          </a:ln>
                        </wps:spPr>
                        <wps:bodyPr/>
                      </wps:wsp>
                      <wps:wsp>
                        <wps:cNvPr id="57" name="文本框 318"/>
                        <wps:cNvSpPr txBox="1"/>
                        <wps:spPr>
                          <a:xfrm>
                            <a:off x="3089275" y="1678305"/>
                            <a:ext cx="764540" cy="278765"/>
                          </a:xfrm>
                          <a:prstGeom prst="rect">
                            <a:avLst/>
                          </a:prstGeom>
                          <a:noFill/>
                          <a:ln w="6350">
                            <a:noFill/>
                          </a:ln>
                        </wps:spPr>
                        <wps:txbx>
                          <w:txbxContent>
                            <w:p>
                              <w:pPr>
                                <w:rPr>
                                  <w:sz w:val="21"/>
                                  <w:szCs w:val="21"/>
                                </w:rPr>
                              </w:pPr>
                              <w:r>
                                <w:rPr>
                                  <w:rFonts w:hint="eastAsia"/>
                                  <w:sz w:val="21"/>
                                  <w:szCs w:val="21"/>
                                </w:rPr>
                                <w:t>医疗垃圾</w:t>
                              </w:r>
                            </w:p>
                          </w:txbxContent>
                        </wps:txbx>
                        <wps:bodyPr lIns="92430" tIns="46213" rIns="92430" bIns="46213" upright="1"/>
                      </wps:wsp>
                      <wps:wsp>
                        <wps:cNvPr id="58" name="直接箭头连接符 66"/>
                        <wps:cNvCnPr/>
                        <wps:spPr>
                          <a:xfrm flipV="1">
                            <a:off x="3183255" y="1979295"/>
                            <a:ext cx="494665" cy="1905"/>
                          </a:xfrm>
                          <a:prstGeom prst="straightConnector1">
                            <a:avLst/>
                          </a:prstGeom>
                          <a:ln w="6350" cap="flat" cmpd="sng">
                            <a:solidFill>
                              <a:srgbClr val="00B0F0"/>
                            </a:solidFill>
                            <a:prstDash val="dash"/>
                            <a:headEnd type="none" w="med" len="med"/>
                            <a:tailEnd type="triangle" w="med" len="med"/>
                          </a:ln>
                        </wps:spPr>
                        <wps:bodyPr/>
                      </wps:wsp>
                      <wps:wsp>
                        <wps:cNvPr id="59" name="文本框 67"/>
                        <wps:cNvSpPr txBox="1"/>
                        <wps:spPr>
                          <a:xfrm>
                            <a:off x="3700145" y="1854835"/>
                            <a:ext cx="570865" cy="253365"/>
                          </a:xfrm>
                          <a:prstGeom prst="rect">
                            <a:avLst/>
                          </a:prstGeom>
                          <a:noFill/>
                          <a:ln w="12700" cap="flat" cmpd="sng">
                            <a:solidFill>
                              <a:srgbClr val="000000"/>
                            </a:solidFill>
                            <a:prstDash val="solid"/>
                            <a:miter/>
                            <a:headEnd type="none" w="med" len="med"/>
                            <a:tailEnd type="none" w="med" len="med"/>
                          </a:ln>
                        </wps:spPr>
                        <wps:txbx>
                          <w:txbxContent>
                            <w:p>
                              <w:pPr>
                                <w:spacing w:line="240" w:lineRule="exact"/>
                                <w:jc w:val="center"/>
                                <w:rPr>
                                  <w:rFonts w:eastAsia="宋体"/>
                                  <w:sz w:val="21"/>
                                  <w:szCs w:val="21"/>
                                </w:rPr>
                              </w:pPr>
                              <w:r>
                                <w:rPr>
                                  <w:rFonts w:hint="eastAsia" w:ascii="Times New Roman"/>
                                  <w:sz w:val="21"/>
                                  <w:szCs w:val="21"/>
                                </w:rPr>
                                <w:t>危废间</w:t>
                              </w:r>
                            </w:p>
                          </w:txbxContent>
                        </wps:txbx>
                        <wps:bodyPr lIns="36000" tIns="45720" rIns="36000" bIns="45720" upright="1"/>
                      </wps:wsp>
                      <wps:wsp>
                        <wps:cNvPr id="60" name="文本框 319"/>
                        <wps:cNvSpPr txBox="1"/>
                        <wps:spPr>
                          <a:xfrm>
                            <a:off x="0" y="1432525"/>
                            <a:ext cx="965808" cy="327706"/>
                          </a:xfrm>
                          <a:prstGeom prst="rect">
                            <a:avLst/>
                          </a:prstGeom>
                          <a:noFill/>
                          <a:ln w="6350">
                            <a:noFill/>
                          </a:ln>
                        </wps:spPr>
                        <wps:txbx>
                          <w:txbxContent>
                            <w:p>
                              <w:pP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锅炉废水、灰渣</w:t>
                              </w:r>
                            </w:p>
                          </w:txbxContent>
                        </wps:txbx>
                        <wps:bodyPr lIns="36000" tIns="46213" rIns="36000" bIns="46213" upright="1"/>
                      </wps:wsp>
                      <wps:wsp>
                        <wps:cNvPr id="61" name="直接箭头连接符 320"/>
                        <wps:cNvCnPr/>
                        <wps:spPr>
                          <a:xfrm>
                            <a:off x="474304" y="1189320"/>
                            <a:ext cx="0" cy="335306"/>
                          </a:xfrm>
                          <a:prstGeom prst="straightConnector1">
                            <a:avLst/>
                          </a:prstGeom>
                          <a:ln w="6350" cap="flat" cmpd="sng">
                            <a:solidFill>
                              <a:srgbClr val="00B0F0"/>
                            </a:solidFill>
                            <a:prstDash val="dash"/>
                            <a:headEnd type="none" w="med" len="med"/>
                            <a:tailEnd type="triangle" w="med" len="med"/>
                          </a:ln>
                        </wps:spPr>
                        <wps:bodyPr/>
                      </wps:wsp>
                      <wps:wsp>
                        <wps:cNvPr id="62" name="直接箭头连接符 66"/>
                        <wps:cNvCnPr/>
                        <wps:spPr>
                          <a:xfrm flipV="1">
                            <a:off x="3189605" y="2426970"/>
                            <a:ext cx="493395" cy="3810"/>
                          </a:xfrm>
                          <a:prstGeom prst="straightConnector1">
                            <a:avLst/>
                          </a:prstGeom>
                          <a:ln w="6350" cap="flat" cmpd="sng">
                            <a:solidFill>
                              <a:srgbClr val="00B0F0"/>
                            </a:solidFill>
                            <a:prstDash val="dash"/>
                            <a:headEnd type="none" w="med" len="med"/>
                            <a:tailEnd type="triangle" w="med" len="med"/>
                          </a:ln>
                        </wps:spPr>
                        <wps:bodyPr/>
                      </wps:wsp>
                      <wps:wsp>
                        <wps:cNvPr id="63" name="文本框 450"/>
                        <wps:cNvSpPr txBox="1"/>
                        <wps:spPr>
                          <a:xfrm>
                            <a:off x="3725545" y="2300605"/>
                            <a:ext cx="889635" cy="327025"/>
                          </a:xfrm>
                          <a:prstGeom prst="rect">
                            <a:avLst/>
                          </a:prstGeom>
                          <a:noFill/>
                          <a:ln w="6350" cap="flat" cmpd="sng">
                            <a:solidFill>
                              <a:srgbClr val="000000"/>
                            </a:solidFill>
                            <a:prstDash val="solid"/>
                            <a:miter/>
                            <a:headEnd type="none" w="med" len="med"/>
                            <a:tailEnd type="none" w="med" len="med"/>
                          </a:ln>
                        </wps:spPr>
                        <wps:txbx>
                          <w:txbxContent>
                            <w:p>
                              <w:pPr>
                                <w:jc w:val="center"/>
                                <w:rPr>
                                  <w:rFonts w:eastAsia="宋体"/>
                                  <w:sz w:val="21"/>
                                  <w:szCs w:val="21"/>
                                </w:rPr>
                              </w:pPr>
                              <w:r>
                                <w:rPr>
                                  <w:rFonts w:hint="eastAsia"/>
                                  <w:sz w:val="21"/>
                                  <w:szCs w:val="21"/>
                                </w:rPr>
                                <w:t>污水沉淀池</w:t>
                              </w:r>
                            </w:p>
                          </w:txbxContent>
                        </wps:txbx>
                        <wps:bodyPr upright="1"/>
                      </wps:wsp>
                      <wps:wsp>
                        <wps:cNvPr id="64" name="文本框 20"/>
                        <wps:cNvSpPr txBox="1"/>
                        <wps:spPr>
                          <a:xfrm>
                            <a:off x="3709035" y="549275"/>
                            <a:ext cx="601345" cy="300990"/>
                          </a:xfrm>
                          <a:prstGeom prst="rect">
                            <a:avLst/>
                          </a:prstGeom>
                          <a:noFill/>
                          <a:ln w="6350" cap="flat" cmpd="sng">
                            <a:solidFill>
                              <a:srgbClr val="000000"/>
                            </a:solidFill>
                            <a:prstDash val="solid"/>
                            <a:miter/>
                            <a:headEnd type="none" w="med" len="med"/>
                            <a:tailEnd type="none" w="med" len="med"/>
                          </a:ln>
                        </wps:spPr>
                        <wps:txbx>
                          <w:txbxContent>
                            <w:p>
                              <w:pPr>
                                <w:rPr>
                                  <w:rFonts w:eastAsia="宋体"/>
                                  <w:sz w:val="21"/>
                                  <w:szCs w:val="21"/>
                                </w:rPr>
                              </w:pPr>
                              <w:r>
                                <w:rPr>
                                  <w:rFonts w:hint="eastAsia"/>
                                  <w:sz w:val="21"/>
                                  <w:szCs w:val="21"/>
                                </w:rPr>
                                <w:t>冷藏柜</w:t>
                              </w:r>
                            </w:p>
                          </w:txbxContent>
                        </wps:txbx>
                        <wps:bodyPr upright="1"/>
                      </wps:wsp>
                      <wps:wsp>
                        <wps:cNvPr id="65" name="文本框 22"/>
                        <wps:cNvSpPr txBox="1"/>
                        <wps:spPr>
                          <a:xfrm>
                            <a:off x="4700905" y="459105"/>
                            <a:ext cx="898525" cy="501015"/>
                          </a:xfrm>
                          <a:prstGeom prst="rect">
                            <a:avLst/>
                          </a:prstGeom>
                          <a:noFill/>
                          <a:ln w="6350">
                            <a:noFill/>
                          </a:ln>
                        </wps:spPr>
                        <wps:txbx>
                          <w:txbxContent>
                            <w:p>
                              <w:pPr>
                                <w:rPr>
                                  <w:rFonts w:eastAsia="宋体"/>
                                  <w:sz w:val="21"/>
                                  <w:szCs w:val="21"/>
                                </w:rPr>
                              </w:pPr>
                              <w:r>
                                <w:rPr>
                                  <w:rFonts w:hint="eastAsia"/>
                                  <w:sz w:val="21"/>
                                  <w:szCs w:val="21"/>
                                </w:rPr>
                                <w:t>委托无害化处理</w:t>
                              </w:r>
                            </w:p>
                          </w:txbxContent>
                        </wps:txbx>
                        <wps:bodyPr upright="1"/>
                      </wps:wsp>
                      <wps:wsp>
                        <wps:cNvPr id="66" name="直接箭头连接符 64"/>
                        <wps:cNvCnPr/>
                        <wps:spPr>
                          <a:xfrm>
                            <a:off x="4614545" y="2461260"/>
                            <a:ext cx="409575" cy="0"/>
                          </a:xfrm>
                          <a:prstGeom prst="straightConnector1">
                            <a:avLst/>
                          </a:prstGeom>
                          <a:ln w="9525" cap="flat" cmpd="sng">
                            <a:solidFill>
                              <a:srgbClr val="000000"/>
                            </a:solidFill>
                            <a:prstDash val="solid"/>
                            <a:headEnd type="none" w="med" len="med"/>
                            <a:tailEnd type="arrow" w="med" len="med"/>
                          </a:ln>
                        </wps:spPr>
                        <wps:bodyPr/>
                      </wps:wsp>
                      <wps:wsp>
                        <wps:cNvPr id="67" name="文本框 66"/>
                        <wps:cNvSpPr txBox="1"/>
                        <wps:spPr>
                          <a:xfrm>
                            <a:off x="4926330" y="2295525"/>
                            <a:ext cx="729615" cy="721360"/>
                          </a:xfrm>
                          <a:prstGeom prst="rect">
                            <a:avLst/>
                          </a:prstGeom>
                          <a:noFill/>
                          <a:ln w="6350">
                            <a:noFill/>
                          </a:ln>
                        </wps:spPr>
                        <wps:txbx>
                          <w:txbxContent>
                            <w:p>
                              <w:pPr>
                                <w:spacing w:line="0" w:lineRule="atLeast"/>
                                <w:jc w:val="left"/>
                                <w:rPr>
                                  <w:sz w:val="21"/>
                                  <w:szCs w:val="21"/>
                                </w:rPr>
                              </w:pPr>
                              <w:r>
                                <w:rPr>
                                  <w:rFonts w:hint="eastAsia"/>
                                  <w:sz w:val="21"/>
                                  <w:szCs w:val="21"/>
                                </w:rPr>
                                <w:t>外运至新华养殖场处理</w:t>
                              </w:r>
                            </w:p>
                          </w:txbxContent>
                        </wps:txbx>
                        <wps:bodyPr upright="1"/>
                      </wps:wsp>
                      <wps:wsp>
                        <wps:cNvPr id="68" name="直接箭头连接符 23"/>
                        <wps:cNvCnPr/>
                        <wps:spPr>
                          <a:xfrm>
                            <a:off x="4277995" y="1991360"/>
                            <a:ext cx="409575" cy="0"/>
                          </a:xfrm>
                          <a:prstGeom prst="straightConnector1">
                            <a:avLst/>
                          </a:prstGeom>
                          <a:ln w="9525" cap="flat" cmpd="sng">
                            <a:solidFill>
                              <a:srgbClr val="000000"/>
                            </a:solidFill>
                            <a:prstDash val="solid"/>
                            <a:headEnd type="none" w="med" len="med"/>
                            <a:tailEnd type="arrow" w="med" len="med"/>
                          </a:ln>
                        </wps:spPr>
                        <wps:bodyPr/>
                      </wps:wsp>
                      <wps:wsp>
                        <wps:cNvPr id="69" name="文本框 66"/>
                        <wps:cNvSpPr txBox="1"/>
                        <wps:spPr>
                          <a:xfrm>
                            <a:off x="4662805" y="1806575"/>
                            <a:ext cx="961390" cy="487045"/>
                          </a:xfrm>
                          <a:prstGeom prst="rect">
                            <a:avLst/>
                          </a:prstGeom>
                          <a:noFill/>
                          <a:ln w="6350">
                            <a:noFill/>
                          </a:ln>
                        </wps:spPr>
                        <wps:txbx>
                          <w:txbxContent>
                            <w:p>
                              <w:pPr>
                                <w:spacing w:line="0" w:lineRule="atLeast"/>
                                <w:jc w:val="center"/>
                                <w:rPr>
                                  <w:sz w:val="21"/>
                                  <w:szCs w:val="21"/>
                                </w:rPr>
                              </w:pPr>
                              <w:r>
                                <w:rPr>
                                  <w:rFonts w:hint="eastAsia"/>
                                  <w:sz w:val="21"/>
                                  <w:szCs w:val="21"/>
                                </w:rPr>
                                <w:t>委托有资质</w:t>
                              </w:r>
                            </w:p>
                            <w:p>
                              <w:pPr>
                                <w:spacing w:line="0" w:lineRule="atLeast"/>
                                <w:jc w:val="center"/>
                                <w:rPr>
                                  <w:rFonts w:eastAsia="宋体"/>
                                  <w:sz w:val="21"/>
                                  <w:szCs w:val="21"/>
                                </w:rPr>
                              </w:pPr>
                              <w:r>
                                <w:rPr>
                                  <w:rFonts w:hint="eastAsia"/>
                                  <w:sz w:val="21"/>
                                  <w:szCs w:val="21"/>
                                </w:rPr>
                                <w:t>单位清运处置</w:t>
                              </w:r>
                            </w:p>
                          </w:txbxContent>
                        </wps:txbx>
                        <wps:bodyPr upright="1"/>
                      </wps:wsp>
                      <wps:wsp>
                        <wps:cNvPr id="70" name="文本框 22"/>
                        <wps:cNvSpPr txBox="1"/>
                        <wps:spPr>
                          <a:xfrm>
                            <a:off x="3755390" y="1374140"/>
                            <a:ext cx="1824355" cy="339090"/>
                          </a:xfrm>
                          <a:prstGeom prst="rect">
                            <a:avLst/>
                          </a:prstGeom>
                          <a:noFill/>
                          <a:ln w="6350">
                            <a:noFill/>
                          </a:ln>
                        </wps:spPr>
                        <wps:txbx>
                          <w:txbxContent>
                            <w:p>
                              <w:pPr>
                                <w:rPr>
                                  <w:rFonts w:hint="default" w:eastAsia="仿宋"/>
                                  <w:sz w:val="21"/>
                                  <w:szCs w:val="21"/>
                                  <w:lang w:val="en-US" w:eastAsia="zh-CN"/>
                                </w:rPr>
                              </w:pPr>
                              <w:r>
                                <w:rPr>
                                  <w:rFonts w:hint="eastAsia"/>
                                  <w:sz w:val="21"/>
                                  <w:szCs w:val="21"/>
                                  <w:lang w:val="en-US" w:eastAsia="zh-CN"/>
                                </w:rPr>
                                <w:t>暂存舍内</w:t>
                              </w:r>
                              <w:r>
                                <w:rPr>
                                  <w:rFonts w:hint="eastAsia"/>
                                  <w:sz w:val="21"/>
                                  <w:szCs w:val="21"/>
                                </w:rPr>
                                <w:t>暂存</w:t>
                              </w:r>
                              <w:r>
                                <w:rPr>
                                  <w:rFonts w:hint="eastAsia"/>
                                  <w:sz w:val="21"/>
                                  <w:szCs w:val="21"/>
                                  <w:lang w:eastAsia="zh-CN"/>
                                </w:rPr>
                                <w:t>区，</w:t>
                              </w:r>
                              <w:r>
                                <w:rPr>
                                  <w:rFonts w:hint="eastAsia"/>
                                  <w:sz w:val="21"/>
                                  <w:szCs w:val="21"/>
                                  <w:lang w:val="en-US" w:eastAsia="zh-CN"/>
                                </w:rPr>
                                <w:t>后定期外售</w:t>
                              </w:r>
                            </w:p>
                          </w:txbxContent>
                        </wps:txbx>
                        <wps:bodyPr upright="1"/>
                      </wps:wsp>
                      <wps:wsp>
                        <wps:cNvPr id="9" name="直接箭头连接符 287"/>
                        <wps:cNvCnPr/>
                        <wps:spPr>
                          <a:xfrm>
                            <a:off x="3180080" y="1139190"/>
                            <a:ext cx="480695" cy="6985"/>
                          </a:xfrm>
                          <a:prstGeom prst="straightConnector1">
                            <a:avLst/>
                          </a:prstGeom>
                          <a:ln w="6350" cap="flat" cmpd="sng">
                            <a:solidFill>
                              <a:srgbClr val="00B0F0"/>
                            </a:solidFill>
                            <a:prstDash val="dash"/>
                            <a:headEnd type="none" w="med" len="med"/>
                            <a:tailEnd type="triangle" w="med" len="med"/>
                          </a:ln>
                        </wps:spPr>
                        <wps:bodyPr/>
                      </wps:wsp>
                      <wps:wsp>
                        <wps:cNvPr id="91" name="文本框 288"/>
                        <wps:cNvSpPr txBox="1"/>
                        <wps:spPr>
                          <a:xfrm>
                            <a:off x="4904740" y="917575"/>
                            <a:ext cx="713105" cy="508635"/>
                          </a:xfrm>
                          <a:prstGeom prst="rect">
                            <a:avLst/>
                          </a:prstGeom>
                          <a:noFill/>
                          <a:ln w="6350">
                            <a:noFill/>
                          </a:ln>
                        </wps:spPr>
                        <wps:txbx>
                          <w:txbxContent>
                            <w:p>
                              <w:pPr>
                                <w:keepNext w:val="0"/>
                                <w:keepLines w:val="0"/>
                                <w:pageBreakBefore w:val="0"/>
                                <w:widowControl w:val="0"/>
                                <w:kinsoku/>
                                <w:wordWrap/>
                                <w:overflowPunct/>
                                <w:topLinePunct w:val="0"/>
                                <w:bidi w:val="0"/>
                                <w:adjustRightInd/>
                                <w:snapToGrid w:val="0"/>
                                <w:textAlignment w:val="auto"/>
                                <w:rPr>
                                  <w:rFonts w:hint="default" w:ascii="仿宋" w:hAnsi="仿宋" w:eastAsia="仿宋" w:cs="仿宋"/>
                                  <w:color w:val="auto"/>
                                  <w:sz w:val="20"/>
                                  <w:szCs w:val="20"/>
                                  <w:u w:val="none"/>
                                  <w:lang w:val="en-US" w:eastAsia="zh-CN"/>
                                </w:rPr>
                              </w:pPr>
                              <w:r>
                                <w:rPr>
                                  <w:rFonts w:hint="eastAsia" w:ascii="仿宋" w:hAnsi="仿宋" w:eastAsia="仿宋" w:cs="仿宋"/>
                                  <w:color w:val="auto"/>
                                  <w:sz w:val="20"/>
                                  <w:szCs w:val="20"/>
                                  <w:u w:val="none"/>
                                </w:rPr>
                                <w:t>废品回收站回收</w:t>
                              </w:r>
                            </w:p>
                          </w:txbxContent>
                        </wps:txbx>
                        <wps:bodyPr lIns="92430" tIns="46213" rIns="92430" bIns="46213" upright="1"/>
                      </wps:wsp>
                      <wps:wsp>
                        <wps:cNvPr id="126" name="文本框 291"/>
                        <wps:cNvSpPr txBox="1"/>
                        <wps:spPr>
                          <a:xfrm>
                            <a:off x="3084195" y="864870"/>
                            <a:ext cx="999490" cy="243205"/>
                          </a:xfrm>
                          <a:prstGeom prst="rect">
                            <a:avLst/>
                          </a:prstGeom>
                          <a:noFill/>
                          <a:ln w="6350">
                            <a:noFill/>
                          </a:ln>
                        </wps:spPr>
                        <wps:txbx>
                          <w:txbxContent>
                            <w:p>
                              <w:pPr>
                                <w:spacing w:line="240" w:lineRule="exact"/>
                                <w:jc w:val="center"/>
                                <w:rPr>
                                  <w:rFonts w:hint="default" w:eastAsia="仿宋"/>
                                  <w:sz w:val="21"/>
                                  <w:szCs w:val="21"/>
                                  <w:lang w:val="en-US" w:eastAsia="zh-CN"/>
                                </w:rPr>
                              </w:pPr>
                              <w:r>
                                <w:rPr>
                                  <w:rFonts w:hint="eastAsia"/>
                                  <w:sz w:val="21"/>
                                  <w:szCs w:val="21"/>
                                  <w:lang w:val="en-US" w:eastAsia="zh-CN"/>
                                </w:rPr>
                                <w:t>废物料包装袋</w:t>
                              </w:r>
                            </w:p>
                          </w:txbxContent>
                        </wps:txbx>
                        <wps:bodyPr lIns="92430" tIns="46213" rIns="92430" bIns="46213" upright="1"/>
                      </wps:wsp>
                      <wps:wsp>
                        <wps:cNvPr id="130" name="文本框 67"/>
                        <wps:cNvSpPr txBox="1"/>
                        <wps:spPr>
                          <a:xfrm>
                            <a:off x="3665855" y="1035050"/>
                            <a:ext cx="899795" cy="253365"/>
                          </a:xfrm>
                          <a:prstGeom prst="rect">
                            <a:avLst/>
                          </a:prstGeom>
                          <a:noFill/>
                          <a:ln w="12700" cap="flat" cmpd="sng">
                            <a:solidFill>
                              <a:srgbClr val="000000"/>
                            </a:solidFill>
                            <a:prstDash val="solid"/>
                            <a:miter/>
                            <a:headEnd type="none" w="med" len="med"/>
                            <a:tailEnd type="none" w="med" len="med"/>
                          </a:ln>
                        </wps:spPr>
                        <wps:txbx>
                          <w:txbxContent>
                            <w:p>
                              <w:pPr>
                                <w:spacing w:line="240" w:lineRule="exact"/>
                                <w:jc w:val="center"/>
                                <w:rPr>
                                  <w:rFonts w:hint="default" w:eastAsia="宋体"/>
                                  <w:sz w:val="21"/>
                                  <w:szCs w:val="21"/>
                                  <w:lang w:val="en-US" w:eastAsia="zh-CN"/>
                                </w:rPr>
                              </w:pPr>
                              <w:r>
                                <w:rPr>
                                  <w:rFonts w:hint="eastAsia" w:eastAsia="宋体"/>
                                  <w:sz w:val="18"/>
                                  <w:szCs w:val="18"/>
                                  <w:lang w:val="en-US" w:eastAsia="zh-CN"/>
                                </w:rPr>
                                <w:t>一般固废暂存</w:t>
                              </w:r>
                              <w:r>
                                <w:rPr>
                                  <w:rFonts w:hint="eastAsia" w:eastAsia="宋体"/>
                                  <w:sz w:val="21"/>
                                  <w:szCs w:val="21"/>
                                  <w:lang w:val="en-US" w:eastAsia="zh-CN"/>
                                </w:rPr>
                                <w:t>间</w:t>
                              </w:r>
                            </w:p>
                          </w:txbxContent>
                        </wps:txbx>
                        <wps:bodyPr lIns="36000" tIns="45720" rIns="36000" bIns="45720" upright="1"/>
                      </wps:wsp>
                    </wpc:wpc>
                  </a:graphicData>
                </a:graphic>
              </wp:anchor>
            </w:drawing>
          </mc:Choice>
          <mc:Fallback>
            <w:pict>
              <v:group id="画布 197" o:spid="_x0000_s1026" o:spt="203" style="position:absolute;left:0pt;margin-left:-15.15pt;margin-top:12.9pt;height:251.65pt;width:445.35pt;mso-wrap-distance-bottom:0pt;mso-wrap-distance-top:0pt;z-index:251662336;mso-width-relative:page;mso-height-relative:page;" coordsize="5655945,3195955" editas="canvas" o:gfxdata="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&#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">
                <o:lock v:ext="edit" aspectratio="f"/>
                <v:shape id="画布 197" o:spid="_x0000_s1026" style="position:absolute;left:0;top:0;height:3195955;width:5655945;" filled="f" stroked="f" coordsize="21600,21600" o:gfxdata="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">
                  <v:fill on="f" focussize="0,0"/>
                  <v:stroke on="f"/>
                  <v:imagedata o:title=""/>
                  <o:lock v:ext="edit" aspectratio="t"/>
                </v:shape>
                <v:shape id="文本框 267" o:spid="_x0000_s1026" o:spt="202" type="#_x0000_t202" style="position:absolute;left:2158617;top:50801;height:241904;width:759506;"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faolNcAAAAKAQAADwAAAAAAAAABACAAAAAiAAAAZHJzL2Rvd25yZXYueG1sUEsBAhQA&#10;FAAAAAgAh07iQDV+uHssAgAATQQAAA4AAAAAAAAAAQAgAAAAJgEAAGRycy9lMm9Eb2MueG1sUEsF&#10;BgAAAAAGAAYAWQEAAMQFAAAAAA==&#10;">
                  <v:fill on="f" focussize="0,0"/>
                  <v:stroke weight="0.5pt" color="#000000" joinstyle="miter"/>
                  <v:imagedata o:title=""/>
                  <o:lock v:ext="edit" aspectratio="f"/>
                  <v:textbox inset="2.5675mm,3.6388188976378pt,2.5675mm,3.6388188976378pt">
                    <w:txbxContent>
                      <w:p>
                        <w:pPr>
                          <w:spacing w:line="240" w:lineRule="exact"/>
                          <w:jc w:val="center"/>
                          <w:rPr>
                            <w:sz w:val="21"/>
                            <w:szCs w:val="21"/>
                          </w:rPr>
                        </w:pPr>
                        <w:r>
                          <w:rPr>
                            <w:rFonts w:hint="eastAsia"/>
                            <w:sz w:val="21"/>
                            <w:szCs w:val="21"/>
                          </w:rPr>
                          <w:t>雏鸡</w:t>
                        </w:r>
                      </w:p>
                    </w:txbxContent>
                  </v:textbox>
                </v:shape>
                <v:shape id="直接箭头连接符 268" o:spid="_x0000_s1026" o:spt="32" type="#_x0000_t32" style="position:absolute;left:2522520;top:292705;height:887115;width:600;" filled="f" stroked="t" coordsize="21600,21600" o:gfxdata="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8A/TK2gAAAAoBAAAPAAAAAAAA&#10;AAEAIAAAACIAAABkcnMvZG93bnJldi54bWxQSwECFAAUAAAACACHTuJA6ot8AhACAAD/AwAADgAA&#10;AAAAAAABACAAAAApAQAAZHJzL2Uyb0RvYy54bWxQSwUGAAAAAAYABgBZAQAAqwUAAAAA&#10;">
                  <v:fill on="f" focussize="0,0"/>
                  <v:stroke weight="0.5pt" color="#000000" joinstyle="round" endarrow="block"/>
                  <v:imagedata o:title=""/>
                  <o:lock v:ext="edit" aspectratio="f"/>
                </v:shape>
                <v:shape id="直接箭头连接符 269" o:spid="_x0000_s1026" o:spt="32" type="#_x0000_t32" style="position:absolute;left:1952216;top:170803;flip:x;height:2287239;width:3800;" filled="f" stroked="t" coordsize="21600,21600" o:gfxdata="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BTq7ktoAAAAKAQAADwAA&#10;AAAAAAABACAAAAAiAAAAZHJzL2Rvd25yZXYueG1sUEsBAhQAFAAAAAgAh07iQKSawRwUAgAABwQA&#10;AA4AAAAAAAAAAQAgAAAAKQEAAGRycy9lMm9Eb2MueG1sUEsFBgAAAAAGAAYAWQEAAK8FAAAAAA==&#10;">
                  <v:fill on="f" focussize="0,0"/>
                  <v:stroke weight="0.5pt" color="#000000" joinstyle="round"/>
                  <v:imagedata o:title=""/>
                  <o:lock v:ext="edit" aspectratio="f"/>
                </v:shape>
                <v:shape id="文本框 270" o:spid="_x0000_s1026" o:spt="202" type="#_x0000_t202" style="position:absolute;left:2142717;top:1197621;height:240604;width:760206;"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99qiU1wAAAAoBAAAPAAAAAAAAAAEAIAAAACIAAABkcnMvZG93bnJldi54bWxQSwECFAAUAAAA&#10;CACHTuJAlXk3DygCAABPBAAADgAAAAAAAAABACAAAAAmAQAAZHJzL2Uyb0RvYy54bWxQSwUGAAAA&#10;AAYABgBZAQAAwAUAAAAA&#10;">
                  <v:fill on="f" focussize="0,0"/>
                  <v:stroke weight="0.5pt" color="#000000" joinstyle="miter"/>
                  <v:imagedata o:title=""/>
                  <o:lock v:ext="edit" aspectratio="f"/>
                  <v:textbox inset="2.5675mm,3.6388188976378pt,2.5675mm,3.6388188976378pt">
                    <w:txbxContent>
                      <w:p>
                        <w:pPr>
                          <w:spacing w:line="240" w:lineRule="exact"/>
                          <w:jc w:val="center"/>
                          <w:rPr>
                            <w:sz w:val="21"/>
                            <w:szCs w:val="21"/>
                          </w:rPr>
                        </w:pPr>
                        <w:r>
                          <w:rPr>
                            <w:rFonts w:hint="eastAsia"/>
                            <w:sz w:val="21"/>
                            <w:szCs w:val="21"/>
                          </w:rPr>
                          <w:t>育成鸡</w:t>
                        </w:r>
                      </w:p>
                    </w:txbxContent>
                  </v:textbox>
                </v:shape>
                <v:shape id="文本框 271" o:spid="_x0000_s1026" o:spt="202" type="#_x0000_t202" style="position:absolute;left:2154717;top:2338040;height:287705;width:757706;"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faolNcAAAAKAQAADwAAAAAAAAABACAAAAAiAAAAZHJzL2Rvd25yZXYueG1sUEsBAhQAFAAA&#10;AAgAh07iQPnHUZopAgAATwQAAA4AAAAAAAAAAQAgAAAAJgEAAGRycy9lMm9Eb2MueG1sUEsFBgAA&#10;AAAGAAYAWQEAAMEFAAAAAA==&#10;">
                  <v:fill on="f" focussize="0,0"/>
                  <v:stroke weight="0.5pt" color="#000000" joinstyle="miter"/>
                  <v:imagedata o:title=""/>
                  <o:lock v:ext="edit" aspectratio="f"/>
                  <v:textbox inset="2.5675mm,3.6388188976378pt,2.5675mm,3.6388188976378pt">
                    <w:txbxContent>
                      <w:p>
                        <w:pPr>
                          <w:rPr>
                            <w:sz w:val="21"/>
                            <w:szCs w:val="21"/>
                          </w:rPr>
                        </w:pPr>
                        <w:r>
                          <w:rPr>
                            <w:rFonts w:hint="eastAsia"/>
                            <w:sz w:val="21"/>
                            <w:szCs w:val="21"/>
                          </w:rPr>
                          <w:t>商品肉鸡</w:t>
                        </w:r>
                      </w:p>
                    </w:txbxContent>
                  </v:textbox>
                </v:shape>
                <v:shape id="文本框 272" o:spid="_x0000_s1026" o:spt="202" type="#_x0000_t202" style="position:absolute;left:2166817;top:2839749;height:356806;width:760806;"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XJOnp2wAAAAoBAAAPAAAA&#10;AAAAAAEAIAAAACIAAABkcnMvZG93bnJldi54bWxQSwECFAAUAAAACACHTuJAtMC/rtkBAACZAwAA&#10;DgAAAAAAAAABACAAAAAqAQAAZHJzL2Uyb0RvYy54bWxQSwUGAAAAAAYABgBZAQAAdQUAAAAA&#10;">
                  <v:fill on="f" focussize="0,0"/>
                  <v:stroke on="f" weight="0.5pt"/>
                  <v:imagedata o:title=""/>
                  <o:lock v:ext="edit" aspectratio="f"/>
                  <v:textbox inset="2.5675mm,3.6388188976378pt,2.5675mm,3.6388188976378pt">
                    <w:txbxContent>
                      <w:p>
                        <w:pPr>
                          <w:jc w:val="center"/>
                          <w:rPr>
                            <w:sz w:val="21"/>
                            <w:szCs w:val="21"/>
                          </w:rPr>
                        </w:pPr>
                        <w:r>
                          <w:rPr>
                            <w:rFonts w:hint="eastAsia"/>
                            <w:sz w:val="21"/>
                            <w:szCs w:val="21"/>
                          </w:rPr>
                          <w:t>外售</w:t>
                        </w:r>
                      </w:p>
                    </w:txbxContent>
                  </v:textbox>
                </v:shape>
                <v:shape id="直接箭头连接符 273" o:spid="_x0000_s1026" o:spt="32" type="#_x0000_t32" style="position:absolute;left:2522820;top:1443925;height:907516;width:600;" filled="f" stroked="t" coordsize="21600,21600" o:gfxdata="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8A/TK2gAAAAoBAAAPAAAA&#10;AAAAAAEAIAAAACIAAABkcnMvZG93bnJldi54bWxQSwECFAAUAAAACACHTuJA9qXyBRMCAAAABAAA&#10;DgAAAAAAAAABACAAAAApAQAAZHJzL2Uyb0RvYy54bWxQSwUGAAAAAAYABgBZAQAArgUAAAAA&#10;">
                  <v:fill on="f" focussize="0,0"/>
                  <v:stroke weight="0.5pt" color="#000000" joinstyle="round" endarrow="block"/>
                  <v:imagedata o:title=""/>
                  <o:lock v:ext="edit" aspectratio="f"/>
                </v:shape>
                <v:shape id="直接箭头连接符 274" o:spid="_x0000_s1026" o:spt="32" type="#_x0000_t32" style="position:absolute;left:2531120;top:2629545;height:299105;width:1200;" filled="f" stroked="t" coordsize="21600,21600" o:gfxdata="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PAP0ytoAAAAKAQAADwAA&#10;AAAAAAABACAAAAAiAAAAZHJzL2Rvd25yZXYueG1sUEsBAhQAFAAAAAgAh07iQMw9c5AUAgAAAQQA&#10;AA4AAAAAAAAAAQAgAAAAKQEAAGRycy9lMm9Eb2MueG1sUEsFBgAAAAAGAAYAWQEAAK8FAAAAAA==&#10;">
                  <v:fill on="f" focussize="0,0"/>
                  <v:stroke weight="0.5pt" color="#000000" joinstyle="round" endarrow="block"/>
                  <v:imagedata o:title=""/>
                  <o:lock v:ext="edit" aspectratio="f"/>
                </v:shape>
                <v:shape id="直接箭头连接符 275" o:spid="_x0000_s1026" o:spt="32" type="#_x0000_t32" style="position:absolute;left:1956016;top:167003;height:600;width:202602;" filled="f" stroked="t" coordsize="21600,21600" o:gfxdata="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wD9MraAAAACgEAAA8A&#10;AAAAAAAAAQAgAAAAIgAAAGRycy9kb3ducmV2LnhtbFBLAQIUABQAAAAIAIdO4kDPKnGsFQIAAP8D&#10;AAAOAAAAAAAAAAEAIAAAACkBAABkcnMvZTJvRG9jLnhtbFBLBQYAAAAABgAGAFkBAACwBQAAAAA=&#10;">
                  <v:fill on="f" focussize="0,0"/>
                  <v:stroke weight="0.5pt" color="#000000" joinstyle="round" endarrow="block"/>
                  <v:imagedata o:title=""/>
                  <o:lock v:ext="edit" aspectratio="f"/>
                </v:shape>
                <v:shape id="文本框 276" o:spid="_x0000_s1026" o:spt="202" type="#_x0000_t202" style="position:absolute;left:990708;top:50801;height:241904;width:501704;"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32qJTXAAAACgEAAA8AAAAAAAAAAQAgAAAAIgAAAGRycy9kb3ducmV2LnhtbFBLAQIUABQA&#10;AAAIAIdO4kCW2uS9KgIAAEwEAAAOAAAAAAAAAAEAIAAAACYBAABkcnMvZTJvRG9jLnhtbFBLBQYA&#10;AAAABgAGAFkBAADCBQAAAAA=&#10;">
                  <v:fill on="f" focussize="0,0"/>
                  <v:stroke weight="0.5pt" color="#000000" joinstyle="miter"/>
                  <v:imagedata o:title=""/>
                  <o:lock v:ext="edit" aspectratio="f"/>
                  <v:textbox inset="2.5675mm,3.6388188976378pt,2.5675mm,3.6388188976378pt">
                    <w:txbxContent>
                      <w:p>
                        <w:pPr>
                          <w:spacing w:line="240" w:lineRule="exact"/>
                          <w:jc w:val="center"/>
                          <w:rPr>
                            <w:sz w:val="21"/>
                            <w:szCs w:val="21"/>
                          </w:rPr>
                        </w:pPr>
                        <w:r>
                          <w:rPr>
                            <w:rFonts w:hint="eastAsia"/>
                            <w:sz w:val="21"/>
                            <w:szCs w:val="21"/>
                          </w:rPr>
                          <w:t>饮水</w:t>
                        </w:r>
                      </w:p>
                    </w:txbxContent>
                  </v:textbox>
                </v:shape>
                <v:shape id="直接箭头连接符 277" o:spid="_x0000_s1026" o:spt="32" type="#_x0000_t32" style="position:absolute;left:1740514;top:1303022;height:0;width:414003;" filled="f" stroked="t" coordsize="21600,21600" o:gfxdata="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8A/TK2gAAAAoBAAAP&#10;AAAAAAAAAAEAIAAAACIAAABkcnMvZG93bnJldi54bWxQSwECFAAUAAAACACHTuJA2e242BYCAAD+&#10;AwAADgAAAAAAAAABACAAAAApAQAAZHJzL2Uyb0RvYy54bWxQSwUGAAAAAAYABgBZAQAAsQUAAAAA&#10;">
                  <v:fill on="f" focussize="0,0"/>
                  <v:stroke weight="0.5pt" color="#000000" joinstyle="round" endarrow="block"/>
                  <v:imagedata o:title=""/>
                  <o:lock v:ext="edit" aspectratio="f"/>
                </v:shape>
                <v:shape id="直接箭头连接符 278" o:spid="_x0000_s1026" o:spt="32" type="#_x0000_t32" style="position:absolute;left:1955816;top:2458042;height:2600;width:202502;" filled="f" stroked="t" coordsize="21600,21600" o:gfxdata="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wD9MraAAAACgEA&#10;AA8AAAAAAAAAAQAgAAAAIgAAAGRycy9kb3ducmV2LnhtbFBLAQIUABQAAAAIAIdO4kDImenTGAIA&#10;AAEEAAAOAAAAAAAAAAEAIAAAACkBAABkcnMvZTJvRG9jLnhtbFBLBQYAAAAABgAGAFkBAACzBQAA&#10;AAA=&#10;">
                  <v:fill on="f" focussize="0,0"/>
                  <v:stroke weight="0.5pt" color="#000000" joinstyle="round" endarrow="block"/>
                  <v:imagedata o:title=""/>
                  <o:lock v:ext="edit" aspectratio="f"/>
                </v:shape>
                <v:shape id="直接箭头连接符 279" o:spid="_x0000_s1026" o:spt="32" type="#_x0000_t32" style="position:absolute;left:1733514;top:175203;flip:x;height:2291139;width:4400;" filled="f" stroked="t" coordsize="21600,21600" o:gfxdata="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Tq7ktoAAAAKAQAA&#10;DwAAAAAAAAABACAAAAAiAAAAZHJzL2Rvd25yZXYueG1sUEsBAhQAFAAAAAgAh07iQObXBRQXAgAA&#10;BwQAAA4AAAAAAAAAAQAgAAAAKQEAAGRycy9lMm9Eb2MueG1sUEsFBgAAAAAGAAYAWQEAALIFAAAA&#10;AA==&#10;">
                  <v:fill on="f" focussize="0,0"/>
                  <v:stroke weight="0.5pt" color="#000000" joinstyle="round"/>
                  <v:imagedata o:title=""/>
                  <o:lock v:ext="edit" aspectratio="f"/>
                </v:shape>
                <v:shape id="直接箭头连接符 280" o:spid="_x0000_s1026" o:spt="32" type="#_x0000_t32" style="position:absolute;left:1487812;top:173903;flip:x y;height:2600;width:248202;" filled="f" stroked="t" coordsize="21600,21600" o:gfxdata="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6x6zV2gAAAAoB&#10;AAAPAAAAAAAAAAEAIAAAACIAAABkcnMvZG93bnJldi54bWxQSwECFAAUAAAACACHTuJAQknMtxkC&#10;AAAQBAAADgAAAAAAAAABACAAAAApAQAAZHJzL2Uyb0RvYy54bWxQSwUGAAAAAAYABgBZAQAAtAUA&#10;AAAA&#10;">
                  <v:fill on="f" focussize="0,0"/>
                  <v:stroke weight="0.5pt" color="#000000" joinstyle="round"/>
                  <v:imagedata o:title=""/>
                  <o:lock v:ext="edit" aspectratio="f"/>
                </v:shape>
                <v:shape id="文本框 281" o:spid="_x0000_s1026" o:spt="202" type="#_x0000_t202" style="position:absolute;left:965908;top:2320240;height:242604;width:514404;"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faolNcAAAAKAQAADwAAAAAAAAABACAAAAAiAAAAZHJzL2Rvd25yZXYueG1sUEsBAhQAFAAA&#10;AAgAh07iQGM2wpApAgAATgQAAA4AAAAAAAAAAQAgAAAAJgEAAGRycy9lMm9Eb2MueG1sUEsFBgAA&#10;AAAGAAYAWQEAAMEFAAAAAA==&#10;">
                  <v:fill on="f" focussize="0,0"/>
                  <v:stroke weight="0.5pt" color="#000000" joinstyle="miter"/>
                  <v:imagedata o:title=""/>
                  <o:lock v:ext="edit" aspectratio="f"/>
                  <v:textbox inset="2.5675mm,3.6388188976378pt,2.5675mm,3.6388188976378pt">
                    <w:txbxContent>
                      <w:p>
                        <w:pPr>
                          <w:spacing w:line="240" w:lineRule="exact"/>
                          <w:jc w:val="center"/>
                          <w:rPr>
                            <w:sz w:val="22"/>
                          </w:rPr>
                        </w:pPr>
                        <w:r>
                          <w:rPr>
                            <w:rFonts w:hint="eastAsia"/>
                            <w:sz w:val="21"/>
                            <w:szCs w:val="21"/>
                          </w:rPr>
                          <w:t>光照</w:t>
                        </w:r>
                      </w:p>
                    </w:txbxContent>
                  </v:textbox>
                </v:shape>
                <v:shape id="文本框 282" o:spid="_x0000_s1026" o:spt="202" type="#_x0000_t202" style="position:absolute;left:978008;top:494609;height:242004;width:502304;"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32qJTXAAAACgEAAA8AAAAAAAAAAQAgAAAAIgAAAGRycy9kb3ducmV2LnhtbFBLAQIUABQA&#10;AAAIAIdO4kDfjLBsKgIAAE0EAAAOAAAAAAAAAAEAIAAAACYBAABkcnMvZTJvRG9jLnhtbFBLBQYA&#10;AAAABgAGAFkBAADCBQAAAAA=&#10;">
                  <v:fill on="f" focussize="0,0"/>
                  <v:stroke weight="0.5pt" color="#000000" joinstyle="miter"/>
                  <v:imagedata o:title=""/>
                  <o:lock v:ext="edit" aspectratio="f"/>
                  <v:textbox inset="2.5675mm,3.6388188976378pt,2.5675mm,3.6388188976378pt">
                    <w:txbxContent>
                      <w:p>
                        <w:pPr>
                          <w:spacing w:line="240" w:lineRule="exact"/>
                          <w:jc w:val="center"/>
                          <w:rPr>
                            <w:sz w:val="21"/>
                            <w:szCs w:val="21"/>
                          </w:rPr>
                        </w:pPr>
                        <w:r>
                          <w:rPr>
                            <w:rFonts w:hint="eastAsia"/>
                            <w:sz w:val="21"/>
                            <w:szCs w:val="21"/>
                          </w:rPr>
                          <w:t>饲喂</w:t>
                        </w:r>
                      </w:p>
                    </w:txbxContent>
                  </v:textbox>
                </v:shape>
                <v:shape id="文本框 283" o:spid="_x0000_s1026" o:spt="202" type="#_x0000_t202" style="position:absolute;left:969708;top:911816;height:262305;width:502304;"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99qiU1wAAAAoBAAAPAAAAAAAAAAEAIAAAACIAAABkcnMvZG93bnJldi54bWxQSwECFAAUAAAA&#10;CACHTuJAeeuZfCgCAABNBAAADgAAAAAAAAABACAAAAAmAQAAZHJzL2Uyb0RvYy54bWxQSwUGAAAA&#10;AAYABgBZAQAAwAUAAAAA&#10;">
                  <v:fill on="f" focussize="0,0"/>
                  <v:stroke weight="0.5pt" color="#000000" joinstyle="miter"/>
                  <v:imagedata o:title=""/>
                  <o:lock v:ext="edit" aspectratio="f"/>
                  <v:textbox inset="2.5675mm,3.6388188976378pt,2.5675mm,3.6388188976378pt">
                    <w:txbxContent>
                      <w:p>
                        <w:pPr>
                          <w:spacing w:line="240" w:lineRule="exact"/>
                          <w:jc w:val="center"/>
                          <w:rPr>
                            <w:sz w:val="21"/>
                            <w:szCs w:val="21"/>
                          </w:rPr>
                        </w:pPr>
                        <w:r>
                          <w:rPr>
                            <w:rFonts w:hint="eastAsia"/>
                            <w:sz w:val="21"/>
                            <w:szCs w:val="21"/>
                          </w:rPr>
                          <w:t>温度</w:t>
                        </w:r>
                      </w:p>
                    </w:txbxContent>
                  </v:textbox>
                </v:shape>
                <v:shape id="文本框 284" o:spid="_x0000_s1026" o:spt="202" type="#_x0000_t202" style="position:absolute;left:985608;top:1428725;height:243204;width:494704;"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32qJTXAAAACgEAAA8AAAAAAAAAAQAgAAAAIgAAAGRycy9kb3ducmV2LnhtbFBLAQIUABQA&#10;AAAIAIdO4kCn/I6TKgIAAE4EAAAOAAAAAAAAAAEAIAAAACYBAABkcnMvZTJvRG9jLnhtbFBLBQYA&#10;AAAABgAGAFkBAADCBQAAAAA=&#10;">
                  <v:fill on="f" focussize="0,0"/>
                  <v:stroke weight="0.5pt" color="#000000" joinstyle="miter"/>
                  <v:imagedata o:title=""/>
                  <o:lock v:ext="edit" aspectratio="f"/>
                  <v:textbox inset="2.5675mm,3.6388188976378pt,2.5675mm,3.6388188976378pt">
                    <w:txbxContent>
                      <w:p>
                        <w:pPr>
                          <w:spacing w:line="240" w:lineRule="exact"/>
                          <w:jc w:val="center"/>
                          <w:rPr>
                            <w:sz w:val="21"/>
                            <w:szCs w:val="21"/>
                          </w:rPr>
                        </w:pPr>
                        <w:r>
                          <w:rPr>
                            <w:rFonts w:hint="eastAsia"/>
                            <w:sz w:val="21"/>
                            <w:szCs w:val="21"/>
                          </w:rPr>
                          <w:t>湿度</w:t>
                        </w:r>
                      </w:p>
                    </w:txbxContent>
                  </v:textbox>
                </v:shape>
                <v:shape id="文本框 285" o:spid="_x0000_s1026" o:spt="202" type="#_x0000_t202" style="position:absolute;left:965908;top:1899233;height:243204;width:522704;"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32qJTXAAAACgEAAA8AAAAAAAAAAQAgAAAAIgAAAGRycy9kb3ducmV2LnhtbFBLAQIUABQA&#10;AAAIAIdO4kAoyWXpKgIAAE4EAAAOAAAAAAAAAAEAIAAAACYBAABkcnMvZTJvRG9jLnhtbFBLBQYA&#10;AAAABgAGAFkBAADCBQAAAAA=&#10;">
                  <v:fill on="f" focussize="0,0"/>
                  <v:stroke weight="0.5pt" color="#000000" joinstyle="miter"/>
                  <v:imagedata o:title=""/>
                  <o:lock v:ext="edit" aspectratio="f"/>
                  <v:textbox inset="2.5675mm,3.6388188976378pt,2.5675mm,3.6388188976378pt">
                    <w:txbxContent>
                      <w:p>
                        <w:pPr>
                          <w:spacing w:line="240" w:lineRule="exact"/>
                          <w:jc w:val="center"/>
                          <w:rPr>
                            <w:sz w:val="21"/>
                            <w:szCs w:val="21"/>
                          </w:rPr>
                        </w:pPr>
                        <w:r>
                          <w:rPr>
                            <w:rFonts w:hint="eastAsia"/>
                            <w:sz w:val="21"/>
                            <w:szCs w:val="21"/>
                          </w:rPr>
                          <w:t>通风</w:t>
                        </w:r>
                      </w:p>
                    </w:txbxContent>
                  </v:textbox>
                </v:shape>
                <v:shape id="自选图形 76" o:spid="_x0000_s1026" o:spt="32" type="#_x0000_t32" style="position:absolute;left:530804;top:2011635;flip:x y;height:3200;width:422903;" filled="f" stroked="t" coordsize="21600,21600" o:gfxdata="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EOvL92QAAAAoBAAAP&#10;AAAAAAAAAAEAIAAAACIAAABkcnMvZG93bnJldi54bWxQSwECFAAUAAAACACHTuJA+I148xcCAAAJ&#10;BAAADgAAAAAAAAABACAAAAAoAQAAZHJzL2Uyb0RvYy54bWxQSwUGAAAAAAYABgBZAQAAsQUAAAAA&#10;">
                  <v:fill on="f" focussize="0,0"/>
                  <v:stroke weight="0.5pt" color="#00B0F0" joinstyle="round" dashstyle="dash" endarrow="block"/>
                  <v:imagedata o:title=""/>
                  <o:lock v:ext="edit" aspectratio="f"/>
                </v:shape>
                <v:shape id="文本框 75" o:spid="_x0000_s1026" o:spt="202" type="#_x0000_t202" style="position:absolute;left:102201;top:1882132;height:337806;width:512404;"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1yTp6dsAAAAKAQAADwAAAAAA&#10;AAABACAAAAAiAAAAZHJzL2Rvd25yZXYueG1sUEsBAhQAFAAAAAgAh07iQCgQ9FjXAQAAlwMAAA4A&#10;AAAAAAAAAQAgAAAAKgEAAGRycy9lMm9Eb2MueG1sUEsFBgAAAAAGAAYAWQEAAHMFAAAAAA==&#10;">
                  <v:fill on="f" focussize="0,0"/>
                  <v:stroke on="f" weight="0.5pt"/>
                  <v:imagedata o:title=""/>
                  <o:lock v:ext="edit" aspectratio="f"/>
                  <v:textbox inset="2.5675mm,3.6388188976378pt,2.5675mm,3.6388188976378pt">
                    <w:txbxContent>
                      <w:p>
                        <w:pPr>
                          <w:jc w:val="center"/>
                          <w:rPr>
                            <w:sz w:val="21"/>
                            <w:szCs w:val="21"/>
                          </w:rPr>
                        </w:pPr>
                        <w:r>
                          <w:rPr>
                            <w:rFonts w:hint="eastAsia"/>
                            <w:sz w:val="21"/>
                            <w:szCs w:val="21"/>
                          </w:rPr>
                          <w:t>噪声</w:t>
                        </w:r>
                      </w:p>
                    </w:txbxContent>
                  </v:textbox>
                </v:shape>
                <v:shape id="直接箭头连接符 22" o:spid="_x0000_s1026" o:spt="32" type="#_x0000_t32" style="position:absolute;left:474304;top:577810;flip:y;height:316905;width:7000;" filled="f" stroked="t" coordsize="21600,21600" o:gfxdata="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wfmxdcAAAAK&#10;AQAADwAAAAAAAAABACAAAAAiAAAAZHJzL2Rvd25yZXYueG1sUEsBAhQAFAAAAAgAh07iQLlC7oAd&#10;AgAABwQAAA4AAAAAAAAAAQAgAAAAJgEAAGRycy9lMm9Eb2MueG1sUEsFBgAAAAAGAAYAWQEAALUF&#10;AAAAAA==&#10;">
                  <v:fill on="f" focussize="0,0"/>
                  <v:stroke weight="0.5pt" color="#00B0F0" joinstyle="round" dashstyle="dash" endarrow="block"/>
                  <v:imagedata o:title=""/>
                  <o:lock v:ext="edit" aspectratio="f"/>
                </v:shape>
                <v:shape id="文本框 73" o:spid="_x0000_s1026" o:spt="202" type="#_x0000_t202" style="position:absolute;left:0;top:252004;height:299105;width:1091509;"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Nck6enbAAAACgEAAA8AAAAAAAAAAQAg&#10;AAAAIgAAAGRycy9kb3ducmV2LnhtbFBLAQIUABQAAAAIAIdO4kDLkKDM0gEAAJIDAAAOAAAAAAAA&#10;AAEAIAAAACoBAABkcnMvZTJvRG9jLnhtbFBLBQYAAAAABgAGAFkBAABuBQAAAAA=&#10;">
                  <v:fill on="f" focussize="0,0"/>
                  <v:stroke on="f" weight="0.5pt"/>
                  <v:imagedata o:title=""/>
                  <o:lock v:ext="edit" aspectratio="f"/>
                  <v:textbox inset="2.5675mm,3.6388188976378pt,2.5675mm,3.6388188976378pt">
                    <w:txbxContent>
                      <w:p>
                        <w:pPr>
                          <w:rPr>
                            <w:sz w:val="21"/>
                            <w:szCs w:val="21"/>
                          </w:rPr>
                        </w:pPr>
                        <w:r>
                          <w:rPr>
                            <w:rFonts w:hint="eastAsia"/>
                            <w:sz w:val="21"/>
                            <w:szCs w:val="21"/>
                          </w:rPr>
                          <w:t>锅炉废气、噪声</w:t>
                        </w:r>
                      </w:p>
                    </w:txbxContent>
                  </v:textbox>
                </v:shape>
                <v:shape id="直接箭头连接符 286" o:spid="_x0000_s1026" o:spt="32" type="#_x0000_t32" style="position:absolute;left:3169925;top:170103;height:2322240;width:8200;" filled="f" stroked="t" coordsize="21600,21600" o:gfxdata="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3q1H3NkAAAAKAQAADwAAAAAAAAAB&#10;ACAAAAAiAAAAZHJzL2Rvd25yZXYueG1sUEsBAhQAFAAAAAgAh07iQEHgr94PAgAA/AMAAA4AAAAA&#10;AAAAAQAgAAAAKAEAAGRycy9lMm9Eb2MueG1sUEsFBgAAAAAGAAYAWQEAAKkFAAAAAA==&#10;">
                  <v:fill on="f" focussize="0,0"/>
                  <v:stroke weight="0.5pt" color="#00B0F0" joinstyle="round" dashstyle="dash"/>
                  <v:imagedata o:title=""/>
                  <o:lock v:ext="edit" aspectratio="f"/>
                </v:shape>
                <v:shape id="直接箭头连接符 287" o:spid="_x0000_s1026" o:spt="32" type="#_x0000_t32" style="position:absolute;left:3173725;top:269205;height:7000;width:480704;" filled="f" stroked="t" coordsize="21600,21600" o:gfxdata="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mGzjS2QAAAAoBAAAP&#10;AAAAAAAAAAEAIAAAACIAAABkcnMvZG93bnJldi54bWxQSwECFAAUAAAACACHTuJAEIiJDRcCAAD/&#10;AwAADgAAAAAAAAABACAAAAAoAQAAZHJzL2Uyb0RvYy54bWxQSwUGAAAAAAYABgBZAQAAsQUAAAAA&#10;">
                  <v:fill on="f" focussize="0,0"/>
                  <v:stroke weight="0.5pt" color="#00B0F0" joinstyle="round" dashstyle="dash" endarrow="block"/>
                  <v:imagedata o:title=""/>
                  <o:lock v:ext="edit" aspectratio="f"/>
                </v:shape>
                <v:shape id="文本框 288" o:spid="_x0000_s1026" o:spt="202" type="#_x0000_t202" style="position:absolute;left:3545228;top:123802;height:289505;width:921307;"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ck6enbAAAACgEAAA8AAAAA&#10;AAAAAQAgAAAAIgAAAGRycy9kb3ducmV2LnhtbFBLAQIUABQAAAAIAIdO4kAjUX2H2AEAAJgDAAAO&#10;AAAAAAAAAAEAIAAAACoBAABkcnMvZTJvRG9jLnhtbFBLBQYAAAAABgAGAFkBAAB0BQAAAAA=&#10;">
                  <v:fill on="f" focussize="0,0"/>
                  <v:stroke on="f" weight="0.5pt"/>
                  <v:imagedata o:title=""/>
                  <o:lock v:ext="edit" aspectratio="f"/>
                  <v:textbox inset="2.5675mm,3.6388188976378pt,2.5675mm,3.6388188976378pt">
                    <w:txbxContent>
                      <w:p>
                        <w:pPr>
                          <w:jc w:val="center"/>
                          <w:rPr>
                            <w:sz w:val="21"/>
                            <w:szCs w:val="21"/>
                          </w:rPr>
                        </w:pPr>
                        <w:r>
                          <w:rPr>
                            <w:rFonts w:hint="eastAsia"/>
                            <w:sz w:val="21"/>
                            <w:szCs w:val="21"/>
                          </w:rPr>
                          <w:t>恶臭气体</w:t>
                        </w:r>
                      </w:p>
                    </w:txbxContent>
                  </v:textbox>
                </v:shape>
                <v:shape id="文本框 290" o:spid="_x0000_s1026" o:spt="202" type="#_x0000_t202" style="position:absolute;left:3028950;top:2186940;height:243205;width:736600;"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XJOnp2wAAAAoBAAAPAAAAAAAA&#10;AAEAIAAAACIAAABkcnMvZG93bnJldi54bWxQSwECFAAUAAAACACHTuJA4YfMO9YBAACZAwAADgAA&#10;AAAAAAABACAAAAAqAQAAZHJzL2Uyb0RvYy54bWxQSwUGAAAAAAYABgBZAQAAcgUAAAAA&#10;">
                  <v:fill on="f" focussize="0,0"/>
                  <v:stroke on="f" weight="0.5pt"/>
                  <v:imagedata o:title=""/>
                  <o:lock v:ext="edit" aspectratio="f"/>
                  <v:textbox inset="2.5675mm,3.6388188976378pt,2.5675mm,3.6388188976378pt">
                    <w:txbxContent>
                      <w:p>
                        <w:pPr>
                          <w:spacing w:line="240" w:lineRule="exact"/>
                          <w:jc w:val="center"/>
                          <w:rPr>
                            <w:sz w:val="21"/>
                            <w:szCs w:val="21"/>
                          </w:rPr>
                        </w:pPr>
                        <w:r>
                          <w:rPr>
                            <w:rFonts w:hint="eastAsia"/>
                            <w:sz w:val="21"/>
                            <w:szCs w:val="21"/>
                          </w:rPr>
                          <w:t>废水</w:t>
                        </w:r>
                      </w:p>
                    </w:txbxContent>
                  </v:textbox>
                </v:shape>
                <v:shape id="文本框 291" o:spid="_x0000_s1026" o:spt="202" type="#_x0000_t202" style="position:absolute;left:3025140;top:1299210;height:243205;width:999490;"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1yTp6dsAAAAKAQAADwAAAAAA&#10;AAABACAAAAAiAAAAZHJzL2Rvd25yZXYueG1sUEsBAhQAFAAAAAgAh07iQEqHtXzXAQAAmQMAAA4A&#10;AAAAAAAAAQAgAAAAKgEAAGRycy9lMm9Eb2MueG1sUEsFBgAAAAAGAAYAWQEAAHMFAAAAAA==&#10;">
                  <v:fill on="f" focussize="0,0"/>
                  <v:stroke on="f" weight="0.5pt"/>
                  <v:imagedata o:title=""/>
                  <o:lock v:ext="edit" aspectratio="f"/>
                  <v:textbox inset="2.5675mm,3.6388188976378pt,2.5675mm,3.6388188976378pt">
                    <w:txbxContent>
                      <w:p>
                        <w:pPr>
                          <w:spacing w:line="240" w:lineRule="exact"/>
                          <w:jc w:val="center"/>
                          <w:rPr>
                            <w:rFonts w:hint="default" w:eastAsia="仿宋"/>
                            <w:sz w:val="21"/>
                            <w:szCs w:val="21"/>
                            <w:lang w:val="en-US" w:eastAsia="zh-CN"/>
                          </w:rPr>
                        </w:pPr>
                        <w:r>
                          <w:rPr>
                            <w:rFonts w:hint="eastAsia"/>
                            <w:sz w:val="21"/>
                            <w:szCs w:val="21"/>
                          </w:rPr>
                          <w:t>鸡粪</w:t>
                        </w:r>
                        <w:r>
                          <w:rPr>
                            <w:rFonts w:hint="eastAsia"/>
                            <w:sz w:val="21"/>
                            <w:szCs w:val="21"/>
                            <w:lang w:val="en-US" w:eastAsia="zh-CN"/>
                          </w:rPr>
                          <w:t>和羽毛</w:t>
                        </w:r>
                      </w:p>
                    </w:txbxContent>
                  </v:textbox>
                </v:shape>
                <v:shape id="文本框 292" o:spid="_x0000_s1026" o:spt="202" type="#_x0000_t202" style="position:absolute;left:3107055;top:428625;height:242570;width:624205;"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ck6enbAAAACgEAAA8AAAAA&#10;AAAAAQAgAAAAIgAAAGRycy9kb3ducmV2LnhtbFBLAQIUABQAAAAIAIdO4kCQrxhH2AEAAJgDAAAO&#10;AAAAAAAAAAEAIAAAACoBAABkcnMvZTJvRG9jLnhtbFBLBQYAAAAABgAGAFkBAAB0BQAAAAA=&#10;">
                  <v:fill on="f" focussize="0,0"/>
                  <v:stroke on="f" weight="0.5pt"/>
                  <v:imagedata o:title=""/>
                  <o:lock v:ext="edit" aspectratio="f"/>
                  <v:textbox inset="2.5675mm,3.6388188976378pt,2.5675mm,3.6388188976378pt">
                    <w:txbxContent>
                      <w:p>
                        <w:pPr>
                          <w:spacing w:line="240" w:lineRule="exact"/>
                          <w:jc w:val="center"/>
                          <w:rPr>
                            <w:sz w:val="21"/>
                            <w:szCs w:val="21"/>
                          </w:rPr>
                        </w:pPr>
                        <w:r>
                          <w:rPr>
                            <w:rFonts w:hint="eastAsia"/>
                            <w:sz w:val="21"/>
                            <w:szCs w:val="21"/>
                          </w:rPr>
                          <w:t>病死鸡</w:t>
                        </w:r>
                      </w:p>
                    </w:txbxContent>
                  </v:textbox>
                </v:shape>
                <v:shape id="直接箭头连接符 293" o:spid="_x0000_s1026" o:spt="32" type="#_x0000_t32" style="position:absolute;left:1484612;top:626111;flip:x y;height:600;width:253302;" filled="f" stroked="t" coordsize="21600,21600" o:gfxdata="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rHrNXaAAAACgEA&#10;AA8AAAAAAAAAAQAgAAAAIgAAAGRycy9kb3ducmV2LnhtbFBLAQIUABQAAAAIAIdO4kB6XdbcGAIA&#10;AA8EAAAOAAAAAAAAAAEAIAAAACkBAABkcnMvZTJvRG9jLnhtbFBLBQYAAAAABgAGAFkBAACzBQAA&#10;AAA=&#10;">
                  <v:fill on="f" focussize="0,0"/>
                  <v:stroke weight="0.5pt" color="#000000" joinstyle="round"/>
                  <v:imagedata o:title=""/>
                  <o:lock v:ext="edit" aspectratio="f"/>
                </v:shape>
                <v:shape id="直接箭头连接符 294" o:spid="_x0000_s1026" o:spt="32" type="#_x0000_t32" style="position:absolute;left:1470012;top:1037518;flip:x;height:700;width:262202;" filled="f" stroked="t" coordsize="21600,21600" o:gfxdata="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BTq7ktoAAAAKAQAADwAA&#10;AAAAAAABACAAAAAiAAAAZHJzL2Rvd25yZXYueG1sUEsBAhQAFAAAAAgAh07iQKve6joUAgAABgQA&#10;AA4AAAAAAAAAAQAgAAAAKQEAAGRycy9lMm9Eb2MueG1sUEsFBgAAAAAGAAYAWQEAAK8FAAAAAA==&#10;">
                  <v:fill on="f" focussize="0,0"/>
                  <v:stroke weight="0.5pt" color="#000000" joinstyle="round"/>
                  <v:imagedata o:title=""/>
                  <o:lock v:ext="edit" aspectratio="f"/>
                </v:shape>
                <v:shape id="直接箭头连接符 295" o:spid="_x0000_s1026" o:spt="32" type="#_x0000_t32" style="position:absolute;left:1484612;top:1544927;flip:x y;height:600;width:253302;" filled="f" stroked="t" coordsize="21600,21600" o:gfxdata="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es1doAAAAK&#10;AQAADwAAAAAAAAABACAAAAAiAAAAZHJzL2Rvd25yZXYueG1sUEsBAhQAFAAAAAgAh07iQMk9Yk8a&#10;AgAAEAQAAA4AAAAAAAAAAQAgAAAAKQEAAGRycy9lMm9Eb2MueG1sUEsFBgAAAAAGAAYAWQEAALUF&#10;AAAAAA==&#10;">
                  <v:fill on="f" focussize="0,0"/>
                  <v:stroke weight="0.5pt" color="#000000" joinstyle="round"/>
                  <v:imagedata o:title=""/>
                  <o:lock v:ext="edit" aspectratio="f"/>
                </v:shape>
                <v:shape id="直接箭头连接符 296" o:spid="_x0000_s1026" o:spt="32" type="#_x0000_t32" style="position:absolute;left:1492212;top:2009735;flip:x y;height:700;width:240002;" filled="f" stroked="t" coordsize="21600,21600" o:gfxdata="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PrHrNXaAAAA&#10;CgEAAA8AAAAAAAAAAQAgAAAAIgAAAGRycy9kb3ducmV2LnhtbFBLAQIUABQAAAAIAIdO4kBFYdAU&#10;GwIAABAEAAAOAAAAAAAAAAEAIAAAACkBAABkcnMvZTJvRG9jLnhtbFBLBQYAAAAABgAGAFkBAAC2&#10;BQAAAAA=&#10;">
                  <v:fill on="f" focussize="0,0"/>
                  <v:stroke weight="0.5pt" color="#000000" joinstyle="round"/>
                  <v:imagedata o:title=""/>
                  <o:lock v:ext="edit" aspectratio="f"/>
                </v:shape>
                <v:shape id="直接箭头连接符 297" o:spid="_x0000_s1026" o:spt="32" type="#_x0000_t32" style="position:absolute;left:1482712;top:2466942;flip:x y;height:700;width:253302;" filled="f" stroked="t" coordsize="21600,21600" o:gfxdata="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PrHrNXaAAAA&#10;CgEAAA8AAAAAAAAAAQAgAAAAIgAAAGRycy9kb3ducmV2LnhtbFBLAQIUABQAAAAIAIdO4kDcakBo&#10;GwIAABAEAAAOAAAAAAAAAAEAIAAAACkBAABkcnMvZTJvRG9jLnhtbFBLBQYAAAAABgAGAFkBAAC2&#10;BQAAAAA=&#10;">
                  <v:fill on="f" focussize="0,0"/>
                  <v:stroke weight="0.5pt" color="#000000" joinstyle="round"/>
                  <v:imagedata o:title=""/>
                  <o:lock v:ext="edit" aspectratio="f"/>
                </v:shape>
                <v:shape id="直接箭头连接符 298" o:spid="_x0000_s1026" o:spt="32" type="#_x0000_t32" style="position:absolute;left:729606;top:1051518;height:1900;width:246302;" filled="f" stroked="t" coordsize="21600,21600" o:gfxdata="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wD9MraAAAACgEA&#10;AA8AAAAAAAAAAQAgAAAAIgAAAGRycy9kb3ducmV2LnhtbFBLAQIUABQAAAAIAIdO4kCxrDTKGAIA&#10;AAAEAAAOAAAAAAAAAAEAIAAAACkBAABkcnMvZTJvRG9jLnhtbFBLBQYAAAAABgAGAFkBAACzBQAA&#10;AAA=&#10;">
                  <v:fill on="f" focussize="0,0"/>
                  <v:stroke weight="0.5pt" color="#000000" joinstyle="round" endarrow="block"/>
                  <v:imagedata o:title=""/>
                  <o:lock v:ext="edit" aspectratio="f"/>
                </v:shape>
                <v:shape id="文本框 299" o:spid="_x0000_s1026" o:spt="202" type="#_x0000_t202" style="position:absolute;left:226602;top:895915;height:291505;width:501704;" filled="f" stroked="t" coordsize="21600,21600" o:gfxdata="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9qiU1wAAAAoBAAAPAAAAAAAAAAEAIAAAACIAAABkcnMvZG93bnJldi54bWxQSwECFAAU&#10;AAAACACHTuJAXEODuCsCAABNBAAADgAAAAAAAAABACAAAAAmAQAAZHJzL2Uyb0RvYy54bWxQSwUG&#10;AAAAAAYABgBZAQAAwwUAAAAA&#10;">
                  <v:fill on="f" focussize="0,0"/>
                  <v:stroke weight="0.5pt" color="#000000" joinstyle="miter"/>
                  <v:imagedata o:title=""/>
                  <o:lock v:ext="edit" aspectratio="f"/>
                  <v:textbox inset="2.5675mm,3.6388188976378pt,2.5675mm,3.6388188976378pt">
                    <w:txbxContent>
                      <w:p>
                        <w:pPr>
                          <w:jc w:val="center"/>
                          <w:rPr>
                            <w:sz w:val="21"/>
                            <w:szCs w:val="21"/>
                          </w:rPr>
                        </w:pPr>
                        <w:r>
                          <w:rPr>
                            <w:rFonts w:hint="eastAsia"/>
                            <w:sz w:val="21"/>
                            <w:szCs w:val="21"/>
                          </w:rPr>
                          <w:t>锅炉</w:t>
                        </w:r>
                      </w:p>
                    </w:txbxContent>
                  </v:textbox>
                </v:shape>
                <v:shape id="直接箭头连接符 300" o:spid="_x0000_s1026" o:spt="32" type="#_x0000_t32" style="position:absolute;left:2920623;top:169503;flip:x y;height:600;width:252802;" filled="f" stroked="t" coordsize="21600,21600" o:gfxdata="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6tGj9kAAAAKAQAA&#10;DwAAAAAAAAABACAAAAAiAAAAZHJzL2Rvd25yZXYueG1sUEsBAhQAFAAAAAgAh07iQHr4JF0YAgAA&#10;DgQAAA4AAAAAAAAAAQAgAAAAKAEAAGRycy9lMm9Eb2MueG1sUEsFBgAAAAAGAAYAWQEAALIFAAAA&#10;AA==&#10;">
                  <v:fill on="f" focussize="0,0"/>
                  <v:stroke weight="0.5pt" color="#00B0F0" joinstyle="round" dashstyle="dash"/>
                  <v:imagedata o:title=""/>
                  <o:lock v:ext="edit" aspectratio="f"/>
                </v:shape>
                <v:shape id="直接箭头连接符 301" o:spid="_x0000_s1026" o:spt="32" type="#_x0000_t32" style="position:absolute;left:2911423;top:2493643;flip:x;height:1900;width:261602;" filled="f" stroked="t" coordsize="21600,21600" o:gfxdata="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ic0h9YAAAAKAQAADwAA&#10;AAAAAAABACAAAAAiAAAAZHJzL2Rvd25yZXYueG1sUEsBAhQAFAAAAAgAh07iQJtyb8QYAgAABgQA&#10;AA4AAAAAAAAAAQAgAAAAJQEAAGRycy9lMm9Eb2MueG1sUEsFBgAAAAAGAAYAWQEAAK8FAAAAAA==&#10;">
                  <v:fill on="f" focussize="0,0"/>
                  <v:stroke weight="0.5pt" color="#00B0F0" joinstyle="round" dashstyle="dash"/>
                  <v:imagedata o:title=""/>
                  <o:lock v:ext="edit" aspectratio="f"/>
                </v:shape>
                <v:shape id="直接箭头连接符 302" o:spid="_x0000_s1026" o:spt="32" type="#_x0000_t32" style="position:absolute;left:3181350;top:688340;height:635;width:492125;" filled="f" stroked="t" coordsize="21600,21600" o:gfxdata="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hs40tkAAAAKAQAADwAA&#10;AAAAAAABACAAAAAiAAAAZHJzL2Rvd25yZXYueG1sUEsBAhQAFAAAAAgAh07iQI67o/EVAgAA/gMA&#10;AA4AAAAAAAAAAQAgAAAAKAEAAGRycy9lMm9Eb2MueG1sUEsFBgAAAAAGAAYAWQEAAK8FAAAAAA==&#10;">
                  <v:fill on="f" focussize="0,0"/>
                  <v:stroke weight="0.5pt" color="#00B0F0" joinstyle="round" dashstyle="dash" endarrow="block"/>
                  <v:imagedata o:title=""/>
                  <o:lock v:ext="edit" aspectratio="f"/>
                </v:shape>
                <v:shape id="直接箭头连接符 315" o:spid="_x0000_s1026" o:spt="32" type="#_x0000_t32" style="position:absolute;left:3171190;top:1550670;height:3175;width:501650;" filled="f" stroked="t" coordsize="21600,21600" o:gfxdata="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hs40tkAAAAKAQAADwAA&#10;AAAAAAABACAAAAAiAAAAZHJzL2Rvd25yZXYueG1sUEsBAhQAFAAAAAgAh07iQOEdpw4VAgAAAAQA&#10;AA4AAAAAAAAAAQAgAAAAKAEAAGRycy9lMm9Eb2MueG1sUEsFBgAAAAAGAAYAWQEAAK8FAAAAAA==&#10;">
                  <v:fill on="f" focussize="0,0"/>
                  <v:stroke weight="0.5pt" color="#00B0F0" joinstyle="round" dashstyle="dash" endarrow="block"/>
                  <v:imagedata o:title=""/>
                  <o:lock v:ext="edit" aspectratio="f"/>
                </v:shape>
                <v:shape id="文本框 318" o:spid="_x0000_s1026" o:spt="202" type="#_x0000_t202" style="position:absolute;left:3089275;top:1678305;height:278765;width:764540;"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XJOnp2wAAAAoBAAAP&#10;AAAAAAAAAAEAIAAAACIAAABkcnMvZG93bnJldi54bWxQSwECFAAUAAAACACHTuJArVS42NwBAACZ&#10;AwAADgAAAAAAAAABACAAAAAqAQAAZHJzL2Uyb0RvYy54bWxQSwUGAAAAAAYABgBZAQAAeAUAAAAA&#10;">
                  <v:fill on="f" focussize="0,0"/>
                  <v:stroke on="f" weight="0.5pt"/>
                  <v:imagedata o:title=""/>
                  <o:lock v:ext="edit" aspectratio="f"/>
                  <v:textbox inset="2.5675mm,3.6388188976378pt,2.5675mm,3.6388188976378pt">
                    <w:txbxContent>
                      <w:p>
                        <w:pPr>
                          <w:rPr>
                            <w:sz w:val="21"/>
                            <w:szCs w:val="21"/>
                          </w:rPr>
                        </w:pPr>
                        <w:r>
                          <w:rPr>
                            <w:rFonts w:hint="eastAsia"/>
                            <w:sz w:val="21"/>
                            <w:szCs w:val="21"/>
                          </w:rPr>
                          <w:t>医疗垃圾</w:t>
                        </w:r>
                      </w:p>
                    </w:txbxContent>
                  </v:textbox>
                </v:shape>
                <v:shape id="直接箭头连接符 66" o:spid="_x0000_s1026" o:spt="32" type="#_x0000_t32" style="position:absolute;left:3183255;top:1979295;flip:y;height:1905;width:494665;" filled="f" stroked="t" coordsize="21600,21600" o:gfxdata="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cH5sXXAAAA&#10;CgEAAA8AAAAAAAAAAQAgAAAAIgAAAGRycy9kb3ducmV2LnhtbFBLAQIUABQAAAAIAIdO4kDvoMQw&#10;HgIAAAkEAAAOAAAAAAAAAAEAIAAAACYBAABkcnMvZTJvRG9jLnhtbFBLBQYAAAAABgAGAFkBAAC2&#10;BQAAAAA=&#10;">
                  <v:fill on="f" focussize="0,0"/>
                  <v:stroke weight="0.5pt" color="#00B0F0" joinstyle="round" dashstyle="dash" endarrow="block"/>
                  <v:imagedata o:title=""/>
                  <o:lock v:ext="edit" aspectratio="f"/>
                </v:shape>
                <v:shape id="文本框 67" o:spid="_x0000_s1026" o:spt="202" type="#_x0000_t202" style="position:absolute;left:3700145;top:1854835;height:253365;width:570865;" filled="f" stroked="t" coordsize="21600,21600" o:gfxdata="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BF/Q+2QAAAAoBAAAPAAAAAAAAAAEAIAAAACIAAABkcnMvZG93bnJldi54bWxQSwECFAAU&#10;AAAACACHTuJAAFyhDykCAABPBAAADgAAAAAAAAABACAAAAAoAQAAZHJzL2Uyb0RvYy54bWxQSwUG&#10;AAAAAAYABgBZAQAAwwUAAAAA&#10;">
                  <v:fill on="f" focussize="0,0"/>
                  <v:stroke weight="1pt" color="#000000" joinstyle="miter"/>
                  <v:imagedata o:title=""/>
                  <o:lock v:ext="edit" aspectratio="f"/>
                  <v:textbox inset="1mm,1.27mm,1mm,1.27mm">
                    <w:txbxContent>
                      <w:p>
                        <w:pPr>
                          <w:spacing w:line="240" w:lineRule="exact"/>
                          <w:jc w:val="center"/>
                          <w:rPr>
                            <w:rFonts w:eastAsia="宋体"/>
                            <w:sz w:val="21"/>
                            <w:szCs w:val="21"/>
                          </w:rPr>
                        </w:pPr>
                        <w:r>
                          <w:rPr>
                            <w:rFonts w:hint="eastAsia" w:ascii="Times New Roman"/>
                            <w:sz w:val="21"/>
                            <w:szCs w:val="21"/>
                          </w:rPr>
                          <w:t>危废间</w:t>
                        </w:r>
                      </w:p>
                    </w:txbxContent>
                  </v:textbox>
                </v:shape>
                <v:shape id="文本框 319" o:spid="_x0000_s1026" o:spt="202" type="#_x0000_t202" style="position:absolute;left:0;top:1432525;height:327706;width:965808;" filled="f" stroked="f" coordsize="21600,21600" o:gfxdata="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09a/5dgAAAAKAQAADwAAAAAAAAABACAA&#10;AAAiAAAAZHJzL2Rvd25yZXYueG1sUEsBAhQAFAAAAAgAh07iQO50hQLUAQAAkwMAAA4AAAAAAAAA&#10;AQAgAAAAJwEAAGRycy9lMm9Eb2MueG1sUEsFBgAAAAAGAAYAWQEAAG0FAAAAAA==&#10;">
                  <v:fill on="f" focussize="0,0"/>
                  <v:stroke on="f" weight="0.5pt"/>
                  <v:imagedata o:title=""/>
                  <o:lock v:ext="edit" aspectratio="f"/>
                  <v:textbox inset="1mm,3.6388188976378pt,1mm,3.6388188976378pt">
                    <w:txbxContent>
                      <w:p>
                        <w:pP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锅炉废水、灰渣</w:t>
                        </w:r>
                      </w:p>
                    </w:txbxContent>
                  </v:textbox>
                </v:shape>
                <v:shape id="直接箭头连接符 320" o:spid="_x0000_s1026" o:spt="32" type="#_x0000_t32" style="position:absolute;left:474304;top:1189320;height:335306;width:0;" filled="f" stroked="t" coordsize="21600,21600" o:gfxdata="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YbONLZAAAACgEAAA8AAAAA&#10;AAAAAQAgAAAAIgAAAGRycy9kb3ducmV2LnhtbFBLAQIUABQAAAAIAIdO4kBHGgB6EwIAAPwDAAAO&#10;AAAAAAAAAAEAIAAAACgBAABkcnMvZTJvRG9jLnhtbFBLBQYAAAAABgAGAFkBAACtBQAAAAA=&#10;">
                  <v:fill on="f" focussize="0,0"/>
                  <v:stroke weight="0.5pt" color="#00B0F0" joinstyle="round" dashstyle="dash" endarrow="block"/>
                  <v:imagedata o:title=""/>
                  <o:lock v:ext="edit" aspectratio="f"/>
                </v:shape>
                <v:shape id="直接箭头连接符 66" o:spid="_x0000_s1026" o:spt="32" type="#_x0000_t32" style="position:absolute;left:3189605;top:2426970;flip:y;height:3810;width:493395;" filled="f" stroked="t" coordsize="21600,21600" o:gfxdata="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cH5sXXAAAA&#10;CgEAAA8AAAAAAAAAAQAgAAAAIgAAAGRycy9kb3ducmV2LnhtbFBLAQIUABQAAAAIAIdO4kA0Uzz0&#10;HgIAAAkEAAAOAAAAAAAAAAEAIAAAACYBAABkcnMvZTJvRG9jLnhtbFBLBQYAAAAABgAGAFkBAAC2&#10;BQAAAAA=&#10;">
                  <v:fill on="f" focussize="0,0"/>
                  <v:stroke weight="0.5pt" color="#00B0F0" joinstyle="round" dashstyle="dash" endarrow="block"/>
                  <v:imagedata o:title=""/>
                  <o:lock v:ext="edit" aspectratio="f"/>
                </v:shape>
                <v:shape id="文本框 450" o:spid="_x0000_s1026" o:spt="202" type="#_x0000_t202" style="position:absolute;left:3725545;top:2300605;height:327025;width:889635;" filled="f" stroked="t" coordsize="21600,21600" o:gfxdata="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r76gN2wAAAAoBAAAPAAAA&#10;AAAAAAEAIAAAACIAAABkcnMvZG93bnJldi54bWxQSwECFAAUAAAACACHTuJA9kWkEhICAAAbBAAA&#10;DgAAAAAAAAABACAAAAAqAQAAZHJzL2Uyb0RvYy54bWxQSwUGAAAAAAYABgBZAQAArgUAAAAA&#10;">
                  <v:fill on="f" focussize="0,0"/>
                  <v:stroke weight="0.5pt" color="#000000" joinstyle="miter"/>
                  <v:imagedata o:title=""/>
                  <o:lock v:ext="edit" aspectratio="f"/>
                  <v:textbox>
                    <w:txbxContent>
                      <w:p>
                        <w:pPr>
                          <w:jc w:val="center"/>
                          <w:rPr>
                            <w:rFonts w:eastAsia="宋体"/>
                            <w:sz w:val="21"/>
                            <w:szCs w:val="21"/>
                          </w:rPr>
                        </w:pPr>
                        <w:r>
                          <w:rPr>
                            <w:rFonts w:hint="eastAsia"/>
                            <w:sz w:val="21"/>
                            <w:szCs w:val="21"/>
                          </w:rPr>
                          <w:t>污水沉淀池</w:t>
                        </w:r>
                      </w:p>
                    </w:txbxContent>
                  </v:textbox>
                </v:shape>
                <v:shape id="文本框 20" o:spid="_x0000_s1026" o:spt="202" type="#_x0000_t202" style="position:absolute;left:3709035;top:549275;height:300990;width:601345;" filled="f" stroked="t" coordsize="21600,21600" o:gfxdata="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vvqA3bAAAACgEAAA8AAAAA&#10;AAAAAQAgAAAAIgAAAGRycy9kb3ducmV2LnhtbFBLAQIUABQAAAAIAIdO4kD+U4MXEQIAABkEAAAO&#10;AAAAAAAAAAEAIAAAACoBAABkcnMvZTJvRG9jLnhtbFBLBQYAAAAABgAGAFkBAACtBQAAAAA=&#10;">
                  <v:fill on="f" focussize="0,0"/>
                  <v:stroke weight="0.5pt" color="#000000" joinstyle="miter"/>
                  <v:imagedata o:title=""/>
                  <o:lock v:ext="edit" aspectratio="f"/>
                  <v:textbox>
                    <w:txbxContent>
                      <w:p>
                        <w:pPr>
                          <w:rPr>
                            <w:rFonts w:eastAsia="宋体"/>
                            <w:sz w:val="21"/>
                            <w:szCs w:val="21"/>
                          </w:rPr>
                        </w:pPr>
                        <w:r>
                          <w:rPr>
                            <w:rFonts w:hint="eastAsia"/>
                            <w:sz w:val="21"/>
                            <w:szCs w:val="21"/>
                          </w:rPr>
                          <w:t>冷藏柜</w:t>
                        </w:r>
                      </w:p>
                    </w:txbxContent>
                  </v:textbox>
                </v:shape>
                <v:shape id="文本框 22" o:spid="_x0000_s1026" o:spt="202" type="#_x0000_t202" style="position:absolute;left:4700905;top:459105;height:501015;width:898525;" filled="f" stroked="f" coordsize="21600,21600" o:gfxdata="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7ER043AAAAAoBAAAPAAAAAAAAAAEAIAAAACIAAABkcnMvZG93bnJldi54&#10;bWxQSwECFAAUAAAACACHTuJAVsR0qL0BAABjAwAADgAAAAAAAAABACAAAAArAQAAZHJzL2Uyb0Rv&#10;Yy54bWxQSwUGAAAAAAYABgBZAQAAWgUAAAAA&#10;">
                  <v:fill on="f" focussize="0,0"/>
                  <v:stroke on="f" weight="0.5pt"/>
                  <v:imagedata o:title=""/>
                  <o:lock v:ext="edit" aspectratio="f"/>
                  <v:textbox>
                    <w:txbxContent>
                      <w:p>
                        <w:pPr>
                          <w:rPr>
                            <w:rFonts w:eastAsia="宋体"/>
                            <w:sz w:val="21"/>
                            <w:szCs w:val="21"/>
                          </w:rPr>
                        </w:pPr>
                        <w:r>
                          <w:rPr>
                            <w:rFonts w:hint="eastAsia"/>
                            <w:sz w:val="21"/>
                            <w:szCs w:val="21"/>
                          </w:rPr>
                          <w:t>委托无害化处理</w:t>
                        </w:r>
                      </w:p>
                    </w:txbxContent>
                  </v:textbox>
                </v:shape>
                <v:shape id="直接箭头连接符 64" o:spid="_x0000_s1026" o:spt="32" type="#_x0000_t32" style="position:absolute;left:4614545;top:2461260;height:0;width:409575;" filled="f" stroked="t" coordsize="21600,21600" o:gfxdata="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LAEljZAAAACgEAAA8AAAAAAAAA&#10;AQAgAAAAIgAAAGRycy9kb3ducmV2LnhtbFBLAQIUABQAAAAIAIdO4kAfGL3wEAIAAPoDAAAOAAAA&#10;AAAAAAEAIAAAACgBAABkcnMvZTJvRG9jLnhtbFBLBQYAAAAABgAGAFkBAACqBQAAAAA=&#10;">
                  <v:fill on="f" focussize="0,0"/>
                  <v:stroke color="#000000" joinstyle="round" endarrow="open"/>
                  <v:imagedata o:title=""/>
                  <o:lock v:ext="edit" aspectratio="f"/>
                </v:shape>
                <v:shape id="文本框 66" o:spid="_x0000_s1026" o:spt="202" type="#_x0000_t202" style="position:absolute;left:4926330;top:2295525;height:721360;width:729615;" filled="f" stroked="f" coordsize="21600,21600" o:gfxdata="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OxEdONwAAAAKAQAADwAAAAAAAAABACAAAAAiAAAAZHJzL2Rv&#10;d25yZXYueG1sUEsBAhQAFAAAAAgAh07iQIM6aqjEAQAAZAMAAA4AAAAAAAAAAQAgAAAAKwEAAGRy&#10;cy9lMm9Eb2MueG1sUEsFBgAAAAAGAAYAWQEAAGEFAAAAAA==&#10;">
                  <v:fill on="f" focussize="0,0"/>
                  <v:stroke on="f" weight="0.5pt"/>
                  <v:imagedata o:title=""/>
                  <o:lock v:ext="edit" aspectratio="f"/>
                  <v:textbox>
                    <w:txbxContent>
                      <w:p>
                        <w:pPr>
                          <w:spacing w:line="0" w:lineRule="atLeast"/>
                          <w:jc w:val="left"/>
                          <w:rPr>
                            <w:sz w:val="21"/>
                            <w:szCs w:val="21"/>
                          </w:rPr>
                        </w:pPr>
                        <w:r>
                          <w:rPr>
                            <w:rFonts w:hint="eastAsia"/>
                            <w:sz w:val="21"/>
                            <w:szCs w:val="21"/>
                          </w:rPr>
                          <w:t>外运至新华养殖场处理</w:t>
                        </w:r>
                      </w:p>
                    </w:txbxContent>
                  </v:textbox>
                </v:shape>
                <v:shape id="直接箭头连接符 23" o:spid="_x0000_s1026" o:spt="32" type="#_x0000_t32" style="position:absolute;left:4277995;top:1991360;height:0;width:409575;" filled="f" stroked="t" coordsize="21600,21600" o:gfxdata="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CwBJY2QAAAAoBAAAPAAAAAAAA&#10;AAEAIAAAACIAAABkcnMvZG93bnJldi54bWxQSwECFAAUAAAACACHTuJAxDibsRECAAD6AwAADgAA&#10;AAAAAAABACAAAAAoAQAAZHJzL2Uyb0RvYy54bWxQSwUGAAAAAAYABgBZAQAAqwUAAAAA&#10;">
                  <v:fill on="f" focussize="0,0"/>
                  <v:stroke color="#000000" joinstyle="round" endarrow="open"/>
                  <v:imagedata o:title=""/>
                  <o:lock v:ext="edit" aspectratio="f"/>
                </v:shape>
                <v:shape id="文本框 66" o:spid="_x0000_s1026" o:spt="202" type="#_x0000_t202" style="position:absolute;left:4662805;top:1806575;height:487045;width:961390;" filled="f" stroked="f" coordsize="21600,21600" o:gfxdata="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7ER043AAAAAoBAAAPAAAAAAAAAAEAIAAAACIAAABkcnMvZG93&#10;bnJldi54bWxQSwECFAAUAAAACACHTuJAWdLGCMMBAABkAwAADgAAAAAAAAABACAAAAArAQAAZHJz&#10;L2Uyb0RvYy54bWxQSwUGAAAAAAYABgBZAQAAYAUAAAAA&#10;">
                  <v:fill on="f" focussize="0,0"/>
                  <v:stroke on="f" weight="0.5pt"/>
                  <v:imagedata o:title=""/>
                  <o:lock v:ext="edit" aspectratio="f"/>
                  <v:textbox>
                    <w:txbxContent>
                      <w:p>
                        <w:pPr>
                          <w:spacing w:line="0" w:lineRule="atLeast"/>
                          <w:jc w:val="center"/>
                          <w:rPr>
                            <w:sz w:val="21"/>
                            <w:szCs w:val="21"/>
                          </w:rPr>
                        </w:pPr>
                        <w:r>
                          <w:rPr>
                            <w:rFonts w:hint="eastAsia"/>
                            <w:sz w:val="21"/>
                            <w:szCs w:val="21"/>
                          </w:rPr>
                          <w:t>委托有资质</w:t>
                        </w:r>
                      </w:p>
                      <w:p>
                        <w:pPr>
                          <w:spacing w:line="0" w:lineRule="atLeast"/>
                          <w:jc w:val="center"/>
                          <w:rPr>
                            <w:rFonts w:eastAsia="宋体"/>
                            <w:sz w:val="21"/>
                            <w:szCs w:val="21"/>
                          </w:rPr>
                        </w:pPr>
                        <w:r>
                          <w:rPr>
                            <w:rFonts w:hint="eastAsia"/>
                            <w:sz w:val="21"/>
                            <w:szCs w:val="21"/>
                          </w:rPr>
                          <w:t>单位清运处置</w:t>
                        </w:r>
                      </w:p>
                    </w:txbxContent>
                  </v:textbox>
                </v:shape>
                <v:shape id="文本框 22" o:spid="_x0000_s1026" o:spt="202" type="#_x0000_t202" style="position:absolute;left:3755390;top:1374140;height:339090;width:1824355;" filled="f" stroked="f" coordsize="21600,21600" o:gfxdata="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7ER043AAAAAoBAAAPAAAAAAAAAAEAIAAAACIAAABkcnMvZG93bnJl&#10;di54bWxQSwECFAAUAAAACACHTuJAJjmZrMABAABlAwAADgAAAAAAAAABACAAAAArAQAAZHJzL2Uy&#10;b0RvYy54bWxQSwUGAAAAAAYABgBZAQAAXQUAAAAA&#10;">
                  <v:fill on="f" focussize="0,0"/>
                  <v:stroke on="f" weight="0.5pt"/>
                  <v:imagedata o:title=""/>
                  <o:lock v:ext="edit" aspectratio="f"/>
                  <v:textbox>
                    <w:txbxContent>
                      <w:p>
                        <w:pPr>
                          <w:rPr>
                            <w:rFonts w:hint="default" w:eastAsia="仿宋"/>
                            <w:sz w:val="21"/>
                            <w:szCs w:val="21"/>
                            <w:lang w:val="en-US" w:eastAsia="zh-CN"/>
                          </w:rPr>
                        </w:pPr>
                        <w:r>
                          <w:rPr>
                            <w:rFonts w:hint="eastAsia"/>
                            <w:sz w:val="21"/>
                            <w:szCs w:val="21"/>
                            <w:lang w:val="en-US" w:eastAsia="zh-CN"/>
                          </w:rPr>
                          <w:t>暂存舍内</w:t>
                        </w:r>
                        <w:r>
                          <w:rPr>
                            <w:rFonts w:hint="eastAsia"/>
                            <w:sz w:val="21"/>
                            <w:szCs w:val="21"/>
                          </w:rPr>
                          <w:t>暂存</w:t>
                        </w:r>
                        <w:r>
                          <w:rPr>
                            <w:rFonts w:hint="eastAsia"/>
                            <w:sz w:val="21"/>
                            <w:szCs w:val="21"/>
                            <w:lang w:eastAsia="zh-CN"/>
                          </w:rPr>
                          <w:t>区，</w:t>
                        </w:r>
                        <w:r>
                          <w:rPr>
                            <w:rFonts w:hint="eastAsia"/>
                            <w:sz w:val="21"/>
                            <w:szCs w:val="21"/>
                            <w:lang w:val="en-US" w:eastAsia="zh-CN"/>
                          </w:rPr>
                          <w:t>后定期外售</w:t>
                        </w:r>
                      </w:p>
                    </w:txbxContent>
                  </v:textbox>
                </v:shape>
                <v:shape id="直接箭头连接符 287" o:spid="_x0000_s1026" o:spt="32" type="#_x0000_t32" style="position:absolute;left:3180080;top:1139190;height:6985;width:480695;" filled="f" stroked="t" coordsize="21600,21600" o:gfxdata="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Jhs40tkAAAAKAQAA&#10;DwAAAAAAAAABACAAAAAiAAAAZHJzL2Rvd25yZXYueG1sUEsBAhQAFAAAAAgAh07iQEeFGNsYAgAA&#10;/wMAAA4AAAAAAAAAAQAgAAAAKAEAAGRycy9lMm9Eb2MueG1sUEsFBgAAAAAGAAYAWQEAALIFAAAA&#10;AA==&#10;">
                  <v:fill on="f" focussize="0,0"/>
                  <v:stroke weight="0.5pt" color="#00B0F0" joinstyle="round" dashstyle="dash" endarrow="block"/>
                  <v:imagedata o:title=""/>
                  <o:lock v:ext="edit" aspectratio="f"/>
                </v:shape>
                <v:shape id="文本框 288" o:spid="_x0000_s1026" o:spt="202" type="#_x0000_t202" style="position:absolute;left:4904740;top:917575;height:508635;width:713105;"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ck6enbAAAACgEAAA8AAAAA&#10;AAAAAQAgAAAAIgAAAGRycy9kb3ducmV2LnhtbFBLAQIUABQAAAAIAIdO4kDRB2s42AEAAJgDAAAO&#10;AAAAAAAAAAEAIAAAACoBAABkcnMvZTJvRG9jLnhtbFBLBQYAAAAABgAGAFkBAAB0BQAAAAA=&#10;">
                  <v:fill on="f" focussize="0,0"/>
                  <v:stroke on="f" weight="0.5pt"/>
                  <v:imagedata o:title=""/>
                  <o:lock v:ext="edit" aspectratio="f"/>
                  <v:textbox inset="2.5675mm,3.6388188976378pt,2.5675mm,3.6388188976378pt">
                    <w:txbxContent>
                      <w:p>
                        <w:pPr>
                          <w:keepNext w:val="0"/>
                          <w:keepLines w:val="0"/>
                          <w:pageBreakBefore w:val="0"/>
                          <w:widowControl w:val="0"/>
                          <w:kinsoku/>
                          <w:wordWrap/>
                          <w:overflowPunct/>
                          <w:topLinePunct w:val="0"/>
                          <w:bidi w:val="0"/>
                          <w:adjustRightInd/>
                          <w:snapToGrid w:val="0"/>
                          <w:textAlignment w:val="auto"/>
                          <w:rPr>
                            <w:rFonts w:hint="default" w:ascii="仿宋" w:hAnsi="仿宋" w:eastAsia="仿宋" w:cs="仿宋"/>
                            <w:color w:val="auto"/>
                            <w:sz w:val="20"/>
                            <w:szCs w:val="20"/>
                            <w:u w:val="none"/>
                            <w:lang w:val="en-US" w:eastAsia="zh-CN"/>
                          </w:rPr>
                        </w:pPr>
                        <w:r>
                          <w:rPr>
                            <w:rFonts w:hint="eastAsia" w:ascii="仿宋" w:hAnsi="仿宋" w:eastAsia="仿宋" w:cs="仿宋"/>
                            <w:color w:val="auto"/>
                            <w:sz w:val="20"/>
                            <w:szCs w:val="20"/>
                            <w:u w:val="none"/>
                          </w:rPr>
                          <w:t>废品回收站回收</w:t>
                        </w:r>
                      </w:p>
                    </w:txbxContent>
                  </v:textbox>
                </v:shape>
                <v:shape id="文本框 291" o:spid="_x0000_s1026" o:spt="202" type="#_x0000_t202" style="position:absolute;left:3084195;top:864870;height:243205;width:999490;" filled="f" stroked="f" coordsize="21600,21600" o:gfxdata="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ck6enbAAAACgEAAA8AAAAA&#10;AAAAAQAgAAAAIgAAAGRycy9kb3ducmV2LnhtbFBLAQIUABQAAAAIAIdO4kDkOPRd2AEAAJkDAAAO&#10;AAAAAAAAAAEAIAAAACoBAABkcnMvZTJvRG9jLnhtbFBLBQYAAAAABgAGAFkBAAB0BQAAAAA=&#10;">
                  <v:fill on="f" focussize="0,0"/>
                  <v:stroke on="f" weight="0.5pt"/>
                  <v:imagedata o:title=""/>
                  <o:lock v:ext="edit" aspectratio="f"/>
                  <v:textbox inset="2.5675mm,3.6388188976378pt,2.5675mm,3.6388188976378pt">
                    <w:txbxContent>
                      <w:p>
                        <w:pPr>
                          <w:spacing w:line="240" w:lineRule="exact"/>
                          <w:jc w:val="center"/>
                          <w:rPr>
                            <w:rFonts w:hint="default" w:eastAsia="仿宋"/>
                            <w:sz w:val="21"/>
                            <w:szCs w:val="21"/>
                            <w:lang w:val="en-US" w:eastAsia="zh-CN"/>
                          </w:rPr>
                        </w:pPr>
                        <w:r>
                          <w:rPr>
                            <w:rFonts w:hint="eastAsia"/>
                            <w:sz w:val="21"/>
                            <w:szCs w:val="21"/>
                            <w:lang w:val="en-US" w:eastAsia="zh-CN"/>
                          </w:rPr>
                          <w:t>废物料包装袋</w:t>
                        </w:r>
                      </w:p>
                    </w:txbxContent>
                  </v:textbox>
                </v:shape>
                <v:shape id="文本框 67" o:spid="_x0000_s1026" o:spt="202" type="#_x0000_t202" style="position:absolute;left:3665855;top:1035050;height:253365;width:899795;" filled="f" stroked="t" coordsize="21600,21600" o:gfxdata="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Rf0PtkAAAAKAQAADwAAAAAAAAABACAAAAAiAAAAZHJzL2Rvd25yZXYueG1sUEsBAhQA&#10;FAAAAAgAh07iQKlhetcqAgAAUAQAAA4AAAAAAAAAAQAgAAAAKAEAAGRycy9lMm9Eb2MueG1sUEsF&#10;BgAAAAAGAAYAWQEAAMQFAAAAAA==&#10;">
                  <v:fill on="f" focussize="0,0"/>
                  <v:stroke weight="1pt" color="#000000" joinstyle="miter"/>
                  <v:imagedata o:title=""/>
                  <o:lock v:ext="edit" aspectratio="f"/>
                  <v:textbox inset="1mm,1.27mm,1mm,1.27mm">
                    <w:txbxContent>
                      <w:p>
                        <w:pPr>
                          <w:spacing w:line="240" w:lineRule="exact"/>
                          <w:jc w:val="center"/>
                          <w:rPr>
                            <w:rFonts w:hint="default" w:eastAsia="宋体"/>
                            <w:sz w:val="21"/>
                            <w:szCs w:val="21"/>
                            <w:lang w:val="en-US" w:eastAsia="zh-CN"/>
                          </w:rPr>
                        </w:pPr>
                        <w:r>
                          <w:rPr>
                            <w:rFonts w:hint="eastAsia" w:eastAsia="宋体"/>
                            <w:sz w:val="18"/>
                            <w:szCs w:val="18"/>
                            <w:lang w:val="en-US" w:eastAsia="zh-CN"/>
                          </w:rPr>
                          <w:t>一般固废暂存</w:t>
                        </w:r>
                        <w:r>
                          <w:rPr>
                            <w:rFonts w:hint="eastAsia" w:eastAsia="宋体"/>
                            <w:sz w:val="21"/>
                            <w:szCs w:val="21"/>
                            <w:lang w:val="en-US" w:eastAsia="zh-CN"/>
                          </w:rPr>
                          <w:t>间</w:t>
                        </w:r>
                      </w:p>
                    </w:txbxContent>
                  </v:textbox>
                </v:shape>
                <w10:wrap type="topAndBottom"/>
              </v:group>
            </w:pict>
          </mc:Fallback>
        </mc:AlternateContent>
      </w:r>
      <w:r>
        <w:rPr>
          <w:rFonts w:ascii="Times New Roman" w:eastAsia="宋体"/>
          <w:b/>
          <w:color w:val="auto"/>
        </w:rPr>
        <w:t>图</w:t>
      </w:r>
      <w:r>
        <w:rPr>
          <w:rFonts w:hint="eastAsia" w:ascii="Times New Roman" w:eastAsia="宋体"/>
          <w:b/>
          <w:color w:val="auto"/>
        </w:rPr>
        <w:t>3.3.</w:t>
      </w:r>
      <w:r>
        <w:rPr>
          <w:rFonts w:ascii="Times New Roman" w:eastAsia="宋体"/>
          <w:b/>
          <w:color w:val="auto"/>
        </w:rPr>
        <w:t>2 运营期工艺流程和排污节点示意图</w:t>
      </w:r>
    </w:p>
    <w:p>
      <w:pPr>
        <w:spacing w:line="360" w:lineRule="auto"/>
        <w:ind w:firstLine="482"/>
        <w:rPr>
          <w:rFonts w:ascii="Times New Roman" w:eastAsia="宋体"/>
          <w:color w:val="auto"/>
        </w:rPr>
      </w:pPr>
      <w:bookmarkStart w:id="305" w:name="_Toc397698068"/>
      <w:bookmarkStart w:id="306" w:name="_Toc430597546"/>
      <w:r>
        <w:rPr>
          <w:rFonts w:ascii="Times New Roman" w:eastAsia="宋体"/>
          <w:color w:val="auto"/>
        </w:rPr>
        <w:t>（2）养殖工艺方案：</w:t>
      </w:r>
    </w:p>
    <w:p>
      <w:pPr>
        <w:spacing w:line="360" w:lineRule="auto"/>
        <w:ind w:firstLine="482"/>
        <w:rPr>
          <w:rFonts w:ascii="Times New Roman" w:eastAsia="宋体"/>
          <w:color w:val="auto"/>
        </w:rPr>
      </w:pPr>
      <w:r>
        <w:rPr>
          <w:rFonts w:ascii="Times New Roman" w:eastAsia="宋体"/>
          <w:color w:val="auto"/>
        </w:rPr>
        <w:t>①饲养品种</w:t>
      </w:r>
    </w:p>
    <w:p>
      <w:pPr>
        <w:spacing w:line="360" w:lineRule="auto"/>
        <w:ind w:firstLine="482"/>
        <w:rPr>
          <w:rFonts w:ascii="Times New Roman" w:eastAsia="宋体"/>
          <w:color w:val="auto"/>
        </w:rPr>
      </w:pPr>
      <w:r>
        <w:rPr>
          <w:rFonts w:ascii="Times New Roman" w:eastAsia="宋体"/>
          <w:color w:val="auto"/>
        </w:rPr>
        <w:t>本项目商品肉鸡的鸡雏</w:t>
      </w:r>
      <w:r>
        <w:rPr>
          <w:rFonts w:hint="eastAsia" w:ascii="Times New Roman" w:eastAsia="宋体"/>
          <w:color w:val="auto"/>
        </w:rPr>
        <w:t>是由湖南湘佳牧业股份有限公司</w:t>
      </w:r>
      <w:r>
        <w:rPr>
          <w:rFonts w:ascii="Times New Roman" w:eastAsia="宋体"/>
          <w:color w:val="auto"/>
        </w:rPr>
        <w:t>分批提供的合格的雏鸡。</w:t>
      </w:r>
    </w:p>
    <w:p>
      <w:pPr>
        <w:spacing w:line="360" w:lineRule="auto"/>
        <w:ind w:firstLine="482"/>
        <w:rPr>
          <w:rFonts w:ascii="Times New Roman" w:eastAsia="宋体"/>
          <w:color w:val="auto"/>
        </w:rPr>
      </w:pPr>
      <w:r>
        <w:rPr>
          <w:rFonts w:ascii="Times New Roman" w:eastAsia="宋体"/>
          <w:color w:val="auto"/>
        </w:rPr>
        <w:t>②饲养模式</w:t>
      </w:r>
    </w:p>
    <w:p>
      <w:pPr>
        <w:spacing w:line="360" w:lineRule="auto"/>
        <w:ind w:firstLine="482"/>
        <w:rPr>
          <w:rFonts w:ascii="Times New Roman" w:eastAsia="宋体"/>
          <w:color w:val="auto"/>
        </w:rPr>
      </w:pPr>
      <w:r>
        <w:rPr>
          <w:rFonts w:ascii="Times New Roman" w:eastAsia="宋体"/>
          <w:color w:val="auto"/>
        </w:rPr>
        <w:t>本项目采用笼养肉鸡的饲养方式，鸡舍内三层重叠笼养。</w:t>
      </w:r>
    </w:p>
    <w:p>
      <w:pPr>
        <w:spacing w:line="360" w:lineRule="auto"/>
        <w:ind w:firstLine="482"/>
        <w:rPr>
          <w:rFonts w:ascii="Times New Roman" w:eastAsia="宋体"/>
          <w:color w:val="auto"/>
        </w:rPr>
      </w:pPr>
      <w:r>
        <w:rPr>
          <w:rFonts w:ascii="Times New Roman" w:eastAsia="宋体"/>
          <w:color w:val="auto"/>
        </w:rPr>
        <w:t>③备料过程</w:t>
      </w:r>
    </w:p>
    <w:p>
      <w:pPr>
        <w:spacing w:line="360" w:lineRule="auto"/>
        <w:ind w:firstLine="482"/>
        <w:rPr>
          <w:rFonts w:ascii="Times New Roman" w:eastAsia="宋体"/>
          <w:color w:val="auto"/>
        </w:rPr>
      </w:pPr>
      <w:r>
        <w:rPr>
          <w:rFonts w:ascii="Times New Roman" w:eastAsia="宋体"/>
          <w:color w:val="auto"/>
        </w:rPr>
        <w:t>项目饲料</w:t>
      </w:r>
      <w:r>
        <w:rPr>
          <w:rFonts w:hint="eastAsia" w:ascii="Times New Roman" w:eastAsia="宋体"/>
          <w:color w:val="auto"/>
        </w:rPr>
        <w:t>由公司饲料厂提供</w:t>
      </w:r>
      <w:r>
        <w:rPr>
          <w:rFonts w:ascii="Times New Roman" w:eastAsia="宋体"/>
          <w:color w:val="auto"/>
        </w:rPr>
        <w:t>，无需在</w:t>
      </w:r>
      <w:r>
        <w:rPr>
          <w:rFonts w:hint="eastAsia" w:ascii="Times New Roman" w:eastAsia="宋体"/>
          <w:color w:val="auto"/>
        </w:rPr>
        <w:t>场区</w:t>
      </w:r>
      <w:r>
        <w:rPr>
          <w:rFonts w:ascii="Times New Roman" w:eastAsia="宋体"/>
          <w:color w:val="auto"/>
        </w:rPr>
        <w:t>加工、配料。</w:t>
      </w:r>
    </w:p>
    <w:p>
      <w:pPr>
        <w:spacing w:line="360" w:lineRule="auto"/>
        <w:ind w:firstLine="482"/>
        <w:rPr>
          <w:rFonts w:ascii="Times New Roman" w:eastAsia="宋体"/>
          <w:color w:val="auto"/>
        </w:rPr>
      </w:pPr>
      <w:r>
        <w:rPr>
          <w:rFonts w:ascii="Times New Roman" w:eastAsia="宋体"/>
          <w:color w:val="auto"/>
        </w:rPr>
        <w:t>④饲养要求</w:t>
      </w:r>
    </w:p>
    <w:p>
      <w:pPr>
        <w:spacing w:line="360" w:lineRule="auto"/>
        <w:ind w:firstLine="482"/>
        <w:rPr>
          <w:rFonts w:ascii="Times New Roman" w:eastAsia="宋体"/>
          <w:color w:val="auto"/>
        </w:rPr>
      </w:pPr>
      <w:r>
        <w:rPr>
          <w:rFonts w:ascii="Times New Roman" w:eastAsia="宋体"/>
          <w:color w:val="auto"/>
        </w:rPr>
        <w:t>A.温度控制</w:t>
      </w:r>
    </w:p>
    <w:p>
      <w:pPr>
        <w:spacing w:line="360" w:lineRule="auto"/>
        <w:ind w:firstLine="482"/>
        <w:rPr>
          <w:rFonts w:ascii="Times New Roman" w:eastAsia="宋体"/>
          <w:color w:val="auto"/>
        </w:rPr>
      </w:pPr>
      <w:r>
        <w:rPr>
          <w:rFonts w:ascii="Times New Roman" w:eastAsia="宋体"/>
          <w:color w:val="auto"/>
        </w:rPr>
        <w:t>鸡舍采用全舍供热方式，</w:t>
      </w:r>
      <w:r>
        <w:rPr>
          <w:rFonts w:hint="eastAsia" w:ascii="Times New Roman" w:eastAsia="宋体"/>
          <w:color w:val="auto"/>
        </w:rPr>
        <w:t>建设项目内10栋</w:t>
      </w:r>
      <w:r>
        <w:rPr>
          <w:rFonts w:ascii="Times New Roman" w:eastAsia="宋体"/>
          <w:color w:val="auto"/>
        </w:rPr>
        <w:t>鸡舍</w:t>
      </w:r>
      <w:r>
        <w:rPr>
          <w:rFonts w:hint="eastAsia" w:ascii="Times New Roman" w:eastAsia="宋体"/>
          <w:color w:val="auto"/>
        </w:rPr>
        <w:t>，</w:t>
      </w:r>
      <w:r>
        <w:rPr>
          <w:rFonts w:ascii="Times New Roman" w:eastAsia="宋体"/>
          <w:color w:val="auto"/>
        </w:rPr>
        <w:t>由</w:t>
      </w:r>
      <w:r>
        <w:rPr>
          <w:rFonts w:hint="eastAsia" w:ascii="Times New Roman" w:eastAsia="宋体"/>
          <w:color w:val="auto"/>
        </w:rPr>
        <w:t>2</w:t>
      </w:r>
      <w:r>
        <w:rPr>
          <w:rFonts w:ascii="Times New Roman" w:eastAsia="宋体"/>
          <w:color w:val="auto"/>
        </w:rPr>
        <w:t>台</w:t>
      </w:r>
      <w:r>
        <w:rPr>
          <w:rFonts w:hint="eastAsia" w:ascii="Times New Roman" w:eastAsia="宋体"/>
          <w:color w:val="auto"/>
        </w:rPr>
        <w:t>1t/h</w:t>
      </w:r>
      <w:r>
        <w:rPr>
          <w:rFonts w:ascii="Times New Roman" w:eastAsia="宋体"/>
          <w:color w:val="auto"/>
        </w:rPr>
        <w:t>的</w:t>
      </w:r>
      <w:r>
        <w:rPr>
          <w:rFonts w:hint="eastAsia" w:ascii="Times New Roman" w:eastAsia="宋体"/>
          <w:color w:val="auto"/>
        </w:rPr>
        <w:t>生物质成型燃料锅炉</w:t>
      </w:r>
      <w:r>
        <w:rPr>
          <w:rFonts w:ascii="Times New Roman" w:eastAsia="宋体"/>
          <w:color w:val="auto"/>
        </w:rPr>
        <w:t>提供热源</w:t>
      </w:r>
      <w:r>
        <w:rPr>
          <w:rFonts w:hint="eastAsia" w:ascii="Times New Roman" w:eastAsia="宋体"/>
          <w:color w:val="auto"/>
        </w:rPr>
        <w:t>。</w:t>
      </w:r>
      <w:r>
        <w:rPr>
          <w:rFonts w:ascii="Times New Roman" w:eastAsia="宋体"/>
          <w:color w:val="auto"/>
        </w:rPr>
        <w:t>适宜的育雏温度是以鸡群感到舒适为最佳标准，仔鸡表现活泼好动，食欲良好，饮水正常，分布均匀，无挤推现象。温度控制标准为：温度第一周32-3</w:t>
      </w:r>
      <w:r>
        <w:rPr>
          <w:rFonts w:hint="eastAsia" w:ascii="Times New Roman" w:eastAsia="宋体"/>
          <w:color w:val="auto"/>
        </w:rPr>
        <w:t>5</w:t>
      </w:r>
      <w:r>
        <w:rPr>
          <w:rFonts w:ascii="Times New Roman" w:eastAsia="宋体"/>
          <w:color w:val="auto"/>
        </w:rPr>
        <w:t>摄氏度，第二周</w:t>
      </w:r>
      <w:r>
        <w:rPr>
          <w:rFonts w:hint="eastAsia" w:ascii="Times New Roman" w:eastAsia="宋体"/>
          <w:color w:val="auto"/>
        </w:rPr>
        <w:t>29</w:t>
      </w:r>
      <w:r>
        <w:rPr>
          <w:rFonts w:ascii="Times New Roman" w:eastAsia="宋体"/>
          <w:color w:val="auto"/>
        </w:rPr>
        <w:t>-32摄氏度，第三周</w:t>
      </w:r>
      <w:r>
        <w:rPr>
          <w:rFonts w:hint="eastAsia" w:ascii="Times New Roman" w:eastAsia="宋体"/>
          <w:color w:val="auto"/>
        </w:rPr>
        <w:t>26</w:t>
      </w:r>
      <w:r>
        <w:rPr>
          <w:rFonts w:ascii="Times New Roman" w:eastAsia="宋体"/>
          <w:color w:val="auto"/>
        </w:rPr>
        <w:t>-</w:t>
      </w:r>
      <w:r>
        <w:rPr>
          <w:rFonts w:hint="eastAsia" w:ascii="Times New Roman" w:eastAsia="宋体"/>
          <w:color w:val="auto"/>
        </w:rPr>
        <w:t>29</w:t>
      </w:r>
      <w:r>
        <w:rPr>
          <w:rFonts w:ascii="Times New Roman" w:eastAsia="宋体"/>
          <w:color w:val="auto"/>
        </w:rPr>
        <w:t>摄氏度，第四周2</w:t>
      </w:r>
      <w:r>
        <w:rPr>
          <w:rFonts w:hint="eastAsia" w:ascii="Times New Roman" w:eastAsia="宋体"/>
          <w:color w:val="auto"/>
        </w:rPr>
        <w:t>4</w:t>
      </w:r>
      <w:r>
        <w:rPr>
          <w:rFonts w:ascii="Times New Roman" w:eastAsia="宋体"/>
          <w:color w:val="auto"/>
        </w:rPr>
        <w:t>-</w:t>
      </w:r>
      <w:r>
        <w:rPr>
          <w:rFonts w:hint="eastAsia" w:ascii="Times New Roman" w:eastAsia="宋体"/>
          <w:color w:val="auto"/>
        </w:rPr>
        <w:t>27</w:t>
      </w:r>
      <w:r>
        <w:rPr>
          <w:rFonts w:ascii="Times New Roman" w:eastAsia="宋体"/>
          <w:color w:val="auto"/>
        </w:rPr>
        <w:t>摄氏度，第五周23-25摄氏度，第六周至出栏21-23摄氏度。</w:t>
      </w:r>
    </w:p>
    <w:p>
      <w:pPr>
        <w:pStyle w:val="14"/>
        <w:ind w:firstLine="497"/>
        <w:rPr>
          <w:rFonts w:ascii="Times New Roman" w:eastAsiaTheme="majorEastAsia" w:cstheme="majorEastAsia"/>
          <w:color w:val="auto"/>
        </w:rPr>
      </w:pPr>
      <w:r>
        <w:rPr>
          <w:rFonts w:hint="eastAsia" w:ascii="Times New Roman" w:eastAsiaTheme="majorEastAsia" w:cstheme="majorEastAsia"/>
          <w:color w:val="auto"/>
        </w:rPr>
        <w:t>湿度过高或过低对肉用仔鸡的生长发育都有不良影响。本项目采用鸡舍通风、适当限制饮水的方式来保持适宜湿度，湿度数据由温度湿度计中获取，根据数据通过定时喷雾洒水实时调整鸡舍湿度。</w:t>
      </w:r>
    </w:p>
    <w:p>
      <w:pPr>
        <w:spacing w:line="360" w:lineRule="auto"/>
        <w:ind w:firstLine="482"/>
        <w:rPr>
          <w:rFonts w:ascii="Times New Roman" w:eastAsia="宋体"/>
          <w:color w:val="auto"/>
        </w:rPr>
      </w:pPr>
      <w:r>
        <w:rPr>
          <w:rFonts w:ascii="Times New Roman" w:eastAsia="宋体"/>
          <w:color w:val="auto"/>
        </w:rPr>
        <w:t>B.光照控制</w:t>
      </w:r>
    </w:p>
    <w:p>
      <w:pPr>
        <w:spacing w:line="360" w:lineRule="auto"/>
        <w:ind w:firstLine="482"/>
        <w:rPr>
          <w:rFonts w:ascii="Times New Roman" w:eastAsia="宋体"/>
          <w:color w:val="auto"/>
        </w:rPr>
      </w:pPr>
      <w:r>
        <w:rPr>
          <w:rFonts w:ascii="Times New Roman" w:eastAsia="宋体"/>
          <w:color w:val="auto"/>
        </w:rPr>
        <w:t>光照对肉用仔鸡生产力的发挥有一定影响。合理的光照有利于肉用仔鸡增重。光照分自然光照和人工光照两种。自然光照就是依靠太阳直射或散射光通过鸡舍的开露部位如门窗等射进鸡舍；人工光照就是根据需要，以电灯光源进行人工补光。实践证明施行间歇光照的饲养效果好于连续光照，本项目通过畜禽养殖舍环境控制器中的数据，采取人工光照控制鸡舍光照时间和强度。</w:t>
      </w:r>
    </w:p>
    <w:p>
      <w:pPr>
        <w:spacing w:line="360" w:lineRule="auto"/>
        <w:ind w:firstLine="482"/>
        <w:rPr>
          <w:rFonts w:ascii="Times New Roman" w:eastAsia="宋体"/>
          <w:color w:val="auto"/>
        </w:rPr>
      </w:pPr>
      <w:r>
        <w:rPr>
          <w:rFonts w:ascii="Times New Roman" w:eastAsia="宋体"/>
          <w:color w:val="auto"/>
        </w:rPr>
        <w:t>C.通风控制</w:t>
      </w:r>
    </w:p>
    <w:p>
      <w:pPr>
        <w:spacing w:line="360" w:lineRule="auto"/>
        <w:ind w:firstLine="482"/>
        <w:rPr>
          <w:rFonts w:ascii="Times New Roman" w:eastAsia="宋体"/>
          <w:color w:val="auto"/>
        </w:rPr>
      </w:pPr>
      <w:r>
        <w:rPr>
          <w:rFonts w:ascii="Times New Roman" w:eastAsia="宋体"/>
          <w:color w:val="auto"/>
        </w:rPr>
        <w:t>鸡舍内空气新鲜和适当流通是养好肉用仔鸡的重要条件，足够的氧气可使肉用仔鸡维持正常的新陈代谢，保持健康</w:t>
      </w:r>
      <w:r>
        <w:rPr>
          <w:rFonts w:hint="eastAsia" w:ascii="Times New Roman" w:eastAsia="宋体"/>
          <w:color w:val="auto"/>
        </w:rPr>
        <w:t>，</w:t>
      </w:r>
      <w:r>
        <w:rPr>
          <w:rFonts w:ascii="Times New Roman" w:eastAsia="宋体"/>
          <w:color w:val="auto"/>
        </w:rPr>
        <w:t>本项目</w:t>
      </w:r>
      <w:r>
        <w:rPr>
          <w:rFonts w:hint="eastAsia" w:ascii="Times New Roman" w:eastAsia="宋体"/>
          <w:color w:val="auto"/>
        </w:rPr>
        <w:t>为密闭式</w:t>
      </w:r>
      <w:r>
        <w:rPr>
          <w:rFonts w:ascii="Times New Roman" w:eastAsia="宋体"/>
          <w:color w:val="auto"/>
        </w:rPr>
        <w:t>鸡舍</w:t>
      </w:r>
      <w:r>
        <w:rPr>
          <w:rFonts w:hint="eastAsia" w:ascii="Times New Roman" w:eastAsia="宋体"/>
          <w:color w:val="auto"/>
        </w:rPr>
        <w:t>，采用机械式负压、侧墙进风门，排风量和新鲜空气进入量均可控</w:t>
      </w:r>
      <w:r>
        <w:rPr>
          <w:rFonts w:ascii="Times New Roman" w:eastAsia="宋体"/>
          <w:color w:val="auto"/>
        </w:rPr>
        <w:t>。</w:t>
      </w:r>
    </w:p>
    <w:p>
      <w:pPr>
        <w:spacing w:line="360" w:lineRule="auto"/>
        <w:ind w:firstLine="482"/>
        <w:rPr>
          <w:rFonts w:ascii="Times New Roman" w:eastAsia="宋体"/>
          <w:color w:val="auto"/>
        </w:rPr>
      </w:pPr>
      <w:r>
        <w:rPr>
          <w:rFonts w:ascii="Times New Roman" w:eastAsia="宋体"/>
          <w:color w:val="auto"/>
        </w:rPr>
        <w:t>D.鸡舍消毒</w:t>
      </w:r>
    </w:p>
    <w:p>
      <w:pPr>
        <w:spacing w:line="360" w:lineRule="auto"/>
        <w:ind w:firstLine="482"/>
        <w:rPr>
          <w:rFonts w:ascii="Times New Roman" w:eastAsia="宋体"/>
          <w:color w:val="auto"/>
        </w:rPr>
      </w:pPr>
      <w:r>
        <w:rPr>
          <w:rFonts w:ascii="Times New Roman" w:eastAsia="宋体"/>
          <w:color w:val="auto"/>
        </w:rPr>
        <w:t>项目采用雏鸡进舍前、雏鸡育成、定期消毒三种方式进行消毒，对鸡舍进行全面喷洒消毒药的方式进行消毒。</w:t>
      </w:r>
    </w:p>
    <w:p>
      <w:pPr>
        <w:spacing w:line="360" w:lineRule="auto"/>
        <w:ind w:firstLine="482"/>
        <w:rPr>
          <w:rFonts w:ascii="Times New Roman" w:eastAsia="宋体"/>
          <w:color w:val="auto"/>
        </w:rPr>
      </w:pPr>
      <w:r>
        <w:rPr>
          <w:rFonts w:ascii="Times New Roman" w:eastAsia="宋体"/>
          <w:color w:val="auto"/>
        </w:rPr>
        <w:t>⑤饲养方式</w:t>
      </w:r>
    </w:p>
    <w:p>
      <w:pPr>
        <w:spacing w:line="360" w:lineRule="auto"/>
        <w:ind w:firstLine="482"/>
        <w:rPr>
          <w:rFonts w:ascii="Times New Roman" w:eastAsia="宋体"/>
          <w:color w:val="auto"/>
        </w:rPr>
      </w:pPr>
      <w:r>
        <w:rPr>
          <w:rFonts w:ascii="Times New Roman" w:eastAsia="宋体"/>
          <w:color w:val="auto"/>
        </w:rPr>
        <w:t>项目采用“同进同出”原则，即鸡场接收同一批次的雏鸡苗，同时进雏，同时出栏。采用笼养方式，每批饲养周期为</w:t>
      </w:r>
      <w:r>
        <w:rPr>
          <w:rFonts w:hint="eastAsia" w:ascii="Times New Roman" w:eastAsia="宋体"/>
          <w:color w:val="auto"/>
        </w:rPr>
        <w:t>60</w:t>
      </w:r>
      <w:r>
        <w:rPr>
          <w:rFonts w:ascii="Times New Roman" w:eastAsia="宋体"/>
          <w:color w:val="auto"/>
        </w:rPr>
        <w:t>d，消毒空舍期和进、出鸡共</w:t>
      </w:r>
      <w:r>
        <w:rPr>
          <w:rFonts w:hint="eastAsia" w:ascii="Times New Roman" w:eastAsia="宋体"/>
          <w:color w:val="auto"/>
        </w:rPr>
        <w:t>90</w:t>
      </w:r>
      <w:r>
        <w:rPr>
          <w:rFonts w:ascii="Times New Roman" w:eastAsia="宋体"/>
          <w:color w:val="auto"/>
        </w:rPr>
        <w:t>d，1年可饲养</w:t>
      </w:r>
      <w:r>
        <w:rPr>
          <w:rFonts w:hint="eastAsia" w:ascii="Times New Roman" w:eastAsia="宋体"/>
          <w:color w:val="auto"/>
        </w:rPr>
        <w:t>4</w:t>
      </w:r>
      <w:r>
        <w:rPr>
          <w:rFonts w:ascii="Times New Roman" w:eastAsia="宋体"/>
          <w:color w:val="auto"/>
        </w:rPr>
        <w:t>个批次。自动供料、自动饮水、自动清粪、出栏肉鸡自动传送、人工装箱。</w:t>
      </w:r>
    </w:p>
    <w:p>
      <w:pPr>
        <w:spacing w:line="360" w:lineRule="auto"/>
        <w:ind w:firstLine="482"/>
        <w:rPr>
          <w:rFonts w:ascii="Times New Roman" w:eastAsia="宋体"/>
          <w:color w:val="auto"/>
        </w:rPr>
      </w:pPr>
      <w:r>
        <w:rPr>
          <w:rFonts w:ascii="Times New Roman" w:eastAsia="宋体"/>
          <w:color w:val="auto"/>
        </w:rPr>
        <w:t>A.供料：项目外购成品饲料由饲料车送至</w:t>
      </w:r>
      <w:r>
        <w:rPr>
          <w:rFonts w:hint="eastAsia" w:ascii="Times New Roman" w:eastAsia="宋体"/>
          <w:color w:val="auto"/>
        </w:rPr>
        <w:t>场区</w:t>
      </w:r>
      <w:r>
        <w:rPr>
          <w:rFonts w:ascii="Times New Roman" w:eastAsia="宋体"/>
          <w:color w:val="auto"/>
        </w:rPr>
        <w:t>的</w:t>
      </w:r>
      <w:r>
        <w:rPr>
          <w:rFonts w:hint="eastAsia" w:ascii="Times New Roman" w:eastAsia="宋体"/>
          <w:color w:val="auto"/>
        </w:rPr>
        <w:t>配料间</w:t>
      </w:r>
      <w:r>
        <w:rPr>
          <w:rFonts w:ascii="Times New Roman" w:eastAsia="宋体"/>
          <w:color w:val="auto"/>
        </w:rPr>
        <w:t>内</w:t>
      </w:r>
      <w:r>
        <w:rPr>
          <w:rFonts w:hint="eastAsia" w:ascii="Times New Roman" w:eastAsia="宋体"/>
          <w:color w:val="auto"/>
        </w:rPr>
        <w:t>，饲料为袋装（50kg/袋）</w:t>
      </w:r>
      <w:r>
        <w:rPr>
          <w:rFonts w:ascii="Times New Roman" w:eastAsia="宋体"/>
          <w:color w:val="auto"/>
        </w:rPr>
        <w:t>，</w:t>
      </w:r>
      <w:r>
        <w:rPr>
          <w:rFonts w:hint="eastAsia" w:ascii="Times New Roman" w:eastAsia="宋体"/>
          <w:color w:val="auto"/>
        </w:rPr>
        <w:t>配料间内设投料槽，将饲料投入投料槽中，进入饲料塔内进行</w:t>
      </w:r>
      <w:r>
        <w:rPr>
          <w:rFonts w:ascii="Times New Roman" w:eastAsia="宋体"/>
          <w:color w:val="auto"/>
        </w:rPr>
        <w:t>机械喂料。</w:t>
      </w:r>
    </w:p>
    <w:p>
      <w:pPr>
        <w:spacing w:line="360" w:lineRule="auto"/>
        <w:ind w:firstLine="482"/>
        <w:rPr>
          <w:rFonts w:ascii="Times New Roman" w:eastAsia="宋体"/>
          <w:color w:val="auto"/>
        </w:rPr>
      </w:pPr>
      <w:r>
        <w:rPr>
          <w:rFonts w:ascii="Times New Roman" w:eastAsia="宋体"/>
          <w:color w:val="auto"/>
        </w:rPr>
        <w:t>B.供水：采用乳头饮水系统自动供水。乳头饮水线配有加药器，带压力显示反冲洗式过滤器，压力调节器，配备冲洗装置。</w:t>
      </w:r>
    </w:p>
    <w:p>
      <w:pPr>
        <w:spacing w:line="360" w:lineRule="auto"/>
        <w:ind w:firstLine="482"/>
        <w:rPr>
          <w:rFonts w:ascii="Times New Roman" w:eastAsia="宋体"/>
          <w:color w:val="auto"/>
        </w:rPr>
      </w:pPr>
      <w:r>
        <w:rPr>
          <w:rFonts w:ascii="Times New Roman" w:eastAsia="宋体"/>
          <w:color w:val="auto"/>
        </w:rPr>
        <w:t>C.清粪：采用输送带自动清粪。由鸡笼下部的纵向传粪带将鸡粪输送至鸡舍端部，再通过横向传粪带输出，鸡粪通过自动清粪机收集后</w:t>
      </w:r>
      <w:r>
        <w:rPr>
          <w:rFonts w:hint="eastAsia" w:ascii="Times New Roman" w:eastAsia="宋体"/>
          <w:color w:val="auto"/>
        </w:rPr>
        <w:t>进入运输车斗内，再由湖南春雨生物科技有限公司运走</w:t>
      </w:r>
      <w:r>
        <w:rPr>
          <w:rFonts w:ascii="Times New Roman" w:eastAsia="宋体"/>
          <w:color w:val="auto"/>
        </w:rPr>
        <w:t>。</w:t>
      </w:r>
    </w:p>
    <w:p>
      <w:pPr>
        <w:spacing w:line="360" w:lineRule="auto"/>
        <w:ind w:firstLine="482"/>
        <w:rPr>
          <w:rFonts w:ascii="Times New Roman" w:eastAsia="宋体"/>
          <w:color w:val="auto"/>
        </w:rPr>
      </w:pPr>
      <w:r>
        <w:rPr>
          <w:rFonts w:ascii="Times New Roman" w:eastAsia="宋体"/>
          <w:color w:val="auto"/>
        </w:rPr>
        <w:t>D.光照：人工光照控制方式。</w:t>
      </w:r>
    </w:p>
    <w:p>
      <w:pPr>
        <w:spacing w:line="360" w:lineRule="auto"/>
        <w:ind w:firstLine="482"/>
        <w:rPr>
          <w:rFonts w:ascii="Times New Roman" w:eastAsia="宋体"/>
          <w:color w:val="auto"/>
        </w:rPr>
      </w:pPr>
      <w:r>
        <w:rPr>
          <w:rFonts w:ascii="Times New Roman" w:eastAsia="宋体"/>
          <w:color w:val="auto"/>
        </w:rPr>
        <w:t>E.通风：采用密闭式鸡舍，机械</w:t>
      </w:r>
      <w:r>
        <w:rPr>
          <w:rFonts w:hint="eastAsia" w:ascii="Times New Roman" w:eastAsia="宋体"/>
          <w:color w:val="auto"/>
        </w:rPr>
        <w:t>负压</w:t>
      </w:r>
      <w:r>
        <w:rPr>
          <w:rFonts w:ascii="Times New Roman" w:eastAsia="宋体"/>
          <w:color w:val="auto"/>
        </w:rPr>
        <w:t>通风，湿帘降温。</w:t>
      </w:r>
    </w:p>
    <w:p>
      <w:pPr>
        <w:spacing w:line="360" w:lineRule="auto"/>
        <w:ind w:firstLine="482"/>
        <w:rPr>
          <w:rFonts w:ascii="Times New Roman" w:eastAsia="宋体"/>
          <w:color w:val="auto"/>
        </w:rPr>
      </w:pPr>
      <w:r>
        <w:rPr>
          <w:rFonts w:ascii="Times New Roman" w:eastAsia="宋体"/>
          <w:color w:val="auto"/>
        </w:rPr>
        <w:t>F.供暖：鸡舍采用</w:t>
      </w:r>
      <w:r>
        <w:rPr>
          <w:rFonts w:hint="eastAsia" w:ascii="Times New Roman" w:eastAsia="宋体"/>
          <w:color w:val="auto"/>
        </w:rPr>
        <w:t>生物质成型燃料锅炉</w:t>
      </w:r>
      <w:r>
        <w:rPr>
          <w:rFonts w:ascii="Times New Roman" w:eastAsia="宋体"/>
          <w:color w:val="auto"/>
        </w:rPr>
        <w:t>供暖。</w:t>
      </w:r>
    </w:p>
    <w:p>
      <w:pPr>
        <w:spacing w:line="360" w:lineRule="auto"/>
        <w:ind w:firstLine="482"/>
        <w:rPr>
          <w:rFonts w:ascii="Times New Roman" w:eastAsia="宋体"/>
          <w:color w:val="auto"/>
        </w:rPr>
      </w:pPr>
      <w:r>
        <w:rPr>
          <w:rFonts w:ascii="Times New Roman" w:eastAsia="宋体"/>
          <w:color w:val="auto"/>
        </w:rPr>
        <w:t>G.病死鸡：</w:t>
      </w:r>
      <w:r>
        <w:rPr>
          <w:rFonts w:hint="eastAsia" w:ascii="Times New Roman" w:eastAsia="宋体"/>
          <w:color w:val="auto"/>
        </w:rPr>
        <w:t>暂存冷藏柜，由岳阳县病死禽无害处理厂收集后无害化处理</w:t>
      </w:r>
      <w:r>
        <w:rPr>
          <w:rFonts w:ascii="Times New Roman" w:eastAsia="宋体"/>
          <w:color w:val="auto"/>
        </w:rPr>
        <w:t>。</w:t>
      </w:r>
    </w:p>
    <w:p>
      <w:pPr>
        <w:spacing w:line="360" w:lineRule="auto"/>
        <w:ind w:firstLine="482"/>
        <w:rPr>
          <w:rFonts w:ascii="Times New Roman" w:eastAsia="宋体"/>
          <w:color w:val="auto"/>
        </w:rPr>
      </w:pPr>
      <w:r>
        <w:rPr>
          <w:rFonts w:ascii="Times New Roman" w:eastAsia="宋体"/>
          <w:color w:val="auto"/>
        </w:rPr>
        <w:t>H.废水收集：经鸡舍地下专用污水收集管道，将鸡舍冲洗污水统一收集至</w:t>
      </w:r>
      <w:r>
        <w:rPr>
          <w:rFonts w:hint="eastAsia" w:ascii="Times New Roman" w:eastAsia="宋体"/>
          <w:color w:val="auto"/>
        </w:rPr>
        <w:t>污水沉淀池</w:t>
      </w:r>
      <w:r>
        <w:rPr>
          <w:rFonts w:ascii="Times New Roman" w:eastAsia="宋体"/>
          <w:color w:val="auto"/>
          <w:szCs w:val="24"/>
        </w:rPr>
        <w:t>，后用密闭槽车运至公司新华养殖场污水处理站处理</w:t>
      </w:r>
      <w:r>
        <w:rPr>
          <w:rFonts w:ascii="Times New Roman" w:eastAsia="宋体"/>
          <w:color w:val="auto"/>
        </w:rPr>
        <w:t>；</w:t>
      </w:r>
    </w:p>
    <w:p>
      <w:pPr>
        <w:spacing w:line="360" w:lineRule="auto"/>
        <w:ind w:firstLine="482"/>
        <w:rPr>
          <w:rFonts w:ascii="Times New Roman" w:eastAsia="宋体"/>
          <w:color w:val="auto"/>
          <w:szCs w:val="24"/>
        </w:rPr>
      </w:pPr>
      <w:r>
        <w:rPr>
          <w:rFonts w:ascii="Times New Roman" w:eastAsia="宋体"/>
          <w:color w:val="auto"/>
        </w:rPr>
        <w:t>I.鸡粪：</w:t>
      </w:r>
      <w:r>
        <w:rPr>
          <w:rFonts w:hint="eastAsia" w:ascii="Times New Roman" w:eastAsia="宋体"/>
          <w:bCs/>
          <w:color w:val="auto"/>
          <w:szCs w:val="24"/>
        </w:rPr>
        <w:t>日产日清，</w:t>
      </w:r>
      <w:r>
        <w:rPr>
          <w:rFonts w:ascii="Times New Roman" w:eastAsia="宋体"/>
          <w:color w:val="auto"/>
        </w:rPr>
        <w:t>鸡粪通过自动清粪机收集</w:t>
      </w:r>
      <w:r>
        <w:rPr>
          <w:rFonts w:hint="eastAsia" w:ascii="Times New Roman" w:eastAsia="宋体"/>
          <w:color w:val="auto"/>
          <w:lang w:eastAsia="zh-CN"/>
        </w:rPr>
        <w:t>，通过传送带运输至末端打捆装袋</w:t>
      </w:r>
      <w:r>
        <w:rPr>
          <w:rFonts w:ascii="Times New Roman" w:eastAsia="宋体"/>
          <w:color w:val="auto"/>
        </w:rPr>
        <w:t>，</w:t>
      </w:r>
      <w:r>
        <w:rPr>
          <w:rFonts w:hint="eastAsia" w:ascii="Times New Roman" w:eastAsia="宋体"/>
          <w:color w:val="auto"/>
        </w:rPr>
        <w:t>暂存于</w:t>
      </w:r>
      <w:r>
        <w:rPr>
          <w:rFonts w:hint="eastAsia" w:ascii="Times New Roman" w:eastAsia="宋体"/>
          <w:color w:val="auto"/>
          <w:lang w:eastAsia="zh-CN"/>
        </w:rPr>
        <w:t>鸡舍内</w:t>
      </w:r>
      <w:r>
        <w:rPr>
          <w:rFonts w:hint="eastAsia" w:ascii="Times New Roman" w:eastAsia="宋体"/>
          <w:color w:val="auto"/>
        </w:rPr>
        <w:t>鸡粪暂</w:t>
      </w:r>
      <w:r>
        <w:rPr>
          <w:rFonts w:hint="eastAsia" w:ascii="Times New Roman" w:eastAsia="宋体"/>
          <w:color w:val="auto"/>
          <w:lang w:eastAsia="zh-CN"/>
        </w:rPr>
        <w:t>区</w:t>
      </w:r>
      <w:r>
        <w:rPr>
          <w:rFonts w:hint="eastAsia" w:ascii="Times New Roman" w:eastAsia="宋体"/>
          <w:color w:val="auto"/>
        </w:rPr>
        <w:t>，后定期外售</w:t>
      </w:r>
      <w:r>
        <w:rPr>
          <w:rFonts w:hint="eastAsia" w:ascii="Times New Roman" w:eastAsia="宋体"/>
          <w:color w:val="auto"/>
          <w:lang w:val="en-US" w:eastAsia="zh-CN"/>
        </w:rPr>
        <w:t>制肥。</w:t>
      </w:r>
    </w:p>
    <w:p>
      <w:pPr>
        <w:widowControl/>
        <w:spacing w:line="360" w:lineRule="auto"/>
        <w:ind w:firstLine="496" w:firstLineChars="200"/>
        <w:rPr>
          <w:rFonts w:ascii="Times New Roman" w:eastAsia="宋体"/>
          <w:color w:val="auto"/>
        </w:rPr>
      </w:pPr>
      <w:r>
        <w:rPr>
          <w:rFonts w:ascii="Times New Roman" w:eastAsia="宋体"/>
          <w:color w:val="auto"/>
        </w:rPr>
        <w:t>②</w:t>
      </w:r>
      <w:r>
        <w:rPr>
          <w:rFonts w:hint="eastAsia" w:ascii="Times New Roman" w:eastAsia="宋体"/>
          <w:color w:val="auto"/>
        </w:rPr>
        <w:t>物料平衡</w:t>
      </w:r>
    </w:p>
    <w:p>
      <w:pPr>
        <w:widowControl/>
        <w:spacing w:line="360" w:lineRule="auto"/>
        <w:ind w:firstLine="496" w:firstLineChars="200"/>
        <w:rPr>
          <w:rFonts w:ascii="Times New Roman" w:eastAsia="宋体"/>
          <w:color w:val="auto"/>
        </w:rPr>
      </w:pPr>
      <w:r>
        <w:rPr>
          <w:rFonts w:hint="eastAsia" w:ascii="Times New Roman" w:eastAsia="宋体"/>
          <w:color w:val="auto"/>
        </w:rPr>
        <w:t>A.</w:t>
      </w:r>
      <w:r>
        <w:rPr>
          <w:rFonts w:ascii="Times New Roman" w:eastAsia="宋体"/>
          <w:color w:val="auto"/>
        </w:rPr>
        <w:t>物料平衡</w:t>
      </w:r>
    </w:p>
    <w:p>
      <w:pPr>
        <w:widowControl/>
        <w:spacing w:line="360" w:lineRule="auto"/>
        <w:ind w:firstLine="496" w:firstLineChars="200"/>
        <w:rPr>
          <w:rFonts w:ascii="Times New Roman" w:eastAsia="宋体"/>
          <w:color w:val="auto"/>
        </w:rPr>
      </w:pPr>
      <w:r>
        <w:rPr>
          <w:rFonts w:ascii="Times New Roman" w:eastAsia="宋体"/>
          <w:color w:val="auto"/>
        </w:rPr>
        <w:t>根据《为当今的肉鸡提供正确的饮水量》（何闪，《国外畜牧学·</w:t>
      </w:r>
      <w:r>
        <w:rPr>
          <w:rFonts w:hint="eastAsia" w:ascii="Times New Roman" w:eastAsia="宋体"/>
          <w:color w:val="auto"/>
        </w:rPr>
        <w:t>猪</w:t>
      </w:r>
      <w:r>
        <w:rPr>
          <w:rFonts w:ascii="Times New Roman" w:eastAsia="宋体"/>
          <w:color w:val="auto"/>
        </w:rPr>
        <w:t>与禽》，2014年第9期）中“普遍公认，肉鸡每采食0.454kg饲料需要消耗大约0.77kg的水”，本项目肉鸡饲料单批次用量为</w:t>
      </w:r>
      <w:r>
        <w:rPr>
          <w:rFonts w:hint="eastAsia" w:ascii="Times New Roman" w:eastAsia="宋体"/>
          <w:color w:val="auto"/>
          <w:lang w:val="en-US" w:eastAsia="zh-CN"/>
        </w:rPr>
        <w:t>2</w:t>
      </w:r>
      <w:r>
        <w:rPr>
          <w:rFonts w:hint="eastAsia" w:ascii="Times New Roman" w:eastAsia="宋体"/>
          <w:color w:val="auto"/>
        </w:rPr>
        <w:t>0</w:t>
      </w:r>
      <w:r>
        <w:rPr>
          <w:rFonts w:ascii="Times New Roman" w:eastAsia="宋体"/>
          <w:color w:val="auto"/>
        </w:rPr>
        <w:t>00t/a，单批次肉鸡饮水量约为</w:t>
      </w:r>
      <w:r>
        <w:rPr>
          <w:rFonts w:hint="eastAsia" w:ascii="Times New Roman" w:eastAsia="宋体"/>
          <w:color w:val="auto"/>
        </w:rPr>
        <w:t>1696</w:t>
      </w:r>
      <w:r>
        <w:rPr>
          <w:rFonts w:ascii="Times New Roman" w:eastAsia="宋体"/>
          <w:color w:val="auto"/>
        </w:rPr>
        <w:t>m</w:t>
      </w:r>
      <w:r>
        <w:rPr>
          <w:rFonts w:ascii="Times New Roman" w:eastAsia="宋体"/>
          <w:color w:val="auto"/>
          <w:vertAlign w:val="superscript"/>
        </w:rPr>
        <w:t>3</w:t>
      </w:r>
      <w:r>
        <w:rPr>
          <w:rFonts w:ascii="Times New Roman" w:eastAsia="宋体"/>
          <w:color w:val="auto"/>
        </w:rPr>
        <w:t>/a。饲料年用量约为</w:t>
      </w:r>
      <w:r>
        <w:rPr>
          <w:rFonts w:hint="eastAsia" w:ascii="Times New Roman" w:eastAsia="宋体"/>
          <w:color w:val="auto"/>
          <w:lang w:val="en-US" w:eastAsia="zh-CN"/>
        </w:rPr>
        <w:t>8</w:t>
      </w:r>
      <w:r>
        <w:rPr>
          <w:rFonts w:ascii="Times New Roman" w:eastAsia="宋体"/>
          <w:color w:val="auto"/>
        </w:rPr>
        <w:t>000t/a，肉鸡年饮水量约为</w:t>
      </w:r>
      <w:r>
        <w:rPr>
          <w:rFonts w:hint="eastAsia" w:ascii="Times New Roman" w:eastAsia="宋体"/>
          <w:color w:val="auto"/>
        </w:rPr>
        <w:t>13568</w:t>
      </w:r>
      <w:r>
        <w:rPr>
          <w:rFonts w:ascii="Times New Roman" w:eastAsia="宋体"/>
          <w:color w:val="auto"/>
        </w:rPr>
        <w:t>m</w:t>
      </w:r>
      <w:r>
        <w:rPr>
          <w:rFonts w:ascii="Times New Roman" w:eastAsia="宋体"/>
          <w:color w:val="auto"/>
          <w:vertAlign w:val="superscript"/>
        </w:rPr>
        <w:t>3</w:t>
      </w:r>
      <w:r>
        <w:rPr>
          <w:rFonts w:ascii="Times New Roman" w:eastAsia="宋体"/>
          <w:color w:val="auto"/>
        </w:rPr>
        <w:t>/a。排泄粪便</w:t>
      </w:r>
      <w:r>
        <w:rPr>
          <w:rFonts w:hint="eastAsia" w:ascii="Times New Roman" w:eastAsia="宋体"/>
          <w:color w:val="auto"/>
        </w:rPr>
        <w:t>6600</w:t>
      </w:r>
      <w:r>
        <w:rPr>
          <w:rFonts w:ascii="Times New Roman" w:eastAsia="宋体"/>
          <w:color w:val="auto"/>
        </w:rPr>
        <w:t>t</w:t>
      </w:r>
      <w:r>
        <w:rPr>
          <w:rFonts w:hint="eastAsia" w:ascii="Times New Roman" w:eastAsia="宋体"/>
          <w:color w:val="auto"/>
        </w:rPr>
        <w:t>/a</w:t>
      </w:r>
      <w:r>
        <w:rPr>
          <w:rFonts w:ascii="Times New Roman" w:eastAsia="宋体"/>
          <w:color w:val="auto"/>
        </w:rPr>
        <w:t>。</w:t>
      </w:r>
    </w:p>
    <w:p>
      <w:pPr>
        <w:widowControl/>
        <w:spacing w:line="360" w:lineRule="auto"/>
        <w:ind w:firstLine="496" w:firstLineChars="200"/>
        <w:rPr>
          <w:rFonts w:ascii="Times New Roman" w:eastAsia="宋体"/>
          <w:color w:val="auto"/>
        </w:rPr>
      </w:pPr>
      <w:r>
        <w:rPr>
          <w:rFonts w:ascii="Times New Roman" w:eastAsia="宋体"/>
          <w:color w:val="auto"/>
        </w:rPr>
        <w:t>计算出本项目物料平衡，详见表</w:t>
      </w:r>
      <w:r>
        <w:rPr>
          <w:rFonts w:hint="eastAsia" w:ascii="Times New Roman" w:eastAsia="宋体"/>
          <w:color w:val="auto"/>
        </w:rPr>
        <w:t>3.3-</w:t>
      </w:r>
      <w:r>
        <w:rPr>
          <w:rFonts w:ascii="Times New Roman" w:eastAsia="宋体"/>
          <w:color w:val="auto"/>
        </w:rPr>
        <w:t>1</w:t>
      </w:r>
      <w:r>
        <w:rPr>
          <w:rFonts w:hint="eastAsia" w:ascii="Times New Roman" w:eastAsia="宋体"/>
          <w:color w:val="auto"/>
        </w:rPr>
        <w:t>2</w:t>
      </w:r>
      <w:r>
        <w:rPr>
          <w:rFonts w:ascii="Times New Roman" w:eastAsia="宋体"/>
          <w:color w:val="auto"/>
        </w:rPr>
        <w:t>、图</w:t>
      </w:r>
      <w:r>
        <w:rPr>
          <w:rFonts w:hint="eastAsia" w:ascii="Times New Roman" w:eastAsia="宋体"/>
          <w:color w:val="auto"/>
        </w:rPr>
        <w:t>3.3.4</w:t>
      </w:r>
      <w:r>
        <w:rPr>
          <w:rFonts w:ascii="Times New Roman" w:eastAsia="宋体"/>
          <w:color w:val="auto"/>
        </w:rPr>
        <w:t>。</w:t>
      </w:r>
    </w:p>
    <w:p>
      <w:pPr>
        <w:pStyle w:val="358"/>
        <w:spacing w:beforeLines="50" w:line="0" w:lineRule="atLeast"/>
        <w:jc w:val="center"/>
        <w:rPr>
          <w:rFonts w:ascii="Times New Roman" w:hAnsi="Times New Roman" w:eastAsia="宋体" w:cs="Times New Roman"/>
          <w:b/>
          <w:bCs/>
          <w:color w:val="auto"/>
          <w:w w:val="99"/>
        </w:rPr>
      </w:pPr>
      <w:r>
        <w:rPr>
          <w:rFonts w:ascii="Times New Roman" w:hAnsi="Times New Roman" w:eastAsia="宋体" w:cs="Times New Roman"/>
          <w:b/>
          <w:bCs/>
          <w:color w:val="auto"/>
        </w:rPr>
        <w:t>表</w:t>
      </w:r>
      <w:r>
        <w:rPr>
          <w:rFonts w:hint="eastAsia" w:ascii="Times New Roman" w:hAnsi="Times New Roman" w:eastAsia="宋体" w:cs="Times New Roman"/>
          <w:b/>
          <w:bCs/>
          <w:color w:val="auto"/>
        </w:rPr>
        <w:t>3.3-</w:t>
      </w:r>
      <w:r>
        <w:rPr>
          <w:rFonts w:ascii="Times New Roman" w:hAnsi="Times New Roman" w:eastAsia="宋体" w:cs="Times New Roman"/>
          <w:b/>
          <w:bCs/>
          <w:color w:val="auto"/>
        </w:rPr>
        <w:t>1</w:t>
      </w:r>
      <w:r>
        <w:rPr>
          <w:rFonts w:hint="eastAsia" w:ascii="Times New Roman" w:hAnsi="Times New Roman" w:eastAsia="宋体" w:cs="Times New Roman"/>
          <w:b/>
          <w:bCs/>
          <w:color w:val="auto"/>
        </w:rPr>
        <w:t xml:space="preserve">2 </w:t>
      </w:r>
      <w:r>
        <w:rPr>
          <w:rFonts w:ascii="Times New Roman" w:hAnsi="Times New Roman" w:eastAsia="宋体" w:cs="Times New Roman"/>
          <w:b/>
          <w:bCs/>
          <w:color w:val="auto"/>
        </w:rPr>
        <w:t>建设项目物料平衡一览表</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56"/>
        <w:gridCol w:w="2057"/>
        <w:gridCol w:w="2201"/>
        <w:gridCol w:w="22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2056" w:type="dxa"/>
            <w:tcBorders>
              <w:tl2br w:val="nil"/>
              <w:tr2bl w:val="nil"/>
            </w:tcBorders>
            <w:vAlign w:val="center"/>
          </w:tcPr>
          <w:p>
            <w:pPr>
              <w:pStyle w:val="373"/>
              <w:widowControl w:val="0"/>
              <w:rPr>
                <w:b/>
                <w:color w:val="auto"/>
              </w:rPr>
            </w:pPr>
            <w:r>
              <w:rPr>
                <w:b/>
                <w:color w:val="auto"/>
              </w:rPr>
              <w:t>物料名称</w:t>
            </w:r>
          </w:p>
        </w:tc>
        <w:tc>
          <w:tcPr>
            <w:tcW w:w="2057" w:type="dxa"/>
            <w:tcBorders>
              <w:tl2br w:val="nil"/>
              <w:tr2bl w:val="nil"/>
            </w:tcBorders>
            <w:vAlign w:val="center"/>
          </w:tcPr>
          <w:p>
            <w:pPr>
              <w:pStyle w:val="373"/>
              <w:widowControl w:val="0"/>
              <w:rPr>
                <w:b/>
                <w:color w:val="auto"/>
              </w:rPr>
            </w:pPr>
            <w:r>
              <w:rPr>
                <w:b/>
                <w:color w:val="auto"/>
              </w:rPr>
              <w:t>饲料/水投入量</w:t>
            </w:r>
            <w:r>
              <w:rPr>
                <w:bCs/>
                <w:color w:val="auto"/>
              </w:rPr>
              <w:t>（t/a)</w:t>
            </w:r>
          </w:p>
        </w:tc>
        <w:tc>
          <w:tcPr>
            <w:tcW w:w="2201" w:type="dxa"/>
            <w:tcBorders>
              <w:tl2br w:val="nil"/>
              <w:tr2bl w:val="nil"/>
            </w:tcBorders>
            <w:vAlign w:val="center"/>
          </w:tcPr>
          <w:p>
            <w:pPr>
              <w:pStyle w:val="373"/>
              <w:widowControl w:val="0"/>
              <w:rPr>
                <w:b/>
                <w:color w:val="auto"/>
              </w:rPr>
            </w:pPr>
            <w:r>
              <w:rPr>
                <w:b/>
                <w:color w:val="auto"/>
              </w:rPr>
              <w:t>消耗量</w:t>
            </w:r>
            <w:r>
              <w:rPr>
                <w:bCs/>
                <w:color w:val="auto"/>
              </w:rPr>
              <w:t>（t/a）</w:t>
            </w:r>
          </w:p>
        </w:tc>
        <w:tc>
          <w:tcPr>
            <w:tcW w:w="2202" w:type="dxa"/>
            <w:tcBorders>
              <w:tl2br w:val="nil"/>
              <w:tr2bl w:val="nil"/>
            </w:tcBorders>
            <w:vAlign w:val="center"/>
          </w:tcPr>
          <w:p>
            <w:pPr>
              <w:pStyle w:val="373"/>
              <w:widowControl w:val="0"/>
              <w:rPr>
                <w:b/>
                <w:color w:val="auto"/>
              </w:rPr>
            </w:pPr>
            <w:r>
              <w:rPr>
                <w:b/>
                <w:color w:val="auto"/>
              </w:rPr>
              <w:t>粪排泄量</w:t>
            </w:r>
            <w:r>
              <w:rPr>
                <w:bCs/>
                <w:color w:val="auto"/>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56" w:type="dxa"/>
            <w:tcBorders>
              <w:tl2br w:val="nil"/>
              <w:tr2bl w:val="nil"/>
            </w:tcBorders>
            <w:vAlign w:val="center"/>
          </w:tcPr>
          <w:p>
            <w:pPr>
              <w:pStyle w:val="373"/>
              <w:widowControl w:val="0"/>
              <w:rPr>
                <w:color w:val="auto"/>
              </w:rPr>
            </w:pPr>
            <w:r>
              <w:rPr>
                <w:color w:val="auto"/>
              </w:rPr>
              <w:t>饲料</w:t>
            </w:r>
          </w:p>
        </w:tc>
        <w:tc>
          <w:tcPr>
            <w:tcW w:w="2057" w:type="dxa"/>
            <w:tcBorders>
              <w:tl2br w:val="nil"/>
              <w:tr2bl w:val="nil"/>
            </w:tcBorders>
            <w:vAlign w:val="center"/>
          </w:tcPr>
          <w:p>
            <w:pPr>
              <w:pStyle w:val="373"/>
              <w:widowControl w:val="0"/>
              <w:rPr>
                <w:color w:val="auto"/>
              </w:rPr>
            </w:pPr>
            <w:r>
              <w:rPr>
                <w:rFonts w:hint="eastAsia"/>
                <w:color w:val="auto"/>
                <w:lang w:val="en-US" w:eastAsia="zh-CN"/>
              </w:rPr>
              <w:t>8</w:t>
            </w:r>
            <w:r>
              <w:rPr>
                <w:rFonts w:hint="eastAsia"/>
                <w:color w:val="auto"/>
              </w:rPr>
              <w:t>0</w:t>
            </w:r>
            <w:r>
              <w:rPr>
                <w:color w:val="auto"/>
              </w:rPr>
              <w:t>00</w:t>
            </w:r>
          </w:p>
        </w:tc>
        <w:tc>
          <w:tcPr>
            <w:tcW w:w="2201" w:type="dxa"/>
            <w:vMerge w:val="restart"/>
            <w:tcBorders>
              <w:tl2br w:val="nil"/>
              <w:tr2bl w:val="nil"/>
            </w:tcBorders>
            <w:vAlign w:val="center"/>
          </w:tcPr>
          <w:p>
            <w:pPr>
              <w:pStyle w:val="373"/>
              <w:widowControl w:val="0"/>
              <w:rPr>
                <w:rFonts w:hint="default" w:eastAsia="宋体"/>
                <w:color w:val="auto"/>
                <w:lang w:val="en-US" w:eastAsia="zh-CN"/>
              </w:rPr>
            </w:pPr>
            <w:r>
              <w:rPr>
                <w:rFonts w:hint="eastAsia"/>
                <w:color w:val="auto"/>
                <w:lang w:val="en-US" w:eastAsia="zh-CN"/>
              </w:rPr>
              <w:t>14968</w:t>
            </w:r>
          </w:p>
        </w:tc>
        <w:tc>
          <w:tcPr>
            <w:tcW w:w="2202" w:type="dxa"/>
            <w:vMerge w:val="restart"/>
            <w:tcBorders>
              <w:tl2br w:val="nil"/>
              <w:tr2bl w:val="nil"/>
            </w:tcBorders>
            <w:vAlign w:val="center"/>
          </w:tcPr>
          <w:p>
            <w:pPr>
              <w:pStyle w:val="373"/>
              <w:widowControl w:val="0"/>
              <w:rPr>
                <w:color w:val="auto"/>
              </w:rPr>
            </w:pPr>
            <w:r>
              <w:rPr>
                <w:rFonts w:hint="eastAsia"/>
                <w:color w:val="auto"/>
              </w:rPr>
              <w:t>6600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56" w:type="dxa"/>
            <w:tcBorders>
              <w:tl2br w:val="nil"/>
              <w:tr2bl w:val="nil"/>
            </w:tcBorders>
            <w:vAlign w:val="center"/>
          </w:tcPr>
          <w:p>
            <w:pPr>
              <w:pStyle w:val="373"/>
              <w:widowControl w:val="0"/>
              <w:rPr>
                <w:color w:val="auto"/>
              </w:rPr>
            </w:pPr>
            <w:r>
              <w:rPr>
                <w:color w:val="auto"/>
              </w:rPr>
              <w:t>水</w:t>
            </w:r>
          </w:p>
        </w:tc>
        <w:tc>
          <w:tcPr>
            <w:tcW w:w="2057" w:type="dxa"/>
            <w:tcBorders>
              <w:tl2br w:val="nil"/>
              <w:tr2bl w:val="nil"/>
            </w:tcBorders>
            <w:vAlign w:val="center"/>
          </w:tcPr>
          <w:p>
            <w:pPr>
              <w:pStyle w:val="373"/>
              <w:widowControl w:val="0"/>
              <w:rPr>
                <w:color w:val="auto"/>
              </w:rPr>
            </w:pPr>
            <w:r>
              <w:rPr>
                <w:rFonts w:hint="eastAsia" w:ascii="Times New Roman" w:eastAsia="宋体"/>
                <w:color w:val="auto"/>
                <w:lang w:val="en-US" w:eastAsia="zh-CN"/>
              </w:rPr>
              <w:t>13568</w:t>
            </w:r>
          </w:p>
        </w:tc>
        <w:tc>
          <w:tcPr>
            <w:tcW w:w="2201" w:type="dxa"/>
            <w:vMerge w:val="continue"/>
            <w:tcBorders>
              <w:tl2br w:val="nil"/>
              <w:tr2bl w:val="nil"/>
            </w:tcBorders>
            <w:vAlign w:val="center"/>
          </w:tcPr>
          <w:p>
            <w:pPr>
              <w:pStyle w:val="373"/>
              <w:widowControl w:val="0"/>
              <w:rPr>
                <w:color w:val="auto"/>
              </w:rPr>
            </w:pPr>
          </w:p>
        </w:tc>
        <w:tc>
          <w:tcPr>
            <w:tcW w:w="2202" w:type="dxa"/>
            <w:vMerge w:val="continue"/>
            <w:tcBorders>
              <w:tl2br w:val="nil"/>
              <w:tr2bl w:val="nil"/>
            </w:tcBorders>
            <w:vAlign w:val="center"/>
          </w:tcPr>
          <w:p>
            <w:pPr>
              <w:pStyle w:val="373"/>
              <w:widowControl w:val="0"/>
              <w:rPr>
                <w:color w:val="auto"/>
              </w:rPr>
            </w:pPr>
          </w:p>
        </w:tc>
      </w:tr>
    </w:tbl>
    <w:p>
      <w:pPr>
        <w:pStyle w:val="358"/>
        <w:rPr>
          <w:rFonts w:ascii="Times New Roman" w:hAnsi="Times New Roman" w:cs="Times New Roman"/>
          <w:color w:val="auto"/>
        </w:rPr>
      </w:pPr>
    </w:p>
    <w:p>
      <w:pPr>
        <w:pStyle w:val="358"/>
        <w:rPr>
          <w:rFonts w:ascii="Times New Roman" w:hAnsi="Times New Roman" w:cs="Times New Roman"/>
          <w:color w:val="auto"/>
        </w:rPr>
      </w:pPr>
    </w:p>
    <w:p>
      <w:pPr>
        <w:pStyle w:val="358"/>
        <w:rPr>
          <w:rFonts w:ascii="Times New Roman" w:hAnsi="Times New Roman"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51682816" behindDoc="0" locked="0" layoutInCell="1" allowOverlap="1">
                <wp:simplePos x="0" y="0"/>
                <wp:positionH relativeFrom="column">
                  <wp:posOffset>1377950</wp:posOffset>
                </wp:positionH>
                <wp:positionV relativeFrom="paragraph">
                  <wp:posOffset>1038860</wp:posOffset>
                </wp:positionV>
                <wp:extent cx="292100" cy="0"/>
                <wp:effectExtent l="0" t="38100" r="12700" b="38100"/>
                <wp:wrapNone/>
                <wp:docPr id="86" name="自选图形 59"/>
                <wp:cNvGraphicFramePr/>
                <a:graphic xmlns:a="http://schemas.openxmlformats.org/drawingml/2006/main">
                  <a:graphicData uri="http://schemas.microsoft.com/office/word/2010/wordprocessingShape">
                    <wps:wsp>
                      <wps:cNvCnPr/>
                      <wps:spPr>
                        <a:xfrm>
                          <a:off x="0" y="0"/>
                          <a:ext cx="292100" cy="0"/>
                        </a:xfrm>
                        <a:prstGeom prst="straightConnector1">
                          <a:avLst/>
                        </a:prstGeom>
                        <a:ln w="19050" cap="flat" cmpd="sng">
                          <a:solidFill>
                            <a:srgbClr val="000000"/>
                          </a:solidFill>
                          <a:prstDash val="solid"/>
                          <a:round/>
                          <a:headEnd type="none" w="med" len="med"/>
                          <a:tailEnd type="triangle" w="med" len="med"/>
                        </a:ln>
                        <a:effectLst/>
                      </wps:spPr>
                      <wps:bodyPr/>
                    </wps:wsp>
                  </a:graphicData>
                </a:graphic>
              </wp:anchor>
            </w:drawing>
          </mc:Choice>
          <mc:Fallback>
            <w:pict>
              <v:shape id="自选图形 59" o:spid="_x0000_s1026" o:spt="32" type="#_x0000_t32" style="position:absolute;left:0pt;margin-left:108.5pt;margin-top:81.8pt;height:0pt;width:23pt;z-index:251682816;mso-width-relative:page;mso-height-relative:page;" filled="f" stroked="t" coordsize="21600,21600" o:gfxdata="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UTJ4HNgAAAALAQAADwAAAAAAAAABACAAAAAiAAAA&#10;ZHJzL2Rvd25yZXYueG1sUEsBAhQAFAAAAAgAh07iQK15QmoHAgAAAQQAAA4AAAAAAAAAAQAgAAAA&#10;JwEAAGRycy9lMm9Eb2MueG1sUEsFBgAAAAAGAAYAWQEAAKAFAAAAAA==&#10;">
                <v:fill on="f" focussize="0,0"/>
                <v:stroke weight="1.5pt" color="#000000" joinstyle="round" endarrow="block"/>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94080" behindDoc="0" locked="0" layoutInCell="1" allowOverlap="1">
                <wp:simplePos x="0" y="0"/>
                <wp:positionH relativeFrom="column">
                  <wp:posOffset>3989705</wp:posOffset>
                </wp:positionH>
                <wp:positionV relativeFrom="paragraph">
                  <wp:posOffset>906145</wp:posOffset>
                </wp:positionV>
                <wp:extent cx="1295400" cy="321310"/>
                <wp:effectExtent l="4445" t="4445" r="14605" b="17145"/>
                <wp:wrapNone/>
                <wp:docPr id="94"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1025525" cy="321310"/>
                        </a:xfrm>
                        <a:prstGeom prst="rect">
                          <a:avLst/>
                        </a:prstGeom>
                        <a:solidFill>
                          <a:srgbClr val="FFFFFF"/>
                        </a:solidFill>
                        <a:ln w="9525">
                          <a:solidFill>
                            <a:srgbClr val="000000"/>
                          </a:solidFill>
                          <a:miter lim="800000"/>
                        </a:ln>
                        <a:effectLst/>
                      </wps:spPr>
                      <wps:txbx>
                        <w:txbxContent>
                          <w:p>
                            <w:pPr>
                              <w:jc w:val="center"/>
                            </w:pPr>
                            <w:r>
                              <w:rPr>
                                <w:rFonts w:hint="eastAsia"/>
                              </w:rPr>
                              <w:t>鸡消耗14968</w:t>
                            </w:r>
                          </w:p>
                        </w:txbxContent>
                      </wps:txbx>
                      <wps:bodyPr rot="0" vert="horz" wrap="square" lIns="91440" tIns="45720" rIns="91440" bIns="45720" anchor="t" anchorCtr="0" upright="1">
                        <a:noAutofit/>
                      </wps:bodyPr>
                    </wps:wsp>
                  </a:graphicData>
                </a:graphic>
              </wp:anchor>
            </w:drawing>
          </mc:Choice>
          <mc:Fallback>
            <w:pict>
              <v:shape id="文本框 70" o:spid="_x0000_s1026" o:spt="202" type="#_x0000_t202" style="position:absolute;left:0pt;margin-left:314.15pt;margin-top:71.35pt;height:25.3pt;width:102pt;z-index:251694080;mso-width-relative:page;mso-height-relative:page;" fillcolor="#FFFFFF" filled="t" stroked="t" coordsize="21600,21600" o:gfxdata="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obP3ftkAAAALAQAADwAAAAAAAAABACAA&#10;AAAiAAAAZHJzL2Rvd25yZXYueG1sUEsBAhQAFAAAAAgAh07iQJmdm/FFAgAAlwQAAA4AAAAAAAAA&#10;AQAgAAAAKAEAAGRycy9lMm9Eb2MueG1sUEsFBgAAAAAGAAYAWQEAAN8FAAAAAA==&#10;">
                <v:fill on="t" focussize="0,0"/>
                <v:stroke color="#000000" miterlimit="8" joinstyle="miter"/>
                <v:imagedata o:title=""/>
                <o:lock v:ext="edit" aspectratio="f"/>
                <v:textbox>
                  <w:txbxContent>
                    <w:p>
                      <w:pPr>
                        <w:jc w:val="center"/>
                      </w:pPr>
                      <w:r>
                        <w:rPr>
                          <w:rFonts w:hint="eastAsia"/>
                        </w:rPr>
                        <w:t>鸡消耗14968</w:t>
                      </w:r>
                    </w:p>
                  </w:txbxContent>
                </v:textbox>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93056" behindDoc="0" locked="0" layoutInCell="1" allowOverlap="1">
                <wp:simplePos x="0" y="0"/>
                <wp:positionH relativeFrom="column">
                  <wp:posOffset>3990340</wp:posOffset>
                </wp:positionH>
                <wp:positionV relativeFrom="paragraph">
                  <wp:posOffset>236220</wp:posOffset>
                </wp:positionV>
                <wp:extent cx="1021715" cy="319405"/>
                <wp:effectExtent l="4445" t="5080" r="21590" b="18415"/>
                <wp:wrapNone/>
                <wp:docPr id="93"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1021715" cy="319405"/>
                        </a:xfrm>
                        <a:prstGeom prst="rect">
                          <a:avLst/>
                        </a:prstGeom>
                        <a:solidFill>
                          <a:srgbClr val="FFFFFF"/>
                        </a:solidFill>
                        <a:ln w="9525">
                          <a:solidFill>
                            <a:srgbClr val="000000"/>
                          </a:solidFill>
                          <a:miter lim="800000"/>
                        </a:ln>
                        <a:effectLst/>
                      </wps:spPr>
                      <wps:txbx>
                        <w:txbxContent>
                          <w:p>
                            <w:pPr>
                              <w:jc w:val="center"/>
                              <w:rPr>
                                <w:rFonts w:eastAsia="宋体"/>
                              </w:rPr>
                            </w:pPr>
                            <w:r>
                              <w:rPr>
                                <w:rFonts w:hint="eastAsia"/>
                              </w:rPr>
                              <w:t>鸡粪6600</w:t>
                            </w:r>
                          </w:p>
                        </w:txbxContent>
                      </wps:txbx>
                      <wps:bodyPr rot="0" vert="horz" wrap="square" lIns="91440" tIns="45720" rIns="91440" bIns="45720" anchor="t" anchorCtr="0" upright="1">
                        <a:noAutofit/>
                      </wps:bodyPr>
                    </wps:wsp>
                  </a:graphicData>
                </a:graphic>
              </wp:anchor>
            </w:drawing>
          </mc:Choice>
          <mc:Fallback>
            <w:pict>
              <v:shape id="文本框 79" o:spid="_x0000_s1026" o:spt="202" type="#_x0000_t202" style="position:absolute;left:0pt;margin-left:314.2pt;margin-top:18.6pt;height:25.15pt;width:80.45pt;z-index:251693056;mso-width-relative:page;mso-height-relative:page;" fillcolor="#FFFFFF" filled="t" stroked="t" coordsize="21600,21600" o:gfxdata="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mvCfG9gAAAAJAQAADwAAAAAAAAAB&#10;ACAAAAAiAAAAZHJzL2Rvd25yZXYueG1sUEsBAhQAFAAAAAgAh07iQKZtNiVJAgAAlwQAAA4AAAAA&#10;AAAAAQAgAAAAJwEAAGRycy9lMm9Eb2MueG1sUEsFBgAAAAAGAAYAWQEAAOIFAAAAAA==&#10;">
                <v:fill on="t" focussize="0,0"/>
                <v:stroke color="#000000" miterlimit="8" joinstyle="miter"/>
                <v:imagedata o:title=""/>
                <o:lock v:ext="edit" aspectratio="f"/>
                <v:textbox>
                  <w:txbxContent>
                    <w:p>
                      <w:pPr>
                        <w:jc w:val="center"/>
                        <w:rPr>
                          <w:rFonts w:eastAsia="宋体"/>
                        </w:rPr>
                      </w:pPr>
                      <w:r>
                        <w:rPr>
                          <w:rFonts w:hint="eastAsia"/>
                        </w:rPr>
                        <w:t>鸡粪6600</w:t>
                      </w:r>
                    </w:p>
                  </w:txbxContent>
                </v:textbox>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97152" behindDoc="0" locked="0" layoutInCell="1" allowOverlap="1">
                <wp:simplePos x="0" y="0"/>
                <wp:positionH relativeFrom="column">
                  <wp:posOffset>3648710</wp:posOffset>
                </wp:positionH>
                <wp:positionV relativeFrom="paragraph">
                  <wp:posOffset>1084580</wp:posOffset>
                </wp:positionV>
                <wp:extent cx="311150" cy="5080"/>
                <wp:effectExtent l="0" t="34290" r="12700" b="36830"/>
                <wp:wrapNone/>
                <wp:docPr id="97" name="自选图形 49"/>
                <wp:cNvGraphicFramePr/>
                <a:graphic xmlns:a="http://schemas.openxmlformats.org/drawingml/2006/main">
                  <a:graphicData uri="http://schemas.microsoft.com/office/word/2010/wordprocessingShape">
                    <wps:wsp>
                      <wps:cNvCnPr/>
                      <wps:spPr>
                        <a:xfrm>
                          <a:off x="0" y="0"/>
                          <a:ext cx="311150" cy="5080"/>
                        </a:xfrm>
                        <a:prstGeom prst="straightConnector1">
                          <a:avLst/>
                        </a:prstGeom>
                        <a:ln w="19050" cap="flat" cmpd="sng">
                          <a:solidFill>
                            <a:srgbClr val="000000"/>
                          </a:solidFill>
                          <a:prstDash val="solid"/>
                          <a:round/>
                          <a:headEnd type="none" w="med" len="med"/>
                          <a:tailEnd type="triangle" w="med" len="med"/>
                        </a:ln>
                        <a:effectLst/>
                      </wps:spPr>
                      <wps:bodyPr/>
                    </wps:wsp>
                  </a:graphicData>
                </a:graphic>
              </wp:anchor>
            </w:drawing>
          </mc:Choice>
          <mc:Fallback>
            <w:pict>
              <v:shape id="自选图形 49" o:spid="_x0000_s1026" o:spt="32" type="#_x0000_t32" style="position:absolute;left:0pt;margin-left:287.3pt;margin-top:85.4pt;height:0.4pt;width:24.5pt;z-index:251697152;mso-width-relative:page;mso-height-relative:page;" filled="f" stroked="t" coordsize="21600,21600" o:gfxdata="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u10ga2QAAAAsBAAAPAAAAAAAAAAEAIAAA&#10;ACIAAABkcnMvZG93bnJldi54bWxQSwECFAAUAAAACACHTuJAeEWkFAsCAAAEBAAADgAAAAAAAAAB&#10;ACAAAAAoAQAAZHJzL2Uyb0RvYy54bWxQSwUGAAAAAAYABgBZAQAApQUAAAAA&#10;">
                <v:fill on="f" focussize="0,0"/>
                <v:stroke weight="1.5pt" color="#000000" joinstyle="round" endarrow="block"/>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95104" behindDoc="0" locked="0" layoutInCell="1" allowOverlap="1">
                <wp:simplePos x="0" y="0"/>
                <wp:positionH relativeFrom="column">
                  <wp:posOffset>3641090</wp:posOffset>
                </wp:positionH>
                <wp:positionV relativeFrom="paragraph">
                  <wp:posOffset>368300</wp:posOffset>
                </wp:positionV>
                <wp:extent cx="3810" cy="705485"/>
                <wp:effectExtent l="9525" t="0" r="24765" b="18415"/>
                <wp:wrapNone/>
                <wp:docPr id="95" name="自选图形 50"/>
                <wp:cNvGraphicFramePr/>
                <a:graphic xmlns:a="http://schemas.openxmlformats.org/drawingml/2006/main">
                  <a:graphicData uri="http://schemas.microsoft.com/office/word/2010/wordprocessingShape">
                    <wps:wsp>
                      <wps:cNvCnPr/>
                      <wps:spPr>
                        <a:xfrm>
                          <a:off x="0" y="0"/>
                          <a:ext cx="3810" cy="705485"/>
                        </a:xfrm>
                        <a:prstGeom prst="straightConnector1">
                          <a:avLst/>
                        </a:prstGeom>
                        <a:ln w="19050" cap="flat" cmpd="sng">
                          <a:solidFill>
                            <a:srgbClr val="000000"/>
                          </a:solidFill>
                          <a:prstDash val="solid"/>
                          <a:round/>
                          <a:headEnd type="none" w="med" len="med"/>
                          <a:tailEnd type="none" w="med" len="med"/>
                        </a:ln>
                        <a:effectLst/>
                      </wps:spPr>
                      <wps:bodyPr/>
                    </wps:wsp>
                  </a:graphicData>
                </a:graphic>
              </wp:anchor>
            </w:drawing>
          </mc:Choice>
          <mc:Fallback>
            <w:pict>
              <v:shape id="自选图形 50" o:spid="_x0000_s1026" o:spt="32" type="#_x0000_t32" style="position:absolute;left:0pt;margin-left:286.7pt;margin-top:29pt;height:55.55pt;width:0.3pt;z-index:251695104;mso-width-relative:page;mso-height-relative:page;" filled="f" stroked="t" coordsize="21600,21600" o:gfxdata="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cXqzT1gAAAAoBAAAPAAAAAAAAAAEAIAAAACIAAABkcnMvZG93bnJl&#10;di54bWxQSwECFAAUAAAACACHTuJA0RRHYv8BAAAABAAADgAAAAAAAAABACAAAAAlAQAAZHJzL2Uy&#10;b0RvYy54bWxQSwUGAAAAAAYABgBZAQAAlgUAAAAA&#10;">
                <v:fill on="f" focussize="0,0"/>
                <v:stroke weight="1.5pt" color="#000000" joinstyle="round"/>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96128" behindDoc="0" locked="0" layoutInCell="1" allowOverlap="1">
                <wp:simplePos x="0" y="0"/>
                <wp:positionH relativeFrom="column">
                  <wp:posOffset>3641090</wp:posOffset>
                </wp:positionH>
                <wp:positionV relativeFrom="paragraph">
                  <wp:posOffset>383540</wp:posOffset>
                </wp:positionV>
                <wp:extent cx="311150" cy="5080"/>
                <wp:effectExtent l="0" t="34290" r="12700" b="36830"/>
                <wp:wrapNone/>
                <wp:docPr id="96" name="自选图形 51"/>
                <wp:cNvGraphicFramePr/>
                <a:graphic xmlns:a="http://schemas.openxmlformats.org/drawingml/2006/main">
                  <a:graphicData uri="http://schemas.microsoft.com/office/word/2010/wordprocessingShape">
                    <wps:wsp>
                      <wps:cNvCnPr/>
                      <wps:spPr>
                        <a:xfrm>
                          <a:off x="0" y="0"/>
                          <a:ext cx="311150" cy="5080"/>
                        </a:xfrm>
                        <a:prstGeom prst="straightConnector1">
                          <a:avLst/>
                        </a:prstGeom>
                        <a:ln w="19050" cap="flat" cmpd="sng">
                          <a:solidFill>
                            <a:srgbClr val="000000"/>
                          </a:solidFill>
                          <a:prstDash val="solid"/>
                          <a:round/>
                          <a:headEnd type="none" w="med" len="med"/>
                          <a:tailEnd type="triangle" w="med" len="med"/>
                        </a:ln>
                        <a:effectLst/>
                      </wps:spPr>
                      <wps:bodyPr/>
                    </wps:wsp>
                  </a:graphicData>
                </a:graphic>
              </wp:anchor>
            </w:drawing>
          </mc:Choice>
          <mc:Fallback>
            <w:pict>
              <v:shape id="自选图形 51" o:spid="_x0000_s1026" o:spt="32" type="#_x0000_t32" style="position:absolute;left:0pt;margin-left:286.7pt;margin-top:30.2pt;height:0.4pt;width:24.5pt;z-index:251696128;mso-width-relative:page;mso-height-relative:page;" filled="f" stroked="t" coordsize="21600,21600" o:gfxdata="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iwEBfYAAAACQEAAA8AAAAAAAAAAQAgAAAA&#10;IgAAAGRycy9kb3ducmV2LnhtbFBLAQIUABQAAAAIAIdO4kDAL5jvCwIAAAQEAAAOAAAAAAAAAAEA&#10;IAAAACcBAABkcnMvZTJvRG9jLnhtbFBLBQYAAAAABgAGAFkBAACkBQAAAAA=&#10;">
                <v:fill on="f" focussize="0,0"/>
                <v:stroke weight="1.5pt" color="#000000" joinstyle="round" endarrow="block"/>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87936" behindDoc="0" locked="0" layoutInCell="1" allowOverlap="1">
                <wp:simplePos x="0" y="0"/>
                <wp:positionH relativeFrom="column">
                  <wp:posOffset>3084830</wp:posOffset>
                </wp:positionH>
                <wp:positionV relativeFrom="paragraph">
                  <wp:posOffset>734060</wp:posOffset>
                </wp:positionV>
                <wp:extent cx="501650" cy="0"/>
                <wp:effectExtent l="0" t="38100" r="12700" b="38100"/>
                <wp:wrapNone/>
                <wp:docPr id="92" name="自选图形 52"/>
                <wp:cNvGraphicFramePr/>
                <a:graphic xmlns:a="http://schemas.openxmlformats.org/drawingml/2006/main">
                  <a:graphicData uri="http://schemas.microsoft.com/office/word/2010/wordprocessingShape">
                    <wps:wsp>
                      <wps:cNvCnPr/>
                      <wps:spPr>
                        <a:xfrm>
                          <a:off x="0" y="0"/>
                          <a:ext cx="501650" cy="0"/>
                        </a:xfrm>
                        <a:prstGeom prst="straightConnector1">
                          <a:avLst/>
                        </a:prstGeom>
                        <a:ln w="19050" cap="flat" cmpd="sng">
                          <a:solidFill>
                            <a:srgbClr val="000000"/>
                          </a:solidFill>
                          <a:prstDash val="solid"/>
                          <a:round/>
                          <a:headEnd type="none" w="med" len="med"/>
                          <a:tailEnd type="triangle" w="med" len="med"/>
                        </a:ln>
                        <a:effectLst/>
                      </wps:spPr>
                      <wps:bodyPr/>
                    </wps:wsp>
                  </a:graphicData>
                </a:graphic>
              </wp:anchor>
            </w:drawing>
          </mc:Choice>
          <mc:Fallback>
            <w:pict>
              <v:shape id="自选图形 52" o:spid="_x0000_s1026" o:spt="32" type="#_x0000_t32" style="position:absolute;left:0pt;margin-left:242.9pt;margin-top:57.8pt;height:0pt;width:39.5pt;z-index:251687936;mso-width-relative:page;mso-height-relative:page;" filled="f" stroked="t" coordsize="21600,21600" o:gfxdata="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&#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rwv2L2AAAAAsBAAAPAAAAAAAAAAEAIAAAACIAAABk&#10;cnMvZG93bnJldi54bWxQSwECFAAUAAAACACHTuJAKqU22QYCAAABBAAADgAAAAAAAAABACAAAAAn&#10;AQAAZHJzL2Uyb0RvYy54bWxQSwUGAAAAAAYABgBZAQAAnwUAAAAA&#10;">
                <v:fill on="f" focussize="0,0"/>
                <v:stroke weight="1.5pt" color="#000000" joinstyle="round" endarrow="block"/>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99200" behindDoc="0" locked="0" layoutInCell="1" allowOverlap="1">
                <wp:simplePos x="0" y="0"/>
                <wp:positionH relativeFrom="column">
                  <wp:posOffset>3043555</wp:posOffset>
                </wp:positionH>
                <wp:positionV relativeFrom="paragraph">
                  <wp:posOffset>412115</wp:posOffset>
                </wp:positionV>
                <wp:extent cx="670560" cy="294640"/>
                <wp:effectExtent l="0" t="0" r="0" b="0"/>
                <wp:wrapNone/>
                <wp:docPr id="99"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489585" cy="294640"/>
                        </a:xfrm>
                        <a:prstGeom prst="rect">
                          <a:avLst/>
                        </a:prstGeom>
                        <a:noFill/>
                        <a:ln>
                          <a:noFill/>
                        </a:ln>
                        <a:effectLst/>
                      </wps:spPr>
                      <wps:txbx>
                        <w:txbxContent>
                          <w:p>
                            <w:r>
                              <w:rPr>
                                <w:rFonts w:hint="eastAsia"/>
                                <w:color w:val="auto"/>
                                <w:lang w:val="en-US" w:eastAsia="zh-CN"/>
                              </w:rPr>
                              <w:t>14968</w:t>
                            </w:r>
                          </w:p>
                        </w:txbxContent>
                      </wps:txbx>
                      <wps:bodyPr rot="0" vert="horz" wrap="square" lIns="91440" tIns="45720" rIns="91440" bIns="45720" anchor="t" anchorCtr="0" upright="1">
                        <a:noAutofit/>
                      </wps:bodyPr>
                    </wps:wsp>
                  </a:graphicData>
                </a:graphic>
              </wp:anchor>
            </w:drawing>
          </mc:Choice>
          <mc:Fallback>
            <w:pict>
              <v:shape id="文本框 77" o:spid="_x0000_s1026" o:spt="202" type="#_x0000_t202" style="position:absolute;left:0pt;margin-left:239.65pt;margin-top:32.45pt;height:23.2pt;width:52.8pt;z-index:251699200;mso-width-relative:page;mso-height-relative:page;" filled="f" stroked="f" coordsize="21600,21600" o:gfxdata="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ukTB7XAAAA&#10;CgEAAA8AAAAAAAAAAQAgAAAAIgAAAGRycy9kb3ducmV2LnhtbFBLAQIUABQAAAAIAIdO4kCWwnr8&#10;HgIAACQEAAAOAAAAAAAAAAEAIAAAACYBAABkcnMvZTJvRG9jLnhtbFBLBQYAAAAABgAGAFkBAAC2&#10;BQAAAAA=&#10;">
                <v:fill on="f" focussize="0,0"/>
                <v:stroke on="f"/>
                <v:imagedata o:title=""/>
                <o:lock v:ext="edit" aspectratio="f"/>
                <v:textbox>
                  <w:txbxContent>
                    <w:p>
                      <w:r>
                        <w:rPr>
                          <w:rFonts w:hint="eastAsia"/>
                          <w:color w:val="auto"/>
                          <w:lang w:val="en-US" w:eastAsia="zh-CN"/>
                        </w:rPr>
                        <w:t>14968</w:t>
                      </w:r>
                    </w:p>
                  </w:txbxContent>
                </v:textbox>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85888" behindDoc="0" locked="0" layoutInCell="1" allowOverlap="1">
                <wp:simplePos x="0" y="0"/>
                <wp:positionH relativeFrom="column">
                  <wp:posOffset>2298065</wp:posOffset>
                </wp:positionH>
                <wp:positionV relativeFrom="paragraph">
                  <wp:posOffset>544195</wp:posOffset>
                </wp:positionV>
                <wp:extent cx="779145" cy="342900"/>
                <wp:effectExtent l="4445" t="5080" r="16510" b="13970"/>
                <wp:wrapNone/>
                <wp:docPr id="90"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46150" cy="342900"/>
                        </a:xfrm>
                        <a:prstGeom prst="rect">
                          <a:avLst/>
                        </a:prstGeom>
                        <a:solidFill>
                          <a:srgbClr val="FFFFFF"/>
                        </a:solidFill>
                        <a:ln w="9525">
                          <a:solidFill>
                            <a:srgbClr val="000000"/>
                          </a:solidFill>
                          <a:miter lim="800000"/>
                        </a:ln>
                        <a:effectLst/>
                      </wps:spPr>
                      <wps:txbx>
                        <w:txbxContent>
                          <w:p>
                            <w:r>
                              <w:rPr>
                                <w:rFonts w:hint="eastAsia"/>
                              </w:rPr>
                              <w:t>肉鸡饲养</w:t>
                            </w:r>
                          </w:p>
                        </w:txbxContent>
                      </wps:txbx>
                      <wps:bodyPr rot="0" vert="horz" wrap="square" lIns="91440" tIns="45720" rIns="91440" bIns="45720" anchor="t" anchorCtr="0" upright="1">
                        <a:noAutofit/>
                      </wps:bodyPr>
                    </wps:wsp>
                  </a:graphicData>
                </a:graphic>
              </wp:anchor>
            </w:drawing>
          </mc:Choice>
          <mc:Fallback>
            <w:pict>
              <v:shape id="文本框 72" o:spid="_x0000_s1026" o:spt="202" type="#_x0000_t202" style="position:absolute;left:0pt;margin-left:180.95pt;margin-top:42.85pt;height:27pt;width:61.35pt;z-index:251685888;mso-width-relative:page;mso-height-relative:page;" fillcolor="#FFFFFF" filled="t" stroked="t" coordsize="21600,21600" o:gfxdata="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Ds0eZ2AAAAAoBAAAPAAAAAAAAAAEA&#10;IAAAACIAAABkcnMvZG93bnJldi54bWxQSwECFAAUAAAACACHTuJA7HwoC0gCAACWBAAADgAAAAAA&#10;AAABACAAAAAnAQAAZHJzL2Uyb0RvYy54bWxQSwUGAAAAAAYABgBZAQAA4QUAAAAA&#10;">
                <v:fill on="t" focussize="0,0"/>
                <v:stroke color="#000000" miterlimit="8" joinstyle="miter"/>
                <v:imagedata o:title=""/>
                <o:lock v:ext="edit" aspectratio="f"/>
                <v:textbox>
                  <w:txbxContent>
                    <w:p>
                      <w:r>
                        <w:rPr>
                          <w:rFonts w:hint="eastAsia"/>
                        </w:rPr>
                        <w:t>肉鸡饲养</w:t>
                      </w:r>
                    </w:p>
                  </w:txbxContent>
                </v:textbox>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84864" behindDoc="0" locked="0" layoutInCell="1" allowOverlap="1">
                <wp:simplePos x="0" y="0"/>
                <wp:positionH relativeFrom="column">
                  <wp:posOffset>1675130</wp:posOffset>
                </wp:positionH>
                <wp:positionV relativeFrom="paragraph">
                  <wp:posOffset>726440</wp:posOffset>
                </wp:positionV>
                <wp:extent cx="600710" cy="3810"/>
                <wp:effectExtent l="0" t="34925" r="8890" b="37465"/>
                <wp:wrapNone/>
                <wp:docPr id="89" name="直接箭头连接符 26"/>
                <wp:cNvGraphicFramePr/>
                <a:graphic xmlns:a="http://schemas.openxmlformats.org/drawingml/2006/main">
                  <a:graphicData uri="http://schemas.microsoft.com/office/word/2010/wordprocessingShape">
                    <wps:wsp>
                      <wps:cNvCnPr/>
                      <wps:spPr>
                        <a:xfrm>
                          <a:off x="0" y="0"/>
                          <a:ext cx="600710" cy="3810"/>
                        </a:xfrm>
                        <a:prstGeom prst="straightConnector1">
                          <a:avLst/>
                        </a:prstGeom>
                        <a:ln w="19050" cap="flat" cmpd="sng">
                          <a:solidFill>
                            <a:srgbClr val="000000"/>
                          </a:solidFill>
                          <a:prstDash val="solid"/>
                          <a:round/>
                          <a:headEnd type="none" w="med" len="med"/>
                          <a:tailEnd type="triangle" w="med" len="med"/>
                        </a:ln>
                        <a:effectLst/>
                      </wps:spPr>
                      <wps:bodyPr/>
                    </wps:wsp>
                  </a:graphicData>
                </a:graphic>
              </wp:anchor>
            </w:drawing>
          </mc:Choice>
          <mc:Fallback>
            <w:pict>
              <v:shape id="直接箭头连接符 26" o:spid="_x0000_s1026" o:spt="32" type="#_x0000_t32" style="position:absolute;left:0pt;margin-left:131.9pt;margin-top:57.2pt;height:0.3pt;width:47.3pt;z-index:251684864;mso-width-relative:page;mso-height-relative:page;" filled="f" stroked="t" coordsize="21600,21600" o:gfxdata="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KikMU9oAAAALAQAADwAAAAAA&#10;AAABACAAAAAiAAAAZHJzL2Rvd25yZXYueG1sUEsBAhQAFAAAAAgAh07iQIhLhMQRAgAADQQAAA4A&#10;AAAAAAAAAQAgAAAAKQEAAGRycy9lMm9Eb2MueG1sUEsFBgAAAAAGAAYAWQEAAKwFAAAAAA==&#10;">
                <v:fill on="f" focussize="0,0"/>
                <v:stroke weight="1.5pt" color="#000000" joinstyle="round" endarrow="block"/>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98176" behindDoc="0" locked="0" layoutInCell="1" allowOverlap="1">
                <wp:simplePos x="0" y="0"/>
                <wp:positionH relativeFrom="column">
                  <wp:posOffset>1656715</wp:posOffset>
                </wp:positionH>
                <wp:positionV relativeFrom="paragraph">
                  <wp:posOffset>381635</wp:posOffset>
                </wp:positionV>
                <wp:extent cx="670560" cy="294640"/>
                <wp:effectExtent l="0" t="0" r="0" b="0"/>
                <wp:wrapNone/>
                <wp:docPr id="98"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489585" cy="294640"/>
                        </a:xfrm>
                        <a:prstGeom prst="rect">
                          <a:avLst/>
                        </a:prstGeom>
                        <a:noFill/>
                        <a:ln>
                          <a:noFill/>
                        </a:ln>
                        <a:effectLst/>
                      </wps:spPr>
                      <wps:txbx>
                        <w:txbxContent>
                          <w:p>
                            <w:pPr>
                              <w:rPr>
                                <w:rFonts w:hint="eastAsia"/>
                              </w:rPr>
                            </w:pPr>
                            <w:r>
                              <w:rPr>
                                <w:rFonts w:hint="eastAsia"/>
                                <w:lang w:val="en-US" w:eastAsia="zh-CN"/>
                              </w:rPr>
                              <w:t>215</w:t>
                            </w:r>
                            <w:r>
                              <w:rPr>
                                <w:rFonts w:hint="eastAsia"/>
                              </w:rPr>
                              <w:t>68</w:t>
                            </w:r>
                          </w:p>
                        </w:txbxContent>
                      </wps:txbx>
                      <wps:bodyPr rot="0" vert="horz" wrap="square" lIns="91440" tIns="45720" rIns="91440" bIns="45720" anchor="t" anchorCtr="0" upright="1">
                        <a:noAutofit/>
                      </wps:bodyPr>
                    </wps:wsp>
                  </a:graphicData>
                </a:graphic>
              </wp:anchor>
            </w:drawing>
          </mc:Choice>
          <mc:Fallback>
            <w:pict>
              <v:shape id="文本框 30" o:spid="_x0000_s1026" o:spt="202" type="#_x0000_t202" style="position:absolute;left:0pt;margin-left:130.45pt;margin-top:30.05pt;height:23.2pt;width:52.8pt;z-index:251698176;mso-width-relative:page;mso-height-relative:page;" filled="f" stroked="f" coordsize="21600,21600" o:gfxdata="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6X8Kc9cAAAAK&#10;AQAADwAAAAAAAAABACAAAAAiAAAAZHJzL2Rvd25yZXYueG1sUEsBAhQAFAAAAAgAh07iQKqW53gd&#10;AgAAJAQAAA4AAAAAAAAAAQAgAAAAJgEAAGRycy9lMm9Eb2MueG1sUEsFBgAAAAAGAAYAWQEAALUF&#10;AAAAAA==&#10;">
                <v:fill on="f" focussize="0,0"/>
                <v:stroke on="f"/>
                <v:imagedata o:title=""/>
                <o:lock v:ext="edit" aspectratio="f"/>
                <v:textbox>
                  <w:txbxContent>
                    <w:p>
                      <w:pPr>
                        <w:rPr>
                          <w:rFonts w:hint="eastAsia"/>
                        </w:rPr>
                      </w:pPr>
                      <w:r>
                        <w:rPr>
                          <w:rFonts w:hint="eastAsia"/>
                          <w:lang w:val="en-US" w:eastAsia="zh-CN"/>
                        </w:rPr>
                        <w:t>215</w:t>
                      </w:r>
                      <w:r>
                        <w:rPr>
                          <w:rFonts w:hint="eastAsia"/>
                        </w:rPr>
                        <w:t>68</w:t>
                      </w:r>
                    </w:p>
                  </w:txbxContent>
                </v:textbox>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83840" behindDoc="0" locked="0" layoutInCell="1" allowOverlap="1">
                <wp:simplePos x="0" y="0"/>
                <wp:positionH relativeFrom="column">
                  <wp:posOffset>1659890</wp:posOffset>
                </wp:positionH>
                <wp:positionV relativeFrom="paragraph">
                  <wp:posOffset>322580</wp:posOffset>
                </wp:positionV>
                <wp:extent cx="3810" cy="705485"/>
                <wp:effectExtent l="9525" t="0" r="24765" b="18415"/>
                <wp:wrapNone/>
                <wp:docPr id="88" name="直接箭头连接符 60"/>
                <wp:cNvGraphicFramePr/>
                <a:graphic xmlns:a="http://schemas.openxmlformats.org/drawingml/2006/main">
                  <a:graphicData uri="http://schemas.microsoft.com/office/word/2010/wordprocessingShape">
                    <wps:wsp>
                      <wps:cNvCnPr/>
                      <wps:spPr>
                        <a:xfrm>
                          <a:off x="0" y="0"/>
                          <a:ext cx="3810" cy="705485"/>
                        </a:xfrm>
                        <a:prstGeom prst="straightConnector1">
                          <a:avLst/>
                        </a:prstGeom>
                        <a:ln w="19050" cap="flat" cmpd="sng">
                          <a:solidFill>
                            <a:srgbClr val="000000"/>
                          </a:solidFill>
                          <a:prstDash val="solid"/>
                          <a:round/>
                          <a:headEnd type="none" w="med" len="med"/>
                          <a:tailEnd type="none" w="med" len="med"/>
                        </a:ln>
                        <a:effectLst/>
                      </wps:spPr>
                      <wps:bodyPr/>
                    </wps:wsp>
                  </a:graphicData>
                </a:graphic>
              </wp:anchor>
            </w:drawing>
          </mc:Choice>
          <mc:Fallback>
            <w:pict>
              <v:shape id="直接箭头连接符 60" o:spid="_x0000_s1026" o:spt="32" type="#_x0000_t32" style="position:absolute;left:0pt;margin-left:130.7pt;margin-top:25.4pt;height:55.55pt;width:0.3pt;z-index:251683840;mso-width-relative:page;mso-height-relative:page;" filled="f" stroked="t" coordsize="21600,21600" o:gfxdata="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LRWI/UAAAACgEAAA8AAAAAAAAAAQAgAAAAIgAAAGRy&#10;cy9kb3ducmV2LnhtbFBLAQIUABQAAAAIAIdO4kA4JvRRCQIAAAkEAAAOAAAAAAAAAAEAIAAAACMB&#10;AABkcnMvZTJvRG9jLnhtbFBLBQYAAAAABgAGAFkBAACeBQAAAAA=&#10;">
                <v:fill on="f" focussize="0,0"/>
                <v:stroke weight="1.5pt" color="#000000" joinstyle="round"/>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700224" behindDoc="0" locked="0" layoutInCell="1" allowOverlap="1">
                <wp:simplePos x="0" y="0"/>
                <wp:positionH relativeFrom="column">
                  <wp:posOffset>1301750</wp:posOffset>
                </wp:positionH>
                <wp:positionV relativeFrom="paragraph">
                  <wp:posOffset>330200</wp:posOffset>
                </wp:positionV>
                <wp:extent cx="372110" cy="3810"/>
                <wp:effectExtent l="0" t="34925" r="8890" b="37465"/>
                <wp:wrapNone/>
                <wp:docPr id="100" name="自选图形 58"/>
                <wp:cNvGraphicFramePr/>
                <a:graphic xmlns:a="http://schemas.openxmlformats.org/drawingml/2006/main">
                  <a:graphicData uri="http://schemas.microsoft.com/office/word/2010/wordprocessingShape">
                    <wps:wsp>
                      <wps:cNvCnPr/>
                      <wps:spPr>
                        <a:xfrm>
                          <a:off x="0" y="0"/>
                          <a:ext cx="372110" cy="3810"/>
                        </a:xfrm>
                        <a:prstGeom prst="straightConnector1">
                          <a:avLst/>
                        </a:prstGeom>
                        <a:ln w="19050" cap="flat" cmpd="sng">
                          <a:solidFill>
                            <a:srgbClr val="000000"/>
                          </a:solidFill>
                          <a:prstDash val="solid"/>
                          <a:round/>
                          <a:headEnd type="none" w="med" len="med"/>
                          <a:tailEnd type="triangle" w="med" len="med"/>
                        </a:ln>
                        <a:effectLst/>
                      </wps:spPr>
                      <wps:bodyPr/>
                    </wps:wsp>
                  </a:graphicData>
                </a:graphic>
              </wp:anchor>
            </w:drawing>
          </mc:Choice>
          <mc:Fallback>
            <w:pict>
              <v:shape id="自选图形 58" o:spid="_x0000_s1026" o:spt="32" type="#_x0000_t32" style="position:absolute;left:0pt;margin-left:102.5pt;margin-top:26pt;height:0.3pt;width:29.3pt;z-index:251700224;mso-width-relative:page;mso-height-relative:page;" filled="f" stroked="t" coordsize="21600,21600" o:gfxdata="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LJg0nYAAAACQEAAA8AAAAAAAAAAQAgAAAAIgAA&#10;AGRycy9kb3ducmV2LnhtbFBLAQIUABQAAAAIAIdO4kBJqopxCAIAAAUEAAAOAAAAAAAAAAEAIAAA&#10;ACcBAABkcnMvZTJvRG9jLnhtbFBLBQYAAAAABgAGAFkBAAChBQAAAAA=&#10;">
                <v:fill on="f" focussize="0,0"/>
                <v:stroke weight="1.5pt" color="#000000" joinstyle="round" endarrow="block"/>
                <v:imagedata o:title=""/>
                <o:lock v:ext="edit" aspectratio="f"/>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81792" behindDoc="0" locked="0" layoutInCell="1" allowOverlap="1">
                <wp:simplePos x="0" y="0"/>
                <wp:positionH relativeFrom="column">
                  <wp:posOffset>162560</wp:posOffset>
                </wp:positionH>
                <wp:positionV relativeFrom="paragraph">
                  <wp:posOffset>871855</wp:posOffset>
                </wp:positionV>
                <wp:extent cx="1215390" cy="318135"/>
                <wp:effectExtent l="5080" t="5080" r="17780" b="19685"/>
                <wp:wrapNone/>
                <wp:docPr id="85"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996950" cy="318135"/>
                        </a:xfrm>
                        <a:prstGeom prst="rect">
                          <a:avLst/>
                        </a:prstGeom>
                        <a:solidFill>
                          <a:srgbClr val="FFFFFF"/>
                        </a:solidFill>
                        <a:ln w="9525">
                          <a:solidFill>
                            <a:srgbClr val="000000"/>
                          </a:solidFill>
                          <a:miter lim="800000"/>
                        </a:ln>
                        <a:effectLst/>
                      </wps:spPr>
                      <wps:txbx>
                        <w:txbxContent>
                          <w:p>
                            <w:pPr>
                              <w:jc w:val="center"/>
                              <w:rPr>
                                <w:rFonts w:eastAsia="宋体"/>
                              </w:rPr>
                            </w:pPr>
                            <w:r>
                              <w:rPr>
                                <w:rFonts w:hint="eastAsia"/>
                              </w:rPr>
                              <w:t>新鲜水13568</w:t>
                            </w:r>
                          </w:p>
                        </w:txbxContent>
                      </wps:txbx>
                      <wps:bodyPr rot="0" vert="horz" wrap="square" lIns="91440" tIns="45720" rIns="91440" bIns="45720" anchor="t" anchorCtr="0" upright="1">
                        <a:noAutofit/>
                      </wps:bodyPr>
                    </wps:wsp>
                  </a:graphicData>
                </a:graphic>
              </wp:anchor>
            </w:drawing>
          </mc:Choice>
          <mc:Fallback>
            <w:pict>
              <v:shape id="文本框 27" o:spid="_x0000_s1026" o:spt="202" type="#_x0000_t202" style="position:absolute;left:0pt;margin-left:12.8pt;margin-top:68.65pt;height:25.05pt;width:95.7pt;z-index:251681792;mso-width-relative:page;mso-height-relative:page;" fillcolor="#FFFFFF" filled="t" stroked="t" coordsize="21600,21600" o:gfxdata="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LiI/n2AAAAAoBAAAPAAAAAAAAAAEA&#10;IAAAACIAAABkcnMvZG93bnJldi54bWxQSwECFAAUAAAACACHTuJAHc0aekgCAACWBAAADgAAAAAA&#10;AAABACAAAAAnAQAAZHJzL2Uyb0RvYy54bWxQSwUGAAAAAAYABgBZAQAA4QUAAAAA&#10;">
                <v:fill on="t" focussize="0,0"/>
                <v:stroke color="#000000" miterlimit="8" joinstyle="miter"/>
                <v:imagedata o:title=""/>
                <o:lock v:ext="edit" aspectratio="f"/>
                <v:textbox>
                  <w:txbxContent>
                    <w:p>
                      <w:pPr>
                        <w:jc w:val="center"/>
                        <w:rPr>
                          <w:rFonts w:eastAsia="宋体"/>
                        </w:rPr>
                      </w:pPr>
                      <w:r>
                        <w:rPr>
                          <w:rFonts w:hint="eastAsia"/>
                        </w:rPr>
                        <w:t>新鲜水13568</w:t>
                      </w:r>
                    </w:p>
                  </w:txbxContent>
                </v:textbox>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51680768" behindDoc="0" locked="0" layoutInCell="1" allowOverlap="1">
                <wp:simplePos x="0" y="0"/>
                <wp:positionH relativeFrom="column">
                  <wp:posOffset>293370</wp:posOffset>
                </wp:positionH>
                <wp:positionV relativeFrom="paragraph">
                  <wp:posOffset>162560</wp:posOffset>
                </wp:positionV>
                <wp:extent cx="1003935" cy="335280"/>
                <wp:effectExtent l="4445" t="4445" r="20320" b="22225"/>
                <wp:wrapNone/>
                <wp:docPr id="84"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1003935" cy="335280"/>
                        </a:xfrm>
                        <a:prstGeom prst="rect">
                          <a:avLst/>
                        </a:prstGeom>
                        <a:solidFill>
                          <a:srgbClr val="FFFFFF"/>
                        </a:solidFill>
                        <a:ln w="9525">
                          <a:solidFill>
                            <a:srgbClr val="000000"/>
                          </a:solidFill>
                          <a:miter lim="800000"/>
                        </a:ln>
                        <a:effectLst/>
                      </wps:spPr>
                      <wps:txbx>
                        <w:txbxContent>
                          <w:p>
                            <w:pPr>
                              <w:jc w:val="center"/>
                              <w:rPr>
                                <w:rFonts w:eastAsia="宋体"/>
                              </w:rPr>
                            </w:pPr>
                            <w:r>
                              <w:rPr>
                                <w:rFonts w:hint="eastAsia"/>
                              </w:rPr>
                              <w:t>饲料</w:t>
                            </w:r>
                            <w:r>
                              <w:rPr>
                                <w:rFonts w:hint="eastAsia"/>
                                <w:color w:val="000000"/>
                                <w:szCs w:val="24"/>
                                <w:lang w:val="en-US" w:eastAsia="zh-CN"/>
                              </w:rPr>
                              <w:t>8</w:t>
                            </w:r>
                            <w:r>
                              <w:rPr>
                                <w:rFonts w:hint="eastAsia" w:ascii="Times New Roman"/>
                                <w:color w:val="000000"/>
                                <w:szCs w:val="24"/>
                              </w:rPr>
                              <w:t>0</w:t>
                            </w:r>
                            <w:r>
                              <w:rPr>
                                <w:rFonts w:ascii="Times New Roman"/>
                                <w:color w:val="000000"/>
                                <w:szCs w:val="24"/>
                              </w:rPr>
                              <w:t>00</w:t>
                            </w:r>
                          </w:p>
                        </w:txbxContent>
                      </wps:txbx>
                      <wps:bodyPr rot="0" vert="horz" wrap="square" lIns="91440" tIns="45720" rIns="91440" bIns="45720" anchor="t" anchorCtr="0" upright="1">
                        <a:noAutofit/>
                      </wps:bodyPr>
                    </wps:wsp>
                  </a:graphicData>
                </a:graphic>
              </wp:anchor>
            </w:drawing>
          </mc:Choice>
          <mc:Fallback>
            <w:pict>
              <v:shape id="文本框 118" o:spid="_x0000_s1026" o:spt="202" type="#_x0000_t202" style="position:absolute;left:0pt;margin-left:23.1pt;margin-top:12.8pt;height:26.4pt;width:79.05pt;z-index:251680768;mso-width-relative:page;mso-height-relative:page;" fillcolor="#FFFFFF" filled="t" stroked="t" coordsize="21600,21600" o:gfxdata="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WJ9zA2AAAAAgBAAAPAAAAAAAAAAEA&#10;IAAAACIAAABkcnMvZG93bnJldi54bWxQSwECFAAUAAAACACHTuJAfim7LUgCAACYBAAADgAAAAAA&#10;AAABACAAAAAnAQAAZHJzL2Uyb0RvYy54bWxQSwUGAAAAAAYABgBZAQAA4QUAAAAA&#10;">
                <v:fill on="t" focussize="0,0"/>
                <v:stroke color="#000000" miterlimit="8" joinstyle="miter"/>
                <v:imagedata o:title=""/>
                <o:lock v:ext="edit" aspectratio="f"/>
                <v:textbox>
                  <w:txbxContent>
                    <w:p>
                      <w:pPr>
                        <w:jc w:val="center"/>
                        <w:rPr>
                          <w:rFonts w:eastAsia="宋体"/>
                        </w:rPr>
                      </w:pPr>
                      <w:r>
                        <w:rPr>
                          <w:rFonts w:hint="eastAsia"/>
                        </w:rPr>
                        <w:t>饲料</w:t>
                      </w:r>
                      <w:r>
                        <w:rPr>
                          <w:rFonts w:hint="eastAsia"/>
                          <w:color w:val="000000"/>
                          <w:szCs w:val="24"/>
                          <w:lang w:val="en-US" w:eastAsia="zh-CN"/>
                        </w:rPr>
                        <w:t>8</w:t>
                      </w:r>
                      <w:r>
                        <w:rPr>
                          <w:rFonts w:hint="eastAsia" w:ascii="Times New Roman"/>
                          <w:color w:val="000000"/>
                          <w:szCs w:val="24"/>
                        </w:rPr>
                        <w:t>0</w:t>
                      </w:r>
                      <w:r>
                        <w:rPr>
                          <w:rFonts w:ascii="Times New Roman"/>
                          <w:color w:val="000000"/>
                          <w:szCs w:val="24"/>
                        </w:rPr>
                        <w:t>00</w:t>
                      </w:r>
                    </w:p>
                  </w:txbxContent>
                </v:textbox>
              </v:shape>
            </w:pict>
          </mc:Fallback>
        </mc:AlternateContent>
      </w:r>
      <w:r>
        <w:rPr>
          <w:rFonts w:ascii="Times New Roman" w:hAnsi="Times New Roman" w:cs="Times New Roman"/>
          <w:color w:val="auto"/>
        </w:rPr>
        <mc:AlternateContent>
          <mc:Choice Requires="wpc">
            <w:drawing>
              <wp:inline distT="0" distB="0" distL="114300" distR="114300">
                <wp:extent cx="5486400" cy="1259840"/>
                <wp:effectExtent l="0" t="0" r="0" b="0"/>
                <wp:docPr id="7" name="画布 6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id="画布 63" o:spid="_x0000_s1026" o:spt="203" style="height:99.2pt;width:432pt;" coordsize="5486400,1259840" editas="canvas" o:gfxdata="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">
                <o:lock v:ext="edit" aspectratio="f"/>
                <v:shape id="画布 63" o:spid="_x0000_s1026" style="position:absolute;left:0;top:0;height:1259840;width:5486400;" filled="f" stroked="f" coordsize="21600,21600" o:gfxdata="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">
                  <v:fill on="f" focussize="0,0"/>
                  <v:stroke on="f"/>
                  <v:imagedata o:title=""/>
                  <o:lock v:ext="edit" aspectratio="t"/>
                </v:shape>
                <w10:wrap type="none"/>
                <w10:anchorlock/>
              </v:group>
            </w:pict>
          </mc:Fallback>
        </mc:AlternateContent>
      </w:r>
    </w:p>
    <w:p>
      <w:pPr>
        <w:pStyle w:val="358"/>
        <w:spacing w:beforeLines="50" w:line="0" w:lineRule="atLeast"/>
        <w:jc w:val="center"/>
        <w:rPr>
          <w:rFonts w:ascii="Times New Roman" w:hAnsi="Times New Roman" w:eastAsia="宋体" w:cs="Times New Roman"/>
          <w:b/>
          <w:bCs/>
          <w:color w:val="auto"/>
        </w:rPr>
      </w:pPr>
      <w:r>
        <w:rPr>
          <w:rFonts w:ascii="Times New Roman" w:hAnsi="Times New Roman" w:eastAsia="宋体" w:cs="Times New Roman"/>
          <w:b/>
          <w:bCs/>
          <w:color w:val="auto"/>
        </w:rPr>
        <w:t>图</w:t>
      </w:r>
      <w:r>
        <w:rPr>
          <w:rFonts w:hint="eastAsia" w:ascii="Times New Roman" w:hAnsi="Times New Roman" w:eastAsia="宋体" w:cs="Times New Roman"/>
          <w:b/>
          <w:bCs/>
          <w:color w:val="auto"/>
        </w:rPr>
        <w:t>3.3.4</w:t>
      </w:r>
      <w:r>
        <w:rPr>
          <w:rFonts w:ascii="Times New Roman" w:hAnsi="Times New Roman" w:eastAsia="宋体" w:cs="Times New Roman"/>
          <w:b/>
          <w:bCs/>
          <w:color w:val="auto"/>
        </w:rPr>
        <w:t>项目物料平衡图单位：t/</w:t>
      </w:r>
      <w:r>
        <w:rPr>
          <w:rFonts w:hint="eastAsia" w:ascii="Times New Roman" w:hAnsi="Times New Roman" w:eastAsia="宋体" w:cs="Times New Roman"/>
          <w:b/>
          <w:bCs/>
          <w:color w:val="auto"/>
        </w:rPr>
        <w:t>a</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3.3.</w:t>
      </w:r>
      <w:r>
        <w:rPr>
          <w:rFonts w:ascii="Times New Roman" w:eastAsia="宋体"/>
          <w:b/>
          <w:bCs/>
          <w:color w:val="auto"/>
          <w:kern w:val="2"/>
          <w:sz w:val="24"/>
        </w:rPr>
        <w:t>2污染影响因素</w:t>
      </w:r>
    </w:p>
    <w:p>
      <w:pPr>
        <w:spacing w:line="360" w:lineRule="auto"/>
        <w:outlineLvl w:val="3"/>
        <w:rPr>
          <w:rFonts w:ascii="Times New Roman" w:eastAsia="宋体"/>
          <w:color w:val="auto"/>
          <w:kern w:val="2"/>
        </w:rPr>
      </w:pPr>
      <w:r>
        <w:rPr>
          <w:rFonts w:hint="eastAsia" w:ascii="Times New Roman" w:eastAsia="宋体"/>
          <w:color w:val="auto"/>
          <w:kern w:val="2"/>
        </w:rPr>
        <w:t>3.3.</w:t>
      </w:r>
      <w:r>
        <w:rPr>
          <w:rFonts w:ascii="Times New Roman" w:eastAsia="宋体"/>
          <w:color w:val="auto"/>
          <w:kern w:val="2"/>
        </w:rPr>
        <w:t>2.1施工期污染影响因素</w:t>
      </w:r>
    </w:p>
    <w:p>
      <w:pPr>
        <w:spacing w:line="360" w:lineRule="auto"/>
        <w:ind w:firstLine="482"/>
        <w:rPr>
          <w:rFonts w:ascii="Times New Roman" w:eastAsia="宋体"/>
          <w:color w:val="auto"/>
        </w:rPr>
      </w:pPr>
      <w:r>
        <w:rPr>
          <w:rFonts w:hint="eastAsia" w:ascii="Times New Roman" w:eastAsia="宋体"/>
          <w:color w:val="auto"/>
        </w:rPr>
        <w:t>（1）</w:t>
      </w:r>
      <w:r>
        <w:rPr>
          <w:rFonts w:ascii="Times New Roman" w:eastAsia="宋体"/>
          <w:color w:val="auto"/>
        </w:rPr>
        <w:t>废气</w:t>
      </w:r>
    </w:p>
    <w:p>
      <w:pPr>
        <w:spacing w:line="360" w:lineRule="auto"/>
        <w:ind w:firstLine="482"/>
        <w:rPr>
          <w:rFonts w:ascii="Times New Roman" w:eastAsia="宋体"/>
          <w:color w:val="auto"/>
        </w:rPr>
      </w:pPr>
      <w:r>
        <w:rPr>
          <w:rFonts w:ascii="Times New Roman" w:eastAsia="宋体"/>
          <w:color w:val="auto"/>
        </w:rPr>
        <w:t>①扬尘</w:t>
      </w:r>
    </w:p>
    <w:p>
      <w:pPr>
        <w:spacing w:line="360" w:lineRule="auto"/>
        <w:ind w:firstLine="482"/>
        <w:rPr>
          <w:rFonts w:ascii="Times New Roman" w:eastAsia="宋体"/>
          <w:color w:val="auto"/>
        </w:rPr>
      </w:pPr>
      <w:r>
        <w:rPr>
          <w:rFonts w:ascii="Times New Roman" w:eastAsia="宋体"/>
          <w:color w:val="auto"/>
        </w:rPr>
        <w:t>工程施工中的扬尘主要有以下</w:t>
      </w:r>
      <w:r>
        <w:rPr>
          <w:rFonts w:hint="eastAsia" w:ascii="Times New Roman" w:eastAsia="宋体"/>
          <w:color w:val="auto"/>
          <w:lang w:val="en-US" w:eastAsia="zh-CN"/>
        </w:rPr>
        <w:t>两</w:t>
      </w:r>
      <w:r>
        <w:rPr>
          <w:rFonts w:ascii="Times New Roman" w:eastAsia="宋体"/>
          <w:color w:val="auto"/>
        </w:rPr>
        <w:t>种来源：</w:t>
      </w:r>
    </w:p>
    <w:p>
      <w:pPr>
        <w:spacing w:line="360" w:lineRule="auto"/>
        <w:ind w:firstLine="482"/>
        <w:rPr>
          <w:rFonts w:ascii="Times New Roman" w:eastAsia="宋体"/>
          <w:color w:val="auto"/>
        </w:rPr>
      </w:pPr>
      <w:r>
        <w:rPr>
          <w:rFonts w:ascii="Times New Roman" w:eastAsia="宋体"/>
          <w:color w:val="auto"/>
        </w:rPr>
        <w:t>A.</w:t>
      </w:r>
      <w:r>
        <w:rPr>
          <w:rFonts w:hint="eastAsia" w:ascii="Times New Roman" w:eastAsia="宋体"/>
          <w:color w:val="auto"/>
          <w:lang w:val="en-US" w:eastAsia="zh-CN"/>
        </w:rPr>
        <w:t>场地平整、</w:t>
      </w:r>
      <w:r>
        <w:rPr>
          <w:rFonts w:ascii="Times New Roman" w:eastAsia="宋体"/>
          <w:color w:val="auto"/>
        </w:rPr>
        <w:t>建筑材料和工程废土产生的扬尘</w:t>
      </w:r>
    </w:p>
    <w:p>
      <w:pPr>
        <w:spacing w:line="360" w:lineRule="auto"/>
        <w:ind w:firstLine="482"/>
        <w:rPr>
          <w:rFonts w:hint="eastAsia" w:ascii="Times New Roman" w:eastAsia="宋体"/>
          <w:color w:val="auto"/>
        </w:rPr>
      </w:pPr>
      <w:r>
        <w:rPr>
          <w:rFonts w:hint="eastAsia" w:ascii="Times New Roman" w:eastAsia="宋体"/>
          <w:color w:val="auto"/>
        </w:rPr>
        <w:t>在整个施工期间，产生扬尘的作业主要有土地平整、打桩开挖回填建材运输、露天堆放装卸和搅拌等过程，如遇干旱无雨季节，加上大风，施工扬尘将更严重。</w:t>
      </w:r>
    </w:p>
    <w:p>
      <w:pPr>
        <w:spacing w:line="360" w:lineRule="auto"/>
        <w:ind w:firstLine="482"/>
        <w:rPr>
          <w:rFonts w:ascii="Times New Roman" w:eastAsia="宋体"/>
          <w:color w:val="auto"/>
        </w:rPr>
      </w:pPr>
      <w:r>
        <w:rPr>
          <w:rFonts w:hint="eastAsia" w:ascii="Times New Roman" w:eastAsia="宋体"/>
          <w:color w:val="auto"/>
          <w:lang w:val="en-US" w:eastAsia="zh-CN"/>
        </w:rPr>
        <w:t>同时，</w:t>
      </w:r>
      <w:r>
        <w:rPr>
          <w:rFonts w:ascii="Times New Roman" w:eastAsia="宋体"/>
          <w:color w:val="auto"/>
        </w:rPr>
        <w:t>施工场地周围建筑材料和工程废土的堆放、散装粉状材料的装卸、拌料过程以及运输车辆在运载工程废土、回填土和散装建材时，由于超载或无防护措施，常在运输途中及施工场地散落，从而会产生大量扬尘。</w:t>
      </w:r>
    </w:p>
    <w:p>
      <w:pPr>
        <w:spacing w:line="360" w:lineRule="auto"/>
        <w:ind w:firstLine="482"/>
        <w:rPr>
          <w:rFonts w:ascii="Times New Roman" w:eastAsia="宋体"/>
          <w:color w:val="auto"/>
        </w:rPr>
      </w:pPr>
      <w:r>
        <w:rPr>
          <w:rFonts w:ascii="Times New Roman" w:eastAsia="宋体"/>
          <w:color w:val="auto"/>
        </w:rPr>
        <w:t>B.运输机械产生的扬尘</w:t>
      </w:r>
    </w:p>
    <w:p>
      <w:pPr>
        <w:spacing w:line="360" w:lineRule="auto"/>
        <w:ind w:firstLine="482"/>
        <w:rPr>
          <w:rFonts w:hint="eastAsia" w:ascii="Times New Roman" w:eastAsia="宋体"/>
          <w:color w:val="auto"/>
          <w:lang w:eastAsia="zh-CN"/>
        </w:rPr>
      </w:pPr>
      <w:r>
        <w:rPr>
          <w:rFonts w:hint="eastAsia" w:ascii="Times New Roman" w:eastAsia="宋体"/>
          <w:color w:val="auto"/>
        </w:rPr>
        <w:t>根据有关调查，施工工地的扬尘主要是由于运输车辆行驶产生，扬尘量产生大小与道路路面及车辆行驶速度有关，约占扬尘总量的 60%。在同样道路清洁情况下，车速越快，扬尘量越大；在同样车速情况下，路面清洁度越差，则扬尘量越大。根据类比调查，一般情况下，施工场地在自然风作用下产生的扬尘所影响的范围是 100m 以内</w:t>
      </w:r>
      <w:r>
        <w:rPr>
          <w:rFonts w:hint="eastAsia" w:ascii="Times New Roman" w:eastAsia="宋体"/>
          <w:color w:val="auto"/>
          <w:lang w:eastAsia="zh-CN"/>
        </w:rPr>
        <w:t>。</w:t>
      </w:r>
    </w:p>
    <w:p>
      <w:pPr>
        <w:spacing w:line="360" w:lineRule="auto"/>
        <w:ind w:firstLine="482"/>
        <w:rPr>
          <w:rFonts w:ascii="Times New Roman" w:eastAsia="宋体"/>
          <w:color w:val="auto"/>
        </w:rPr>
      </w:pPr>
      <w:r>
        <w:rPr>
          <w:rFonts w:hint="eastAsia" w:ascii="Times New Roman" w:eastAsia="宋体"/>
          <w:color w:val="auto"/>
        </w:rPr>
        <w:t>施工期施工单位</w:t>
      </w:r>
      <w:r>
        <w:rPr>
          <w:rFonts w:hint="eastAsia" w:ascii="Times New Roman" w:eastAsia="宋体"/>
          <w:color w:val="auto"/>
          <w:lang w:val="en-US" w:eastAsia="zh-CN"/>
        </w:rPr>
        <w:t>应</w:t>
      </w:r>
      <w:r>
        <w:rPr>
          <w:rFonts w:hint="eastAsia" w:ascii="Times New Roman" w:eastAsia="宋体"/>
          <w:color w:val="auto"/>
        </w:rPr>
        <w:t>按照国家和当地的有关要求以及本次评价提出的扬尘防治措施，做到科学施工、设置施工围墙或者采用防尘布覆盖易起尘材料、采取密目安全网、洒水抑尘、对撒落在路面的渣土及时清除、施工现场主要运输道路采用硬化路面、自卸车、垃圾运输车等运输车辆</w:t>
      </w:r>
      <w:r>
        <w:rPr>
          <w:rFonts w:hint="eastAsia" w:ascii="Times New Roman" w:eastAsia="宋体"/>
          <w:color w:val="auto"/>
          <w:lang w:eastAsia="zh-CN"/>
        </w:rPr>
        <w:t>，</w:t>
      </w:r>
      <w:r>
        <w:rPr>
          <w:rFonts w:hint="eastAsia" w:ascii="Times New Roman" w:eastAsia="宋体"/>
          <w:color w:val="auto"/>
        </w:rPr>
        <w:t>不允许超载、出场前一律清洗轮胎、用毡布覆盖</w:t>
      </w:r>
      <w:r>
        <w:rPr>
          <w:rFonts w:hint="eastAsia" w:ascii="Times New Roman" w:eastAsia="宋体"/>
          <w:color w:val="auto"/>
          <w:lang w:eastAsia="zh-CN"/>
        </w:rPr>
        <w:t>，</w:t>
      </w:r>
      <w:r>
        <w:rPr>
          <w:rFonts w:hint="eastAsia" w:ascii="Times New Roman" w:eastAsia="宋体"/>
          <w:color w:val="auto"/>
        </w:rPr>
        <w:t>并且在施工区出口设置防尘飞扬垫、限制车速、风速大于 3m/s 时应停止施工等一系列措施后，可大大减少施工扬尘对周边居民生活区的环境空气的影响</w:t>
      </w:r>
      <w:r>
        <w:rPr>
          <w:rFonts w:hint="eastAsia" w:ascii="Times New Roman" w:eastAsia="宋体"/>
          <w:color w:val="auto"/>
          <w:lang w:eastAsia="zh-CN"/>
        </w:rPr>
        <w:t>。</w:t>
      </w:r>
      <w:r>
        <w:rPr>
          <w:rFonts w:hint="eastAsia" w:ascii="Times New Roman" w:eastAsia="宋体"/>
          <w:color w:val="auto"/>
        </w:rPr>
        <w:t>通过采取上述措施后，施工扬尘对周边大气环境影响不大，且施工扬尘对周边的影响是短暂的，局部的，也是施工中不可避免的，其将随着施工的结束而消失。</w:t>
      </w:r>
    </w:p>
    <w:p>
      <w:pPr>
        <w:spacing w:line="360" w:lineRule="auto"/>
        <w:ind w:firstLine="482"/>
        <w:rPr>
          <w:rFonts w:ascii="Times New Roman" w:eastAsia="宋体"/>
          <w:color w:val="auto"/>
        </w:rPr>
      </w:pPr>
      <w:r>
        <w:rPr>
          <w:rFonts w:ascii="Times New Roman" w:eastAsia="宋体"/>
          <w:color w:val="auto"/>
        </w:rPr>
        <w:t>②汽车尾气</w:t>
      </w:r>
    </w:p>
    <w:p>
      <w:pPr>
        <w:spacing w:line="360" w:lineRule="auto"/>
        <w:ind w:firstLine="482"/>
        <w:rPr>
          <w:rFonts w:ascii="Times New Roman" w:eastAsia="宋体"/>
          <w:color w:val="auto"/>
        </w:rPr>
      </w:pPr>
      <w:r>
        <w:rPr>
          <w:rFonts w:ascii="Times New Roman" w:eastAsia="宋体"/>
          <w:color w:val="auto"/>
        </w:rPr>
        <w:t>施工中将会有各种工程及运输用车来往施工现场，主要有运输卡车、翻斗车等。施工场地汽车尾气对大气环境影响有如下几个特点：</w:t>
      </w:r>
    </w:p>
    <w:p>
      <w:pPr>
        <w:spacing w:line="360" w:lineRule="auto"/>
        <w:ind w:firstLine="482"/>
        <w:rPr>
          <w:rFonts w:ascii="Times New Roman" w:eastAsia="宋体"/>
          <w:color w:val="auto"/>
        </w:rPr>
      </w:pPr>
      <w:r>
        <w:rPr>
          <w:rFonts w:ascii="Times New Roman" w:eastAsia="宋体"/>
          <w:color w:val="auto"/>
        </w:rPr>
        <w:t>车辆在施工场地范围内活动，尾气呈面源污染形式；</w:t>
      </w:r>
    </w:p>
    <w:p>
      <w:pPr>
        <w:spacing w:line="360" w:lineRule="auto"/>
        <w:ind w:firstLine="482"/>
        <w:rPr>
          <w:rFonts w:ascii="Times New Roman" w:eastAsia="宋体"/>
          <w:color w:val="auto"/>
        </w:rPr>
      </w:pPr>
      <w:r>
        <w:rPr>
          <w:rFonts w:ascii="Times New Roman" w:eastAsia="宋体"/>
          <w:color w:val="auto"/>
        </w:rPr>
        <w:t>汽车排气筒高度较低，尾气扩散范围不大，对周围影响较小；</w:t>
      </w:r>
    </w:p>
    <w:p>
      <w:pPr>
        <w:spacing w:line="360" w:lineRule="auto"/>
        <w:ind w:firstLine="482"/>
        <w:rPr>
          <w:rFonts w:ascii="Times New Roman" w:eastAsia="宋体"/>
          <w:color w:val="auto"/>
        </w:rPr>
      </w:pPr>
      <w:r>
        <w:rPr>
          <w:rFonts w:ascii="Times New Roman" w:eastAsia="宋体"/>
          <w:color w:val="auto"/>
        </w:rPr>
        <w:t>车辆为非连续行驶状态，污染物排放时间及排放量相对较少。</w:t>
      </w:r>
    </w:p>
    <w:p>
      <w:pPr>
        <w:spacing w:line="360" w:lineRule="auto"/>
        <w:ind w:firstLine="482"/>
        <w:rPr>
          <w:rFonts w:ascii="Times New Roman" w:eastAsia="宋体"/>
          <w:color w:val="auto"/>
        </w:rPr>
      </w:pPr>
      <w:r>
        <w:rPr>
          <w:rFonts w:ascii="Times New Roman" w:eastAsia="宋体"/>
          <w:color w:val="auto"/>
        </w:rPr>
        <w:t>由于本项目施工期较短，在施工结束后，上述污染即行消失。</w:t>
      </w:r>
    </w:p>
    <w:p>
      <w:pPr>
        <w:spacing w:line="360" w:lineRule="auto"/>
        <w:ind w:firstLine="482"/>
        <w:rPr>
          <w:rFonts w:ascii="Times New Roman" w:eastAsia="宋体"/>
          <w:color w:val="auto"/>
        </w:rPr>
      </w:pPr>
      <w:r>
        <w:rPr>
          <w:rFonts w:hint="eastAsia" w:ascii="Times New Roman" w:eastAsia="宋体"/>
          <w:color w:val="auto"/>
          <w:lang w:val="en-US" w:eastAsia="zh-CN"/>
        </w:rPr>
        <w:t>C</w:t>
      </w:r>
      <w:r>
        <w:rPr>
          <w:rFonts w:ascii="Times New Roman" w:eastAsia="宋体"/>
          <w:color w:val="auto"/>
        </w:rPr>
        <w:t>.</w:t>
      </w:r>
      <w:r>
        <w:rPr>
          <w:rFonts w:hint="eastAsia" w:ascii="Times New Roman" w:eastAsia="宋体"/>
          <w:color w:val="auto"/>
          <w:lang w:val="en-US" w:eastAsia="zh-CN"/>
        </w:rPr>
        <w:t>土地平整过程产生</w:t>
      </w:r>
      <w:r>
        <w:rPr>
          <w:rFonts w:ascii="Times New Roman" w:eastAsia="宋体"/>
          <w:color w:val="auto"/>
        </w:rPr>
        <w:t>的扬尘</w:t>
      </w:r>
    </w:p>
    <w:p>
      <w:pPr>
        <w:pStyle w:val="23"/>
        <w:ind w:firstLine="420" w:firstLineChars="0"/>
        <w:rPr>
          <w:rFonts w:hint="eastAsia" w:eastAsia="宋体"/>
          <w:lang w:val="en-US" w:eastAsia="zh-CN"/>
        </w:rPr>
      </w:pPr>
    </w:p>
    <w:p>
      <w:pPr>
        <w:spacing w:line="360" w:lineRule="auto"/>
        <w:ind w:firstLine="482"/>
        <w:rPr>
          <w:rFonts w:ascii="Times New Roman" w:eastAsia="宋体"/>
          <w:color w:val="auto"/>
        </w:rPr>
      </w:pPr>
      <w:r>
        <w:rPr>
          <w:rFonts w:hint="eastAsia" w:ascii="Times New Roman" w:eastAsia="宋体"/>
          <w:color w:val="auto"/>
        </w:rPr>
        <w:t>（2）</w:t>
      </w:r>
      <w:r>
        <w:rPr>
          <w:rFonts w:ascii="Times New Roman" w:eastAsia="宋体"/>
          <w:color w:val="auto"/>
        </w:rPr>
        <w:t>废水</w:t>
      </w:r>
    </w:p>
    <w:p>
      <w:pPr>
        <w:spacing w:line="360" w:lineRule="auto"/>
        <w:ind w:firstLine="482"/>
        <w:rPr>
          <w:rFonts w:ascii="Times New Roman" w:eastAsia="宋体"/>
          <w:color w:val="auto"/>
        </w:rPr>
      </w:pPr>
      <w:r>
        <w:rPr>
          <w:rFonts w:ascii="Times New Roman" w:eastAsia="宋体"/>
          <w:color w:val="auto"/>
        </w:rPr>
        <w:t>施工废水主要来施工人员少量生活污水和施工废水。</w:t>
      </w:r>
    </w:p>
    <w:p>
      <w:pPr>
        <w:spacing w:line="360" w:lineRule="auto"/>
        <w:ind w:firstLine="482"/>
        <w:rPr>
          <w:rFonts w:ascii="Times New Roman" w:eastAsia="宋体"/>
          <w:color w:val="auto"/>
        </w:rPr>
      </w:pPr>
      <w:r>
        <w:rPr>
          <w:rFonts w:ascii="Times New Roman" w:eastAsia="宋体"/>
          <w:color w:val="auto"/>
        </w:rPr>
        <w:t>①施工废水</w:t>
      </w:r>
    </w:p>
    <w:p>
      <w:pPr>
        <w:spacing w:line="360" w:lineRule="auto"/>
        <w:ind w:firstLine="482"/>
        <w:rPr>
          <w:rFonts w:ascii="Times New Roman" w:eastAsia="宋体"/>
          <w:color w:val="auto"/>
        </w:rPr>
      </w:pPr>
      <w:r>
        <w:rPr>
          <w:rFonts w:ascii="Times New Roman" w:eastAsia="宋体"/>
          <w:color w:val="auto"/>
        </w:rPr>
        <w:t>施工废水主要为施工过程中产生的含有泥浆和砂石的工程废水，特点是悬浮物含量高，并含有一定的油污，根据类比调查，施工废水中SS浓度约为1000~1200mg/L，若长期淤积，容易形成水泡、泥潭，给施工作业造成不便，含油污水还会在阴雨天气受到雨水冲刷随地表径流污染地表水体。</w:t>
      </w:r>
      <w:r>
        <w:rPr>
          <w:rFonts w:hint="eastAsia" w:ascii="Times New Roman" w:eastAsia="宋体"/>
          <w:color w:val="auto"/>
        </w:rPr>
        <w:t>本项目施工期</w:t>
      </w:r>
      <w:r>
        <w:rPr>
          <w:rFonts w:ascii="Times New Roman" w:eastAsia="宋体"/>
          <w:color w:val="auto"/>
        </w:rPr>
        <w:t>废水零排放。施工机具</w:t>
      </w:r>
      <w:r>
        <w:rPr>
          <w:rFonts w:hint="eastAsia" w:ascii="Times New Roman" w:eastAsia="宋体"/>
          <w:color w:val="auto"/>
        </w:rPr>
        <w:t>等</w:t>
      </w:r>
      <w:r>
        <w:rPr>
          <w:rFonts w:ascii="Times New Roman" w:eastAsia="宋体"/>
          <w:color w:val="auto"/>
        </w:rPr>
        <w:t>不在场地内清洗、维护。</w:t>
      </w:r>
      <w:r>
        <w:rPr>
          <w:rFonts w:hint="eastAsia" w:ascii="Times New Roman" w:eastAsia="宋体"/>
          <w:color w:val="auto"/>
        </w:rPr>
        <w:t>在</w:t>
      </w:r>
      <w:r>
        <w:rPr>
          <w:rFonts w:ascii="Times New Roman" w:eastAsia="宋体"/>
          <w:color w:val="auto"/>
        </w:rPr>
        <w:t>施工现场内修建临时沉淀池沉淀处理，处理后的施工废水可全部回用于施工生产。</w:t>
      </w:r>
    </w:p>
    <w:p>
      <w:pPr>
        <w:spacing w:line="360" w:lineRule="auto"/>
        <w:ind w:firstLine="482"/>
        <w:rPr>
          <w:rFonts w:ascii="Times New Roman" w:eastAsia="宋体"/>
          <w:color w:val="auto"/>
        </w:rPr>
      </w:pPr>
      <w:r>
        <w:rPr>
          <w:rFonts w:ascii="Times New Roman" w:eastAsia="宋体"/>
          <w:color w:val="auto"/>
        </w:rPr>
        <w:t>②生活污水</w:t>
      </w:r>
    </w:p>
    <w:p>
      <w:pPr>
        <w:spacing w:line="360" w:lineRule="auto"/>
        <w:ind w:firstLine="482"/>
        <w:rPr>
          <w:rFonts w:ascii="Times New Roman" w:eastAsia="宋体"/>
          <w:color w:val="auto"/>
        </w:rPr>
      </w:pPr>
      <w:r>
        <w:rPr>
          <w:rFonts w:ascii="Times New Roman" w:eastAsia="宋体"/>
          <w:color w:val="auto"/>
        </w:rPr>
        <w:t>生活污水主要为施工人员在施工场地内产生的生活污水，由于本项目施工</w:t>
      </w:r>
      <w:r>
        <w:rPr>
          <w:rFonts w:hint="eastAsia" w:ascii="Times New Roman" w:eastAsia="宋体"/>
          <w:color w:val="auto"/>
          <w:lang w:val="en-US" w:eastAsia="zh-CN"/>
        </w:rPr>
        <w:t>周期短，且施工</w:t>
      </w:r>
      <w:r>
        <w:rPr>
          <w:rFonts w:ascii="Times New Roman" w:eastAsia="宋体"/>
          <w:color w:val="auto"/>
        </w:rPr>
        <w:t>人员多为当地居民</w:t>
      </w:r>
      <w:r>
        <w:rPr>
          <w:rFonts w:hint="eastAsia" w:ascii="Times New Roman" w:eastAsia="宋体"/>
          <w:color w:val="auto"/>
          <w:lang w:eastAsia="zh-CN"/>
        </w:rPr>
        <w:t>，</w:t>
      </w:r>
      <w:r>
        <w:rPr>
          <w:rFonts w:hint="eastAsia" w:ascii="Times New Roman" w:eastAsia="宋体"/>
          <w:color w:val="auto"/>
          <w:lang w:val="en-US" w:eastAsia="zh-CN"/>
        </w:rPr>
        <w:t>施工场地不建设营地，就餐均依托周边，设置移动厕所，仅有少量生活污水产生，生活污水经临时化粪池处理后用于周边菜地施肥，对水环境影响很小</w:t>
      </w:r>
      <w:r>
        <w:rPr>
          <w:rFonts w:ascii="Times New Roman" w:eastAsia="宋体"/>
          <w:color w:val="auto"/>
        </w:rPr>
        <w:t>。</w:t>
      </w:r>
    </w:p>
    <w:p>
      <w:pPr>
        <w:spacing w:line="360" w:lineRule="auto"/>
        <w:ind w:firstLine="482"/>
        <w:rPr>
          <w:rFonts w:ascii="Times New Roman" w:eastAsia="宋体"/>
          <w:color w:val="auto"/>
        </w:rPr>
      </w:pPr>
      <w:r>
        <w:rPr>
          <w:rFonts w:hint="eastAsia" w:ascii="Times New Roman" w:eastAsia="宋体"/>
          <w:color w:val="auto"/>
        </w:rPr>
        <w:t>（3）</w:t>
      </w:r>
      <w:r>
        <w:rPr>
          <w:rFonts w:ascii="Times New Roman" w:eastAsia="宋体"/>
          <w:color w:val="auto"/>
        </w:rPr>
        <w:t>施工噪声</w:t>
      </w:r>
    </w:p>
    <w:p>
      <w:pPr>
        <w:spacing w:line="360" w:lineRule="auto"/>
        <w:ind w:firstLine="482"/>
        <w:rPr>
          <w:rFonts w:ascii="Times New Roman" w:eastAsia="宋体"/>
          <w:color w:val="auto"/>
        </w:rPr>
      </w:pPr>
      <w:r>
        <w:rPr>
          <w:rFonts w:ascii="Times New Roman" w:eastAsia="宋体"/>
          <w:color w:val="auto"/>
        </w:rPr>
        <w:t>施工噪声主要来自于各种施工机械，如挖掘机、卡车、搅拌机等，经噪声叠加后其噪声源强可达90~105dB（A）。</w:t>
      </w:r>
    </w:p>
    <w:p>
      <w:pPr>
        <w:spacing w:line="360" w:lineRule="auto"/>
        <w:ind w:firstLine="482"/>
        <w:rPr>
          <w:rFonts w:ascii="Times New Roman" w:eastAsia="宋体"/>
          <w:color w:val="auto"/>
        </w:rPr>
      </w:pPr>
      <w:r>
        <w:rPr>
          <w:rFonts w:hint="eastAsia" w:ascii="Times New Roman" w:eastAsia="宋体"/>
          <w:color w:val="auto"/>
        </w:rPr>
        <w:t>（4）</w:t>
      </w:r>
      <w:r>
        <w:rPr>
          <w:rFonts w:ascii="Times New Roman" w:eastAsia="宋体"/>
          <w:color w:val="auto"/>
        </w:rPr>
        <w:t>施工固体废物</w:t>
      </w:r>
    </w:p>
    <w:p>
      <w:pPr>
        <w:spacing w:line="360" w:lineRule="auto"/>
        <w:ind w:firstLine="482"/>
        <w:rPr>
          <w:rFonts w:hint="eastAsia" w:ascii="Times New Roman" w:hAnsi="Times New Roman" w:eastAsia="宋体" w:cs="Times New Roman"/>
          <w:color w:val="auto"/>
          <w:lang w:val="en-US" w:eastAsia="zh-CN"/>
        </w:rPr>
      </w:pPr>
      <w:r>
        <w:rPr>
          <w:rFonts w:hint="eastAsia" w:ascii="Times New Roman" w:eastAsia="宋体"/>
          <w:color w:val="auto"/>
        </w:rPr>
        <w:t>施工期固体废弃物包括施工人员产生的生活垃圾、各种建筑垃圾和废弃</w:t>
      </w:r>
      <w:r>
        <w:rPr>
          <w:rFonts w:hint="eastAsia" w:ascii="Times New Roman" w:hAnsi="Times New Roman" w:eastAsia="宋体" w:cs="Times New Roman"/>
          <w:color w:val="auto"/>
          <w:lang w:val="en-US" w:eastAsia="zh-CN"/>
        </w:rPr>
        <w:t>土石方。</w:t>
      </w:r>
    </w:p>
    <w:p>
      <w:pPr>
        <w:spacing w:line="360" w:lineRule="auto"/>
        <w:ind w:firstLine="482"/>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土石方：</w:t>
      </w:r>
      <w:r>
        <w:rPr>
          <w:rFonts w:hint="eastAsia" w:ascii="Times New Roman" w:hAnsi="Times New Roman" w:eastAsia="宋体" w:cs="Times New Roman"/>
          <w:color w:val="auto"/>
          <w:lang w:val="en-US" w:eastAsia="zh-CN"/>
        </w:rPr>
        <w:t>项目建设在山体上，各养殖厂房和配套建筑物之间存在一定高差，项目采取因地制宜、局部平整的方式进行平整。本项目土石方开挖方量相对不大，根据施工、运输条件，填筑方尽量利用开挖的土石方。根据项目区的地形地势、沟渠、道路、构筑物等布局确定土地平整地块及平整面积，土石方采取就近调配、内部消纳原则，无需另行设置取土、弃土场；项目开挖剥离表土临时堆放于厂区内，并篷布覆盖，作为厂区绿化、道路边坡养护用土。因此，本项目无弃土石方产生。</w:t>
      </w:r>
    </w:p>
    <w:p>
      <w:pPr>
        <w:spacing w:line="360" w:lineRule="auto"/>
        <w:ind w:firstLine="482"/>
        <w:rPr>
          <w:rFonts w:hint="eastAsia" w:ascii="Times New Roman" w:eastAsia="宋体"/>
          <w:color w:val="auto"/>
        </w:rPr>
      </w:pPr>
      <w:r>
        <w:rPr>
          <w:rFonts w:hint="eastAsia" w:ascii="Times New Roman" w:eastAsia="宋体"/>
          <w:color w:val="auto"/>
          <w:lang w:val="en-US" w:eastAsia="zh-CN"/>
        </w:rPr>
        <w:t>A.</w:t>
      </w:r>
      <w:r>
        <w:rPr>
          <w:rFonts w:hint="eastAsia" w:ascii="Times New Roman" w:eastAsia="宋体"/>
          <w:color w:val="auto"/>
        </w:rPr>
        <w:t>生活垃圾：经袋装收集后，由环卫部门统一清运。对于施工期施工人员产生的生活垃圾，除了对施工人员加强环境保护教育和宣传外，应该增设一些分散的小型垃圾收集器，派专人定期打扫清运。</w:t>
      </w:r>
    </w:p>
    <w:p>
      <w:pPr>
        <w:spacing w:line="360" w:lineRule="auto"/>
        <w:ind w:firstLine="482"/>
        <w:rPr>
          <w:rFonts w:hint="eastAsia" w:ascii="Times New Roman" w:eastAsia="宋体"/>
          <w:color w:val="auto"/>
        </w:rPr>
      </w:pPr>
      <w:r>
        <w:rPr>
          <w:rFonts w:hint="eastAsia" w:ascii="Times New Roman" w:eastAsia="宋体"/>
          <w:color w:val="auto"/>
          <w:lang w:val="en-US" w:eastAsia="zh-CN"/>
        </w:rPr>
        <w:t>B.</w:t>
      </w:r>
      <w:r>
        <w:rPr>
          <w:rFonts w:hint="eastAsia" w:ascii="Times New Roman" w:eastAsia="宋体"/>
          <w:color w:val="auto"/>
        </w:rPr>
        <w:t>建筑垃圾：对钢筋、钢板、木材等下角料进行分类回收，交废物收购站处理；对不能回收的建筑垃圾及时清运到建设部门指定的建筑垃圾堆放场，禁止随意倾倒、填埋，从而可以避免工程废料造成二次污染。</w:t>
      </w:r>
    </w:p>
    <w:p>
      <w:pPr>
        <w:spacing w:line="360" w:lineRule="auto"/>
        <w:ind w:firstLine="482"/>
        <w:rPr>
          <w:rFonts w:hint="eastAsia" w:ascii="Times New Roman" w:eastAsia="宋体"/>
          <w:color w:val="auto"/>
        </w:rPr>
      </w:pPr>
      <w:r>
        <w:rPr>
          <w:rFonts w:hint="eastAsia" w:ascii="Times New Roman" w:eastAsia="宋体"/>
          <w:color w:val="auto"/>
          <w:lang w:val="en-US" w:eastAsia="zh-CN"/>
        </w:rPr>
        <w:t>C.</w:t>
      </w:r>
      <w:r>
        <w:rPr>
          <w:rFonts w:hint="eastAsia" w:ascii="Times New Roman" w:eastAsia="宋体"/>
          <w:color w:val="auto"/>
        </w:rPr>
        <w:t>施工土石方：项目土方能实现挖填平衡，在暂未回填的土石方须在土石堆上覆盖塑料薄膜，且在临时堆放场地周围设置导流明渠，将雨水引导到沉淀池循环使用。</w:t>
      </w:r>
    </w:p>
    <w:p>
      <w:pPr>
        <w:pStyle w:val="23"/>
        <w:spacing w:line="360" w:lineRule="auto"/>
        <w:ind w:firstLine="420" w:firstLineChars="0"/>
        <w:rPr>
          <w:rFonts w:hint="eastAsia" w:ascii="Times New Roman" w:hAnsi="Times New Roman" w:eastAsia="宋体" w:cs="Times New Roman"/>
          <w:color w:val="auto"/>
          <w:sz w:val="24"/>
          <w:lang w:val="en-US" w:eastAsia="zh-CN" w:bidi="ar-SA"/>
        </w:rPr>
      </w:pPr>
      <w:r>
        <w:rPr>
          <w:rFonts w:hint="eastAsia" w:ascii="Times New Roman" w:hAnsi="Times New Roman" w:eastAsia="宋体" w:cs="Times New Roman"/>
          <w:color w:val="auto"/>
          <w:sz w:val="24"/>
          <w:lang w:val="en-US" w:eastAsia="zh-CN" w:bidi="ar-SA"/>
        </w:rPr>
        <w:t>综上，项目施工期的固体废弃物采取合理可行的处置措施后，施工期固体废弃对环境不会造成不利影响。</w:t>
      </w:r>
    </w:p>
    <w:p>
      <w:pPr>
        <w:spacing w:line="360" w:lineRule="auto"/>
        <w:ind w:firstLine="482"/>
        <w:rPr>
          <w:rFonts w:ascii="Times New Roman" w:eastAsia="宋体"/>
          <w:color w:val="auto"/>
        </w:rPr>
      </w:pPr>
      <w:r>
        <w:rPr>
          <w:rFonts w:ascii="Times New Roman" w:eastAsia="宋体"/>
          <w:color w:val="auto"/>
        </w:rPr>
        <w:t>（5）水土流失</w:t>
      </w:r>
    </w:p>
    <w:p>
      <w:pPr>
        <w:spacing w:line="360" w:lineRule="auto"/>
        <w:ind w:firstLine="496" w:firstLineChars="200"/>
        <w:rPr>
          <w:rFonts w:hint="default" w:ascii="Times New Roman" w:hAnsi="Times New Roman" w:eastAsia="宋体" w:cs="Times New Roman"/>
          <w:color w:val="auto"/>
          <w:kern w:val="2"/>
          <w:sz w:val="24"/>
          <w:u w:val="none"/>
        </w:rPr>
      </w:pPr>
      <w:r>
        <w:rPr>
          <w:rFonts w:hint="default" w:ascii="Times New Roman" w:hAnsi="Times New Roman" w:eastAsia="宋体" w:cs="Times New Roman"/>
          <w:color w:val="auto"/>
          <w:kern w:val="2"/>
          <w:sz w:val="24"/>
          <w:u w:val="none"/>
        </w:rPr>
        <w:t>施工期导致水土流失的主要原因是降雨、地表开挖和弃土填埋，项目所在区域年平均降水量为1271.4mm，多暴雨，这些气象条件给项目建设施工期的水土流失带来不利影响。</w:t>
      </w:r>
    </w:p>
    <w:p>
      <w:pPr>
        <w:spacing w:line="360" w:lineRule="auto"/>
        <w:ind w:firstLine="496" w:firstLineChars="200"/>
        <w:rPr>
          <w:rFonts w:hint="default" w:ascii="Times New Roman" w:hAnsi="Times New Roman" w:eastAsia="宋体" w:cs="Times New Roman"/>
          <w:color w:val="auto"/>
          <w:kern w:val="2"/>
          <w:sz w:val="24"/>
          <w:u w:val="none"/>
        </w:rPr>
      </w:pPr>
      <w:r>
        <w:rPr>
          <w:rFonts w:hint="default" w:ascii="Times New Roman" w:hAnsi="Times New Roman" w:eastAsia="宋体" w:cs="Times New Roman"/>
          <w:color w:val="auto"/>
          <w:kern w:val="2"/>
          <w:sz w:val="24"/>
          <w:u w:val="none"/>
        </w:rPr>
        <w:t>项目土建施工是引起水土流失的工程因素，在施工过程中，土壤暴露在雨、风和其它干扰之中，另外，大量的土方填挖，陡坡、边坡的形成和整理，会使土壤暴露情况加剧。施工过程中，泥土转运装卸作业过程中和堆放时，都可能出现散落和水土流失。同时，施工中土壤结构会受到破坏，土壤抵抗侵蚀的能力将会大大减弱，在暴雨中由降雨所产生的土壤侵蚀，将会造成项目建设施工过程中的水土流失。</w:t>
      </w:r>
    </w:p>
    <w:p>
      <w:pPr>
        <w:spacing w:line="360" w:lineRule="auto"/>
        <w:ind w:firstLine="496" w:firstLineChars="200"/>
        <w:rPr>
          <w:rFonts w:hint="default" w:ascii="Times New Roman" w:hAnsi="Times New Roman" w:eastAsia="宋体" w:cs="Times New Roman"/>
          <w:color w:val="auto"/>
          <w:kern w:val="2"/>
          <w:sz w:val="24"/>
          <w:u w:val="none"/>
        </w:rPr>
      </w:pPr>
      <w:r>
        <w:rPr>
          <w:rFonts w:hint="default" w:ascii="Times New Roman" w:hAnsi="Times New Roman" w:eastAsia="宋体" w:cs="Times New Roman"/>
          <w:color w:val="auto"/>
          <w:kern w:val="2"/>
          <w:sz w:val="24"/>
          <w:u w:val="none"/>
        </w:rPr>
        <w:t>施工过程中的水土流失，不但会影响工程进度和工程质量，而且还产生泥沙作为一种废物或污染物往外排放，对周围环境产生较为严重的影响：在施工场地上，雨水径流将以“黄泥水”的形式排入水体，对水环境造成影响；同时，泥浆水还会夹带施工场地上的水泥等污染物进入水体，造成下游水体污染。</w:t>
      </w:r>
    </w:p>
    <w:p>
      <w:pPr>
        <w:spacing w:line="360" w:lineRule="auto"/>
        <w:outlineLvl w:val="3"/>
        <w:rPr>
          <w:rFonts w:ascii="Times New Roman" w:eastAsia="宋体"/>
          <w:color w:val="auto"/>
          <w:kern w:val="2"/>
        </w:rPr>
      </w:pPr>
      <w:r>
        <w:rPr>
          <w:rFonts w:hint="eastAsia" w:ascii="Times New Roman" w:eastAsia="宋体"/>
          <w:color w:val="auto"/>
          <w:kern w:val="2"/>
        </w:rPr>
        <w:t>3.3.</w:t>
      </w:r>
      <w:r>
        <w:rPr>
          <w:rFonts w:ascii="Times New Roman" w:eastAsia="宋体"/>
          <w:color w:val="auto"/>
          <w:kern w:val="2"/>
        </w:rPr>
        <w:t>2.2运营期污染影</w:t>
      </w:r>
      <w:bookmarkStart w:id="307" w:name="OLE_LINK35"/>
      <w:bookmarkEnd w:id="307"/>
      <w:r>
        <w:rPr>
          <w:rFonts w:ascii="Times New Roman" w:eastAsia="宋体"/>
          <w:color w:val="auto"/>
          <w:kern w:val="2"/>
        </w:rPr>
        <w:t>响因素</w:t>
      </w:r>
    </w:p>
    <w:p>
      <w:pPr>
        <w:spacing w:line="360" w:lineRule="auto"/>
        <w:outlineLvl w:val="3"/>
        <w:rPr>
          <w:rFonts w:hint="eastAsia" w:ascii="Times New Roman" w:hAnsi="Times New Roman" w:eastAsia="宋体" w:cs="Times New Roman"/>
          <w:color w:val="auto"/>
          <w:kern w:val="2"/>
        </w:rPr>
      </w:pPr>
      <w:r>
        <w:rPr>
          <w:rFonts w:hint="eastAsia" w:ascii="Times New Roman" w:hAnsi="Times New Roman" w:eastAsia="宋体" w:cs="Times New Roman"/>
          <w:color w:val="auto"/>
          <w:kern w:val="2"/>
        </w:rPr>
        <w:t>（1）废气</w:t>
      </w:r>
    </w:p>
    <w:p>
      <w:pPr>
        <w:spacing w:line="360" w:lineRule="auto"/>
        <w:ind w:firstLine="482"/>
        <w:rPr>
          <w:rFonts w:ascii="Times New Roman" w:eastAsia="宋体"/>
          <w:color w:val="auto"/>
        </w:rPr>
      </w:pPr>
      <w:r>
        <w:rPr>
          <w:rFonts w:ascii="Times New Roman" w:eastAsia="宋体"/>
          <w:color w:val="auto"/>
          <w:szCs w:val="22"/>
        </w:rPr>
        <w:t>本项目营运期所产生的废气主要为</w:t>
      </w:r>
      <w:r>
        <w:rPr>
          <w:rFonts w:hint="eastAsia" w:ascii="Times New Roman" w:eastAsia="宋体"/>
          <w:color w:val="auto"/>
          <w:szCs w:val="22"/>
        </w:rPr>
        <w:t>鸡</w:t>
      </w:r>
      <w:r>
        <w:rPr>
          <w:rFonts w:hint="eastAsia" w:ascii="Times New Roman" w:eastAsia="宋体"/>
          <w:color w:val="auto"/>
        </w:rPr>
        <w:t>舍、</w:t>
      </w:r>
      <w:r>
        <w:rPr>
          <w:rFonts w:ascii="Times New Roman" w:eastAsia="宋体"/>
          <w:color w:val="auto"/>
        </w:rPr>
        <w:t>污水储</w:t>
      </w:r>
      <w:r>
        <w:rPr>
          <w:rFonts w:hint="eastAsia" w:ascii="Times New Roman" w:eastAsia="宋体"/>
          <w:color w:val="auto"/>
        </w:rPr>
        <w:t>存沉淀</w:t>
      </w:r>
      <w:r>
        <w:rPr>
          <w:rFonts w:ascii="Times New Roman" w:eastAsia="宋体"/>
          <w:color w:val="auto"/>
        </w:rPr>
        <w:t>池产生的恶臭气体；</w:t>
      </w:r>
      <w:r>
        <w:rPr>
          <w:rFonts w:hint="eastAsia" w:ascii="Times New Roman" w:eastAsia="宋体"/>
          <w:color w:val="auto"/>
        </w:rPr>
        <w:t>生物质</w:t>
      </w:r>
      <w:r>
        <w:rPr>
          <w:rFonts w:ascii="Times New Roman" w:eastAsia="宋体"/>
          <w:color w:val="auto"/>
        </w:rPr>
        <w:t>锅炉废气和食堂油烟。</w:t>
      </w:r>
    </w:p>
    <w:p>
      <w:pPr>
        <w:spacing w:line="360" w:lineRule="auto"/>
        <w:ind w:firstLine="496" w:firstLineChars="200"/>
        <w:rPr>
          <w:rFonts w:ascii="Times New Roman" w:eastAsia="宋体"/>
          <w:color w:val="auto"/>
        </w:rPr>
      </w:pPr>
      <w:r>
        <w:rPr>
          <w:rFonts w:ascii="Times New Roman" w:eastAsia="宋体"/>
          <w:color w:val="auto"/>
        </w:rPr>
        <w:t>①恶臭气体</w:t>
      </w:r>
    </w:p>
    <w:p>
      <w:pPr>
        <w:spacing w:line="360" w:lineRule="auto"/>
        <w:ind w:firstLine="496" w:firstLineChars="200"/>
        <w:rPr>
          <w:rFonts w:ascii="Times New Roman" w:eastAsia="宋体"/>
          <w:color w:val="auto"/>
        </w:rPr>
      </w:pPr>
      <w:r>
        <w:rPr>
          <w:rFonts w:ascii="Times New Roman" w:eastAsia="宋体"/>
          <w:color w:val="auto"/>
        </w:rPr>
        <w:t>畜禽场的恶臭来自于畜禽的粪尿、鸡舍冲洗污水</w:t>
      </w:r>
      <w:r>
        <w:rPr>
          <w:rFonts w:hint="eastAsia" w:ascii="Times New Roman" w:eastAsia="宋体"/>
          <w:color w:val="auto"/>
        </w:rPr>
        <w:t>和</w:t>
      </w:r>
      <w:r>
        <w:rPr>
          <w:rFonts w:ascii="Times New Roman" w:eastAsia="宋体"/>
          <w:color w:val="auto"/>
        </w:rPr>
        <w:t>饲料等腐败分解过程，新鲜粪便、消化道排出的气体、皮脂腺和汗腺分泌物、畜体外激素、粘附在体表的污物以及呼出的二氧化碳（含量为空气的约100倍）等也会散发出不同畜禽所特有的难闻气味。但是畜禽场恶臭的主要是畜禽粪尿排出体外之后的腐败分解。</w:t>
      </w:r>
    </w:p>
    <w:p>
      <w:pPr>
        <w:spacing w:line="360" w:lineRule="auto"/>
        <w:ind w:firstLine="496" w:firstLineChars="200"/>
        <w:rPr>
          <w:rFonts w:ascii="Times New Roman" w:eastAsia="宋体"/>
          <w:color w:val="auto"/>
        </w:rPr>
      </w:pPr>
      <w:r>
        <w:rPr>
          <w:rFonts w:ascii="Times New Roman" w:eastAsia="宋体"/>
          <w:color w:val="auto"/>
        </w:rPr>
        <w:t>A.鸡舍恶臭</w:t>
      </w:r>
    </w:p>
    <w:p>
      <w:pPr>
        <w:spacing w:line="360" w:lineRule="auto"/>
        <w:ind w:firstLine="496" w:firstLineChars="200"/>
        <w:rPr>
          <w:rFonts w:ascii="Times New Roman" w:eastAsia="宋体"/>
          <w:color w:val="auto"/>
        </w:rPr>
      </w:pPr>
      <w:r>
        <w:rPr>
          <w:rFonts w:hint="eastAsia" w:ascii="Times New Roman" w:eastAsia="宋体"/>
          <w:color w:val="auto"/>
        </w:rPr>
        <w:t>因《排污许可证申请与核发技术规范畜禽养殖行业》（HJ1029-2019）中未涉及恶臭气体的核算源强，故本评价采用资料调查法和参考相关文献的方式，确定恶臭污染物排放源强。本评价将以整个养殖栏舍作为一个面源，根据存栏量核算粪污中挥发出的恶臭物质的量，分析预测项目排放的恶臭污染物对周围环境的影响。</w:t>
      </w:r>
    </w:p>
    <w:p>
      <w:pPr>
        <w:spacing w:line="360" w:lineRule="auto"/>
        <w:ind w:firstLine="480"/>
        <w:rPr>
          <w:rFonts w:ascii="Times New Roman" w:eastAsia="宋体"/>
          <w:color w:val="auto"/>
        </w:rPr>
      </w:pPr>
      <w:r>
        <w:rPr>
          <w:rFonts w:ascii="Times New Roman" w:eastAsia="宋体"/>
          <w:color w:val="auto"/>
        </w:rPr>
        <w:t>根据《排污许可证申请与核发技术规范-畜禽养殖行业》（HJ1029-2019）中“表9 各类畜禽污染物产生量”知，肉鸡粪便产生量为0.11kg/d·只，粪便中总氮含量为1.1g/d·只。本项目肉鸡存栏量为</w:t>
      </w:r>
      <w:r>
        <w:rPr>
          <w:rFonts w:hint="eastAsia" w:ascii="Times New Roman" w:eastAsia="宋体"/>
          <w:color w:val="auto"/>
        </w:rPr>
        <w:t>25</w:t>
      </w:r>
      <w:r>
        <w:rPr>
          <w:rFonts w:ascii="Times New Roman" w:eastAsia="宋体"/>
          <w:color w:val="auto"/>
        </w:rPr>
        <w:t>万只，每批存栏</w:t>
      </w:r>
      <w:r>
        <w:rPr>
          <w:rFonts w:hint="eastAsia" w:ascii="Times New Roman" w:eastAsia="宋体"/>
          <w:color w:val="auto"/>
        </w:rPr>
        <w:t>60</w:t>
      </w:r>
      <w:r>
        <w:rPr>
          <w:rFonts w:ascii="Times New Roman" w:eastAsia="宋体"/>
          <w:color w:val="auto"/>
        </w:rPr>
        <w:t>天，则粪便产生量为</w:t>
      </w:r>
      <w:r>
        <w:rPr>
          <w:rFonts w:hint="eastAsia" w:ascii="Times New Roman" w:eastAsia="宋体"/>
          <w:color w:val="auto"/>
        </w:rPr>
        <w:t>6600</w:t>
      </w:r>
      <w:r>
        <w:rPr>
          <w:rFonts w:ascii="Times New Roman" w:eastAsia="宋体"/>
          <w:color w:val="auto"/>
        </w:rPr>
        <w:t>t/a，总氮产生量为</w:t>
      </w:r>
      <w:r>
        <w:rPr>
          <w:rFonts w:hint="eastAsia" w:ascii="Times New Roman" w:eastAsia="宋体"/>
          <w:color w:val="auto"/>
        </w:rPr>
        <w:t>66.0</w:t>
      </w:r>
      <w:r>
        <w:rPr>
          <w:rFonts w:ascii="Times New Roman" w:eastAsia="宋体"/>
          <w:color w:val="auto"/>
        </w:rPr>
        <w:t>t/a。根据《畜禽场环境评价》（刘国成主编，中国标准出版社）和《农业污染源产排污系数手册》（2009年2月，中国农业科学院农业环境与可持续发展研究所和环境保护部南京环境科学研究所）中相关介绍，氮挥发量占总氮量的10%，其中氨氮含量占氮挥发量的25%，硫化氢含量约为氨氮含量的10%。由此核算，运营期本项目鸡粪及其恶臭污染物的产生情况详见表</w:t>
      </w:r>
      <w:r>
        <w:rPr>
          <w:rFonts w:hint="eastAsia" w:ascii="Times New Roman" w:eastAsia="宋体"/>
          <w:color w:val="auto"/>
        </w:rPr>
        <w:t>3.3-1</w:t>
      </w:r>
      <w:r>
        <w:rPr>
          <w:rFonts w:ascii="Times New Roman" w:eastAsia="宋体"/>
          <w:color w:val="auto"/>
        </w:rPr>
        <w:t>。</w:t>
      </w:r>
    </w:p>
    <w:p>
      <w:pPr>
        <w:pStyle w:val="424"/>
        <w:rPr>
          <w:rFonts w:ascii="Times New Roman" w:eastAsia="宋体" w:cs="宋体"/>
          <w:color w:val="auto"/>
        </w:rPr>
      </w:pPr>
      <w:r>
        <w:rPr>
          <w:rFonts w:hint="eastAsia" w:ascii="Times New Roman" w:eastAsia="宋体" w:cs="宋体"/>
          <w:color w:val="auto"/>
        </w:rPr>
        <w:t>表3.3-1   鸡粪及其恶臭污染物产生情况一览表</w:t>
      </w:r>
    </w:p>
    <w:tbl>
      <w:tblPr>
        <w:tblStyle w:val="47"/>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1919"/>
        <w:gridCol w:w="1739"/>
        <w:gridCol w:w="1884"/>
        <w:gridCol w:w="122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38"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鸡粪产生量（t/a）</w:t>
            </w:r>
          </w:p>
        </w:tc>
        <w:tc>
          <w:tcPr>
            <w:tcW w:w="1152"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鸡粪含N量（t/a）</w:t>
            </w:r>
          </w:p>
        </w:tc>
        <w:tc>
          <w:tcPr>
            <w:tcW w:w="1044"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氮挥发量（t/a）</w:t>
            </w:r>
          </w:p>
        </w:tc>
        <w:tc>
          <w:tcPr>
            <w:tcW w:w="1130"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折合成NH</w:t>
            </w:r>
            <w:r>
              <w:rPr>
                <w:rFonts w:hint="eastAsia" w:ascii="Times New Roman" w:eastAsia="宋体" w:cs="宋体"/>
                <w:color w:val="auto"/>
                <w:sz w:val="21"/>
                <w:szCs w:val="21"/>
                <w:vertAlign w:val="subscript"/>
              </w:rPr>
              <w:t>3</w:t>
            </w:r>
            <w:r>
              <w:rPr>
                <w:rFonts w:hint="eastAsia" w:ascii="Times New Roman" w:eastAsia="宋体" w:cs="宋体"/>
                <w:color w:val="auto"/>
                <w:sz w:val="21"/>
                <w:szCs w:val="21"/>
              </w:rPr>
              <w:t>（t/a）</w:t>
            </w:r>
          </w:p>
        </w:tc>
        <w:tc>
          <w:tcPr>
            <w:tcW w:w="736"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H</w:t>
            </w:r>
            <w:r>
              <w:rPr>
                <w:rFonts w:hint="eastAsia" w:ascii="Times New Roman" w:eastAsia="宋体" w:cs="宋体"/>
                <w:color w:val="auto"/>
                <w:sz w:val="21"/>
                <w:szCs w:val="21"/>
                <w:vertAlign w:val="subscript"/>
              </w:rPr>
              <w:t>2</w:t>
            </w:r>
            <w:r>
              <w:rPr>
                <w:rFonts w:hint="eastAsia" w:ascii="Times New Roman" w:eastAsia="宋体" w:cs="宋体"/>
                <w:color w:val="auto"/>
                <w:sz w:val="21"/>
                <w:szCs w:val="21"/>
              </w:rPr>
              <w:t>S（t/a）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38"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6600</w:t>
            </w:r>
          </w:p>
        </w:tc>
        <w:tc>
          <w:tcPr>
            <w:tcW w:w="1152"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66</w:t>
            </w:r>
          </w:p>
        </w:tc>
        <w:tc>
          <w:tcPr>
            <w:tcW w:w="1044"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6.60</w:t>
            </w:r>
          </w:p>
        </w:tc>
        <w:tc>
          <w:tcPr>
            <w:tcW w:w="1130"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1.65</w:t>
            </w:r>
          </w:p>
        </w:tc>
        <w:tc>
          <w:tcPr>
            <w:tcW w:w="736" w:type="pct"/>
            <w:tcBorders>
              <w:tl2br w:val="nil"/>
              <w:tr2bl w:val="nil"/>
            </w:tcBorders>
            <w:noWrap/>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0.165</w:t>
            </w:r>
          </w:p>
        </w:tc>
      </w:tr>
    </w:tbl>
    <w:p>
      <w:pPr>
        <w:spacing w:line="360" w:lineRule="auto"/>
        <w:ind w:firstLine="496" w:firstLineChars="200"/>
        <w:rPr>
          <w:rFonts w:ascii="Times New Roman" w:eastAsia="宋体"/>
          <w:color w:val="auto"/>
        </w:rPr>
      </w:pPr>
      <w:r>
        <w:rPr>
          <w:rFonts w:hint="eastAsia" w:ascii="Times New Roman" w:eastAsia="宋体"/>
          <w:color w:val="auto"/>
        </w:rPr>
        <w:t>根据</w:t>
      </w:r>
      <w:r>
        <w:rPr>
          <w:rFonts w:ascii="Times New Roman" w:eastAsia="宋体"/>
          <w:color w:val="auto"/>
        </w:rPr>
        <w:t>《排污许可证申请与核发技术规范畜禽养殖行业》（HJ1029-2019）</w:t>
      </w:r>
      <w:r>
        <w:rPr>
          <w:rFonts w:hint="eastAsia" w:ascii="Times New Roman" w:eastAsia="宋体"/>
          <w:color w:val="auto"/>
        </w:rPr>
        <w:t>中恶臭无组织排放控制要求</w:t>
      </w:r>
      <w:r>
        <w:rPr>
          <w:rFonts w:ascii="Times New Roman" w:eastAsia="宋体"/>
          <w:color w:val="auto"/>
        </w:rPr>
        <w:t>，</w:t>
      </w:r>
      <w:r>
        <w:rPr>
          <w:rFonts w:hint="eastAsia" w:ascii="Times New Roman" w:eastAsia="宋体"/>
          <w:color w:val="auto"/>
        </w:rPr>
        <w:t>本项目拟采用的饲料中添加 EM 菌剂、并采用低氮饲料喂养鸡，从源头减少恶臭产生量。</w:t>
      </w:r>
    </w:p>
    <w:p>
      <w:pPr>
        <w:spacing w:line="360" w:lineRule="auto"/>
        <w:ind w:firstLine="496" w:firstLineChars="200"/>
        <w:rPr>
          <w:rFonts w:ascii="Times New Roman" w:eastAsia="宋体"/>
          <w:color w:val="auto"/>
        </w:rPr>
      </w:pPr>
      <w:r>
        <w:rPr>
          <w:rFonts w:hint="eastAsia" w:ascii="Times New Roman" w:eastAsia="宋体"/>
          <w:color w:val="auto"/>
        </w:rPr>
        <w:t>根据《家畜环境卫生学》（安立龙，高等教育出版社）中研究资料，在畜禽口粮中投放EM 菌等有益微生物复合制剂，能有效降解 NH</w:t>
      </w:r>
      <w:r>
        <w:rPr>
          <w:rFonts w:hint="eastAsia" w:ascii="Times New Roman" w:eastAsia="宋体"/>
          <w:color w:val="auto"/>
          <w:vertAlign w:val="subscript"/>
        </w:rPr>
        <w:t>3</w:t>
      </w:r>
      <w:r>
        <w:rPr>
          <w:rFonts w:hint="eastAsia" w:ascii="Times New Roman" w:eastAsia="宋体"/>
          <w:color w:val="auto"/>
        </w:rPr>
        <w:t>及 H</w:t>
      </w:r>
      <w:r>
        <w:rPr>
          <w:rFonts w:hint="eastAsia" w:ascii="Times New Roman" w:eastAsia="宋体"/>
          <w:color w:val="auto"/>
          <w:vertAlign w:val="subscript"/>
        </w:rPr>
        <w:t>2</w:t>
      </w:r>
      <w:r>
        <w:rPr>
          <w:rFonts w:hint="eastAsia" w:ascii="Times New Roman" w:eastAsia="宋体"/>
          <w:color w:val="auto"/>
        </w:rPr>
        <w:t>S 等有害气体，NH</w:t>
      </w:r>
      <w:r>
        <w:rPr>
          <w:rFonts w:hint="eastAsia" w:ascii="Times New Roman" w:eastAsia="宋体"/>
          <w:color w:val="auto"/>
          <w:vertAlign w:val="subscript"/>
        </w:rPr>
        <w:t>3</w:t>
      </w:r>
      <w:r>
        <w:rPr>
          <w:rFonts w:hint="eastAsia" w:ascii="Times New Roman" w:eastAsia="宋体"/>
          <w:color w:val="auto"/>
        </w:rPr>
        <w:t>的降解率&gt;75%，H</w:t>
      </w:r>
      <w:r>
        <w:rPr>
          <w:rFonts w:hint="eastAsia" w:ascii="Times New Roman" w:eastAsia="宋体"/>
          <w:color w:val="auto"/>
          <w:vertAlign w:val="subscript"/>
        </w:rPr>
        <w:t>2</w:t>
      </w:r>
      <w:r>
        <w:rPr>
          <w:rFonts w:hint="eastAsia" w:ascii="Times New Roman" w:eastAsia="宋体"/>
          <w:color w:val="auto"/>
        </w:rPr>
        <w:t>S 的降解率&gt;85%。此外，</w:t>
      </w:r>
      <w:r>
        <w:rPr>
          <w:rFonts w:ascii="Times New Roman" w:eastAsia="宋体"/>
          <w:color w:val="auto"/>
        </w:rPr>
        <w:t>根据《生物活菌除臭剂改善蛋鸡舍环境效果的研究》（2010 年家畜环境与生态学术研讨会论文集）研究结果表明通过喷洒除臭剂的使用可使鸡舍内</w:t>
      </w:r>
      <w:r>
        <w:rPr>
          <w:rFonts w:hint="eastAsia" w:ascii="Times New Roman" w:eastAsia="宋体"/>
          <w:color w:val="auto"/>
        </w:rPr>
        <w:t>NH</w:t>
      </w:r>
      <w:r>
        <w:rPr>
          <w:rFonts w:hint="eastAsia" w:ascii="Times New Roman" w:eastAsia="宋体"/>
          <w:color w:val="auto"/>
          <w:vertAlign w:val="subscript"/>
        </w:rPr>
        <w:t>3</w:t>
      </w:r>
      <w:r>
        <w:rPr>
          <w:rFonts w:hint="eastAsia" w:ascii="Times New Roman" w:eastAsia="宋体"/>
          <w:color w:val="auto"/>
        </w:rPr>
        <w:t>及 H</w:t>
      </w:r>
      <w:r>
        <w:rPr>
          <w:rFonts w:hint="eastAsia" w:ascii="Times New Roman" w:eastAsia="宋体"/>
          <w:color w:val="auto"/>
          <w:vertAlign w:val="subscript"/>
        </w:rPr>
        <w:t>2</w:t>
      </w:r>
      <w:r>
        <w:rPr>
          <w:rFonts w:hint="eastAsia" w:ascii="Times New Roman" w:eastAsia="宋体"/>
          <w:color w:val="auto"/>
        </w:rPr>
        <w:t>S</w:t>
      </w:r>
      <w:r>
        <w:rPr>
          <w:rFonts w:ascii="Times New Roman" w:eastAsia="宋体"/>
          <w:color w:val="auto"/>
        </w:rPr>
        <w:t>平均降解78.2%和81.6%。保守估算，本项目鸡舍</w:t>
      </w:r>
      <w:r>
        <w:rPr>
          <w:rFonts w:hint="eastAsia" w:ascii="Times New Roman" w:eastAsia="宋体"/>
          <w:color w:val="auto"/>
        </w:rPr>
        <w:t>NH</w:t>
      </w:r>
      <w:r>
        <w:rPr>
          <w:rFonts w:hint="eastAsia" w:ascii="Times New Roman" w:eastAsia="宋体"/>
          <w:color w:val="auto"/>
          <w:vertAlign w:val="subscript"/>
        </w:rPr>
        <w:t>3</w:t>
      </w:r>
      <w:r>
        <w:rPr>
          <w:rFonts w:hint="eastAsia" w:ascii="Times New Roman" w:eastAsia="宋体"/>
          <w:color w:val="auto"/>
        </w:rPr>
        <w:t>及 H</w:t>
      </w:r>
      <w:r>
        <w:rPr>
          <w:rFonts w:hint="eastAsia" w:ascii="Times New Roman" w:eastAsia="宋体"/>
          <w:color w:val="auto"/>
          <w:vertAlign w:val="subscript"/>
        </w:rPr>
        <w:t>2</w:t>
      </w:r>
      <w:r>
        <w:rPr>
          <w:rFonts w:hint="eastAsia" w:ascii="Times New Roman" w:eastAsia="宋体"/>
          <w:color w:val="auto"/>
        </w:rPr>
        <w:t xml:space="preserve">S </w:t>
      </w:r>
      <w:r>
        <w:rPr>
          <w:rFonts w:ascii="Times New Roman" w:eastAsia="宋体"/>
          <w:color w:val="auto"/>
        </w:rPr>
        <w:t>的去除效率分别取70%、80%，</w:t>
      </w:r>
      <w:r>
        <w:rPr>
          <w:rFonts w:hint="eastAsia" w:ascii="Times New Roman" w:eastAsia="宋体"/>
          <w:color w:val="auto"/>
          <w:lang w:eastAsia="zh-CN"/>
        </w:rPr>
        <w:t>计算</w:t>
      </w:r>
      <w:r>
        <w:rPr>
          <w:rFonts w:ascii="Times New Roman" w:eastAsia="宋体"/>
          <w:color w:val="auto"/>
        </w:rPr>
        <w:t>项目鸡舍恶臭污染物排放情况。</w:t>
      </w:r>
    </w:p>
    <w:p>
      <w:pPr>
        <w:pStyle w:val="23"/>
        <w:spacing w:line="360" w:lineRule="auto"/>
        <w:ind w:firstLine="420"/>
        <w:rPr>
          <w:rFonts w:hint="default" w:ascii="Times New Roman" w:eastAsia="宋体"/>
          <w:color w:val="auto"/>
          <w:szCs w:val="22"/>
          <w:u w:val="single"/>
          <w:lang w:val="en-US" w:eastAsia="zh-CN"/>
        </w:rPr>
      </w:pPr>
      <w:r>
        <w:rPr>
          <w:rFonts w:hint="eastAsia" w:ascii="Times New Roman" w:eastAsia="宋体"/>
          <w:color w:val="auto"/>
          <w:szCs w:val="22"/>
        </w:rPr>
        <w:t>根据建设单位提供资料，本项目鸡舍采用纵向通风的方式，每个鸡舍尾部安装3个风机，鸡舍空气穿过整个鸡舍，带走多余的热量和污染物质，并借过背风给鸡群降温，废气从鸡舍尾部排入除臭水帘房。除臭水帘房房顶安装1台风机，废气经水雾吸收后经屋顶排放，排放高度约8m。</w:t>
      </w:r>
      <w:r>
        <w:rPr>
          <w:rFonts w:hint="eastAsia" w:ascii="Times New Roman" w:eastAsia="宋体"/>
          <w:color w:val="auto"/>
          <w:szCs w:val="22"/>
          <w:u w:val="single"/>
          <w:lang w:val="en-US" w:eastAsia="zh-CN"/>
        </w:rPr>
        <w:t>水雾除臭主要是</w:t>
      </w:r>
      <w:r>
        <w:rPr>
          <w:rFonts w:hint="eastAsia" w:ascii="Times New Roman" w:eastAsia="宋体"/>
          <w:color w:val="auto"/>
          <w:szCs w:val="22"/>
          <w:u w:val="single"/>
        </w:rPr>
        <w:t>利用臭气中某些物质易溶于水的特性，使臭气成分直接与水接触，从而溶解于水达到脱臭目的</w:t>
      </w:r>
      <w:r>
        <w:rPr>
          <w:rFonts w:hint="eastAsia" w:ascii="Times New Roman" w:eastAsia="宋体"/>
          <w:color w:val="auto"/>
          <w:szCs w:val="22"/>
          <w:u w:val="single"/>
          <w:lang w:eastAsia="zh-CN"/>
        </w:rPr>
        <w:t>，</w:t>
      </w:r>
      <w:r>
        <w:rPr>
          <w:rFonts w:hint="eastAsia" w:ascii="Times New Roman" w:eastAsia="宋体"/>
          <w:color w:val="auto"/>
          <w:szCs w:val="22"/>
          <w:u w:val="single"/>
        </w:rPr>
        <w:t>适用</w:t>
      </w:r>
      <w:r>
        <w:rPr>
          <w:rFonts w:hint="eastAsia" w:ascii="Times New Roman" w:eastAsia="宋体"/>
          <w:color w:val="auto"/>
          <w:szCs w:val="22"/>
          <w:u w:val="single"/>
          <w:lang w:val="en-US" w:eastAsia="zh-CN"/>
        </w:rPr>
        <w:t>于</w:t>
      </w:r>
      <w:r>
        <w:rPr>
          <w:rFonts w:hint="eastAsia" w:ascii="Times New Roman" w:eastAsia="宋体"/>
          <w:color w:val="auto"/>
          <w:szCs w:val="22"/>
          <w:u w:val="single"/>
        </w:rPr>
        <w:t>水溶性、有组织排放源的恶臭气体</w:t>
      </w:r>
      <w:r>
        <w:rPr>
          <w:rFonts w:hint="eastAsia" w:ascii="Times New Roman" w:eastAsia="宋体"/>
          <w:color w:val="auto"/>
          <w:szCs w:val="22"/>
          <w:u w:val="single"/>
          <w:lang w:eastAsia="zh-CN"/>
        </w:rPr>
        <w:t>。</w:t>
      </w:r>
      <w:r>
        <w:rPr>
          <w:rFonts w:hint="eastAsia" w:ascii="Times New Roman" w:eastAsia="宋体"/>
          <w:color w:val="auto"/>
          <w:szCs w:val="22"/>
          <w:u w:val="single"/>
          <w:lang w:val="en-US" w:eastAsia="zh-CN"/>
        </w:rPr>
        <w:t>本项目为畜禽养殖项目，恶臭气体主要为氨和硫化氢，</w:t>
      </w:r>
      <w:r>
        <w:rPr>
          <w:rFonts w:hint="eastAsia" w:ascii="Times New Roman" w:eastAsia="宋体"/>
          <w:color w:val="auto"/>
          <w:szCs w:val="22"/>
          <w:u w:val="single"/>
        </w:rPr>
        <w:t>NH</w:t>
      </w:r>
      <w:r>
        <w:rPr>
          <w:rFonts w:hint="eastAsia" w:ascii="Times New Roman" w:eastAsia="宋体"/>
          <w:color w:val="auto"/>
          <w:szCs w:val="22"/>
          <w:u w:val="single"/>
          <w:vertAlign w:val="subscript"/>
        </w:rPr>
        <w:t>3</w:t>
      </w:r>
      <w:r>
        <w:rPr>
          <w:rFonts w:hint="eastAsia" w:ascii="Times New Roman" w:eastAsia="宋体"/>
          <w:color w:val="auto"/>
          <w:szCs w:val="22"/>
          <w:u w:val="single"/>
        </w:rPr>
        <w:t>极易溶于水</w:t>
      </w:r>
      <w:r>
        <w:rPr>
          <w:rFonts w:hint="eastAsia" w:ascii="Times New Roman" w:eastAsia="宋体"/>
          <w:color w:val="auto"/>
          <w:szCs w:val="22"/>
          <w:u w:val="single"/>
          <w:lang w:eastAsia="zh-CN"/>
        </w:rPr>
        <w:t>，氨气在水中的溶解度是49.567g/1</w:t>
      </w:r>
      <w:r>
        <w:rPr>
          <w:rFonts w:hint="eastAsia" w:ascii="Times New Roman" w:eastAsia="宋体"/>
          <w:color w:val="auto"/>
          <w:szCs w:val="22"/>
          <w:u w:val="single"/>
          <w:lang w:val="en-US" w:eastAsia="zh-CN"/>
        </w:rPr>
        <w:t>00</w:t>
      </w:r>
      <w:r>
        <w:rPr>
          <w:rFonts w:hint="eastAsia" w:ascii="Times New Roman" w:eastAsia="宋体"/>
          <w:color w:val="auto"/>
          <w:szCs w:val="22"/>
          <w:u w:val="single"/>
          <w:lang w:eastAsia="zh-CN"/>
        </w:rPr>
        <w:t>g水；</w:t>
      </w:r>
      <w:r>
        <w:rPr>
          <w:rFonts w:hint="eastAsia" w:ascii="Times New Roman" w:eastAsia="宋体"/>
          <w:color w:val="auto"/>
          <w:szCs w:val="22"/>
          <w:u w:val="single"/>
        </w:rPr>
        <w:t>硫化氢能溶于水，通常情况下H</w:t>
      </w:r>
      <w:r>
        <w:rPr>
          <w:rFonts w:hint="eastAsia" w:ascii="Times New Roman" w:eastAsia="宋体"/>
          <w:color w:val="auto"/>
          <w:szCs w:val="22"/>
          <w:u w:val="single"/>
          <w:vertAlign w:val="subscript"/>
        </w:rPr>
        <w:t>2</w:t>
      </w:r>
      <w:r>
        <w:rPr>
          <w:rFonts w:hint="eastAsia" w:ascii="Times New Roman" w:eastAsia="宋体"/>
          <w:color w:val="auto"/>
          <w:szCs w:val="22"/>
          <w:u w:val="single"/>
        </w:rPr>
        <w:t>S在水中的溶解度为1∶2.6</w:t>
      </w:r>
      <w:r>
        <w:rPr>
          <w:rFonts w:hint="eastAsia" w:ascii="Times New Roman" w:eastAsia="宋体"/>
          <w:color w:val="auto"/>
          <w:szCs w:val="22"/>
          <w:u w:val="single"/>
          <w:lang w:eastAsia="zh-CN"/>
        </w:rPr>
        <w:t>，</w:t>
      </w:r>
      <w:r>
        <w:rPr>
          <w:rFonts w:hint="eastAsia" w:ascii="Times New Roman" w:eastAsia="宋体"/>
          <w:color w:val="auto"/>
          <w:szCs w:val="22"/>
          <w:u w:val="single"/>
          <w:lang w:val="en-US" w:eastAsia="zh-CN"/>
        </w:rPr>
        <w:t>因此</w:t>
      </w:r>
      <w:r>
        <w:rPr>
          <w:rFonts w:hint="eastAsia" w:ascii="Times New Roman" w:eastAsia="宋体"/>
          <w:color w:val="auto"/>
          <w:szCs w:val="22"/>
          <w:u w:val="single"/>
        </w:rPr>
        <w:t>本次评价“水雾除臭水帘”对 NH</w:t>
      </w:r>
      <w:r>
        <w:rPr>
          <w:rFonts w:hint="eastAsia" w:ascii="Times New Roman" w:eastAsia="宋体"/>
          <w:color w:val="auto"/>
          <w:szCs w:val="22"/>
          <w:u w:val="single"/>
          <w:vertAlign w:val="subscript"/>
        </w:rPr>
        <w:t>3</w:t>
      </w:r>
      <w:r>
        <w:rPr>
          <w:rFonts w:hint="eastAsia" w:ascii="Times New Roman" w:eastAsia="宋体"/>
          <w:color w:val="auto"/>
          <w:szCs w:val="22"/>
          <w:u w:val="single"/>
        </w:rPr>
        <w:t>、H</w:t>
      </w:r>
      <w:r>
        <w:rPr>
          <w:rFonts w:hint="eastAsia" w:ascii="Times New Roman" w:eastAsia="宋体"/>
          <w:color w:val="auto"/>
          <w:szCs w:val="22"/>
          <w:u w:val="single"/>
          <w:vertAlign w:val="subscript"/>
        </w:rPr>
        <w:t>2</w:t>
      </w:r>
      <w:r>
        <w:rPr>
          <w:rFonts w:hint="eastAsia" w:ascii="Times New Roman" w:eastAsia="宋体"/>
          <w:color w:val="auto"/>
          <w:szCs w:val="22"/>
          <w:u w:val="single"/>
        </w:rPr>
        <w:t>S 去除效率保守按70%和30%计算。</w:t>
      </w:r>
      <w:r>
        <w:rPr>
          <w:rFonts w:hint="eastAsia" w:ascii="Times New Roman" w:eastAsia="宋体"/>
          <w:color w:val="auto"/>
          <w:szCs w:val="22"/>
          <w:u w:val="single"/>
          <w:lang w:val="en-US" w:eastAsia="zh-CN"/>
        </w:rPr>
        <w:t>同时本公司前进养殖场鸡舍均采取“水雾除臭水帘”措施，根据日常环境监测数据，浓度均满足排放标准要求。</w:t>
      </w:r>
    </w:p>
    <w:p>
      <w:pPr>
        <w:spacing w:line="360" w:lineRule="auto"/>
        <w:ind w:firstLine="496" w:firstLineChars="200"/>
        <w:rPr>
          <w:rFonts w:ascii="Times New Roman" w:eastAsia="宋体"/>
          <w:color w:val="auto"/>
          <w:szCs w:val="22"/>
        </w:rPr>
      </w:pPr>
      <w:r>
        <w:rPr>
          <w:rFonts w:ascii="Times New Roman" w:eastAsia="宋体"/>
          <w:color w:val="auto"/>
          <w:szCs w:val="22"/>
        </w:rPr>
        <w:t>本项目选取的废气削减系数详见表</w:t>
      </w:r>
      <w:r>
        <w:rPr>
          <w:rFonts w:hint="eastAsia" w:ascii="Times New Roman" w:eastAsia="宋体"/>
          <w:color w:val="auto"/>
          <w:szCs w:val="22"/>
        </w:rPr>
        <w:t>3.3-2</w:t>
      </w:r>
      <w:r>
        <w:rPr>
          <w:rFonts w:ascii="Times New Roman" w:eastAsia="宋体"/>
          <w:color w:val="auto"/>
          <w:szCs w:val="22"/>
        </w:rPr>
        <w:t>。</w:t>
      </w:r>
    </w:p>
    <w:p>
      <w:pPr>
        <w:snapToGrid w:val="0"/>
        <w:jc w:val="center"/>
        <w:rPr>
          <w:rFonts w:ascii="Times New Roman" w:eastAsia="宋体"/>
          <w:b/>
          <w:bCs/>
          <w:color w:val="auto"/>
          <w:sz w:val="21"/>
          <w:szCs w:val="21"/>
        </w:rPr>
      </w:pPr>
      <w:r>
        <w:rPr>
          <w:rFonts w:ascii="Times New Roman" w:eastAsia="宋体"/>
          <w:b/>
          <w:bCs/>
          <w:color w:val="auto"/>
          <w:sz w:val="21"/>
          <w:szCs w:val="21"/>
          <w:lang w:val="zh-CN"/>
        </w:rPr>
        <w:t>表</w:t>
      </w:r>
      <w:r>
        <w:rPr>
          <w:rFonts w:hint="eastAsia" w:ascii="Times New Roman" w:eastAsia="宋体"/>
          <w:b/>
          <w:bCs/>
          <w:color w:val="auto"/>
          <w:sz w:val="21"/>
          <w:szCs w:val="21"/>
        </w:rPr>
        <w:t>3.3-2</w:t>
      </w:r>
      <w:r>
        <w:rPr>
          <w:rFonts w:ascii="Times New Roman" w:eastAsia="宋体"/>
          <w:b/>
          <w:bCs/>
          <w:color w:val="auto"/>
          <w:sz w:val="21"/>
          <w:szCs w:val="21"/>
          <w:lang w:val="zh-CN"/>
        </w:rPr>
        <w:t>源头削减措施的削减</w:t>
      </w:r>
      <w:r>
        <w:rPr>
          <w:rFonts w:hint="eastAsia" w:ascii="Times New Roman" w:eastAsia="宋体"/>
          <w:b/>
          <w:bCs/>
          <w:color w:val="auto"/>
          <w:sz w:val="21"/>
          <w:szCs w:val="21"/>
        </w:rPr>
        <w:t>措施效率</w:t>
      </w:r>
    </w:p>
    <w:tbl>
      <w:tblPr>
        <w:tblStyle w:val="47"/>
        <w:tblW w:w="5107"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autofit"/>
        <w:tblCellMar>
          <w:top w:w="0" w:type="dxa"/>
          <w:left w:w="0" w:type="dxa"/>
          <w:bottom w:w="0" w:type="dxa"/>
          <w:right w:w="0" w:type="dxa"/>
        </w:tblCellMar>
      </w:tblPr>
      <w:tblGrid>
        <w:gridCol w:w="571"/>
        <w:gridCol w:w="5966"/>
        <w:gridCol w:w="960"/>
        <w:gridCol w:w="1011"/>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299" w:hRule="atLeast"/>
          <w:tblHeader/>
          <w:jc w:val="center"/>
        </w:trPr>
        <w:tc>
          <w:tcPr>
            <w:tcW w:w="336" w:type="pct"/>
            <w:vMerge w:val="restar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序号</w:t>
            </w:r>
          </w:p>
        </w:tc>
        <w:tc>
          <w:tcPr>
            <w:tcW w:w="3504" w:type="pct"/>
            <w:vMerge w:val="restar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削减措施</w:t>
            </w:r>
          </w:p>
        </w:tc>
        <w:tc>
          <w:tcPr>
            <w:tcW w:w="1158" w:type="pct"/>
            <w:gridSpan w:val="2"/>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削减效率</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283" w:hRule="atLeast"/>
          <w:tblHeader/>
          <w:jc w:val="center"/>
        </w:trPr>
        <w:tc>
          <w:tcPr>
            <w:tcW w:w="336" w:type="pct"/>
            <w:vMerge w:val="continue"/>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16"/>
              </w:rPr>
            </w:pPr>
          </w:p>
        </w:tc>
        <w:tc>
          <w:tcPr>
            <w:tcW w:w="3504" w:type="pct"/>
            <w:vMerge w:val="continue"/>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16"/>
              </w:rPr>
            </w:pPr>
          </w:p>
        </w:tc>
        <w:tc>
          <w:tcPr>
            <w:tcW w:w="564"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16"/>
              </w:rPr>
            </w:pPr>
            <w:r>
              <w:rPr>
                <w:rFonts w:hint="eastAsia" w:ascii="Times New Roman" w:eastAsia="宋体"/>
                <w:b/>
                <w:color w:val="auto"/>
                <w:sz w:val="21"/>
                <w:szCs w:val="16"/>
              </w:rPr>
              <w:t>NH</w:t>
            </w:r>
            <w:r>
              <w:rPr>
                <w:rFonts w:hint="eastAsia" w:ascii="Times New Roman" w:eastAsia="宋体"/>
                <w:b/>
                <w:color w:val="auto"/>
                <w:sz w:val="21"/>
                <w:szCs w:val="16"/>
                <w:vertAlign w:val="subscript"/>
              </w:rPr>
              <w:t>3</w:t>
            </w:r>
          </w:p>
        </w:tc>
        <w:tc>
          <w:tcPr>
            <w:tcW w:w="593"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16"/>
              </w:rPr>
            </w:pPr>
            <w:r>
              <w:rPr>
                <w:rFonts w:hint="eastAsia" w:ascii="Times New Roman" w:eastAsia="宋体"/>
                <w:b/>
                <w:color w:val="auto"/>
                <w:sz w:val="21"/>
                <w:szCs w:val="16"/>
              </w:rPr>
              <w:t>H</w:t>
            </w:r>
            <w:r>
              <w:rPr>
                <w:rFonts w:hint="eastAsia" w:ascii="Times New Roman" w:eastAsia="宋体"/>
                <w:b/>
                <w:color w:val="auto"/>
                <w:sz w:val="21"/>
                <w:szCs w:val="16"/>
                <w:vertAlign w:val="subscript"/>
              </w:rPr>
              <w:t>2</w:t>
            </w:r>
            <w:r>
              <w:rPr>
                <w:rFonts w:hint="eastAsia" w:ascii="Times New Roman" w:eastAsia="宋体"/>
                <w:b/>
                <w:color w:val="auto"/>
                <w:sz w:val="21"/>
                <w:szCs w:val="16"/>
              </w:rPr>
              <w:t>S</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548" w:hRule="atLeast"/>
          <w:jc w:val="center"/>
        </w:trPr>
        <w:tc>
          <w:tcPr>
            <w:tcW w:w="336"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ascii="Times New Roman" w:eastAsia="宋体"/>
                <w:bCs/>
                <w:color w:val="auto"/>
                <w:sz w:val="21"/>
                <w:szCs w:val="16"/>
              </w:rPr>
              <w:t>1</w:t>
            </w:r>
          </w:p>
        </w:tc>
        <w:tc>
          <w:tcPr>
            <w:tcW w:w="3504" w:type="pct"/>
            <w:tcBorders>
              <w:tl2br w:val="nil"/>
              <w:tr2bl w:val="nil"/>
            </w:tcBorders>
            <w:vAlign w:val="center"/>
          </w:tcPr>
          <w:p>
            <w:pPr>
              <w:tabs>
                <w:tab w:val="left" w:pos="0"/>
              </w:tabs>
              <w:adjustRightInd w:val="0"/>
              <w:snapToGrid w:val="0"/>
              <w:spacing w:line="280" w:lineRule="exact"/>
              <w:jc w:val="left"/>
              <w:rPr>
                <w:rFonts w:ascii="Times New Roman" w:eastAsia="宋体"/>
                <w:bCs/>
                <w:color w:val="auto"/>
                <w:sz w:val="21"/>
                <w:szCs w:val="16"/>
              </w:rPr>
            </w:pPr>
            <w:r>
              <w:rPr>
                <w:rFonts w:hint="eastAsia" w:ascii="Times New Roman" w:eastAsia="宋体"/>
                <w:bCs/>
                <w:color w:val="auto"/>
                <w:sz w:val="21"/>
                <w:szCs w:val="16"/>
              </w:rPr>
              <w:t>选用</w:t>
            </w:r>
            <w:r>
              <w:rPr>
                <w:rFonts w:ascii="Times New Roman" w:eastAsia="宋体"/>
                <w:bCs/>
                <w:color w:val="auto"/>
                <w:sz w:val="21"/>
                <w:szCs w:val="16"/>
              </w:rPr>
              <w:t>益生菌配方饲料</w:t>
            </w:r>
            <w:r>
              <w:rPr>
                <w:rFonts w:hint="eastAsia" w:ascii="Times New Roman" w:eastAsia="宋体"/>
                <w:bCs/>
                <w:color w:val="auto"/>
                <w:sz w:val="21"/>
                <w:szCs w:val="16"/>
              </w:rPr>
              <w:t>；</w:t>
            </w:r>
            <w:r>
              <w:rPr>
                <w:rFonts w:ascii="Times New Roman" w:eastAsia="宋体"/>
                <w:bCs/>
                <w:color w:val="auto"/>
                <w:sz w:val="21"/>
                <w:szCs w:val="16"/>
              </w:rPr>
              <w:t>采用干清粪法，粪便日产日清，充分减少粪便发酵产生的恶臭气体</w:t>
            </w:r>
            <w:r>
              <w:rPr>
                <w:rFonts w:hint="eastAsia" w:ascii="Times New Roman" w:eastAsia="宋体"/>
                <w:bCs/>
                <w:color w:val="auto"/>
                <w:sz w:val="21"/>
                <w:szCs w:val="16"/>
              </w:rPr>
              <w:t>。</w:t>
            </w:r>
          </w:p>
        </w:tc>
        <w:tc>
          <w:tcPr>
            <w:tcW w:w="564"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75%</w:t>
            </w:r>
          </w:p>
        </w:tc>
        <w:tc>
          <w:tcPr>
            <w:tcW w:w="593"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85%</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548" w:hRule="atLeast"/>
          <w:jc w:val="center"/>
        </w:trPr>
        <w:tc>
          <w:tcPr>
            <w:tcW w:w="336"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2</w:t>
            </w:r>
          </w:p>
        </w:tc>
        <w:tc>
          <w:tcPr>
            <w:tcW w:w="3504" w:type="pct"/>
            <w:tcBorders>
              <w:tl2br w:val="nil"/>
              <w:tr2bl w:val="nil"/>
            </w:tcBorders>
            <w:vAlign w:val="center"/>
          </w:tcPr>
          <w:p>
            <w:pPr>
              <w:tabs>
                <w:tab w:val="left" w:pos="0"/>
              </w:tabs>
              <w:adjustRightInd w:val="0"/>
              <w:snapToGrid w:val="0"/>
              <w:spacing w:line="280" w:lineRule="exact"/>
              <w:jc w:val="left"/>
              <w:rPr>
                <w:rFonts w:ascii="Times New Roman" w:eastAsia="宋体"/>
                <w:bCs/>
                <w:color w:val="auto"/>
                <w:sz w:val="21"/>
                <w:szCs w:val="16"/>
              </w:rPr>
            </w:pPr>
            <w:r>
              <w:rPr>
                <w:rFonts w:ascii="Times New Roman" w:eastAsia="宋体"/>
                <w:bCs/>
                <w:color w:val="auto"/>
                <w:sz w:val="21"/>
                <w:szCs w:val="16"/>
              </w:rPr>
              <w:t>向粪便或舍内投（铺）放吸附剂减少臭气的散发；投加或喷洒除臭剂</w:t>
            </w:r>
            <w:r>
              <w:rPr>
                <w:rFonts w:hint="eastAsia" w:ascii="Times New Roman" w:eastAsia="宋体"/>
                <w:bCs/>
                <w:color w:val="auto"/>
                <w:sz w:val="21"/>
                <w:szCs w:val="16"/>
              </w:rPr>
              <w:t>。</w:t>
            </w:r>
          </w:p>
        </w:tc>
        <w:tc>
          <w:tcPr>
            <w:tcW w:w="564"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70%</w:t>
            </w:r>
          </w:p>
        </w:tc>
        <w:tc>
          <w:tcPr>
            <w:tcW w:w="593"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80%</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621" w:hRule="atLeast"/>
          <w:jc w:val="center"/>
        </w:trPr>
        <w:tc>
          <w:tcPr>
            <w:tcW w:w="336"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3</w:t>
            </w:r>
          </w:p>
        </w:tc>
        <w:tc>
          <w:tcPr>
            <w:tcW w:w="3504" w:type="pct"/>
            <w:tcBorders>
              <w:tl2br w:val="nil"/>
              <w:tr2bl w:val="nil"/>
            </w:tcBorders>
            <w:vAlign w:val="center"/>
          </w:tcPr>
          <w:p>
            <w:pPr>
              <w:tabs>
                <w:tab w:val="left" w:pos="0"/>
              </w:tabs>
              <w:adjustRightInd w:val="0"/>
              <w:snapToGrid w:val="0"/>
              <w:spacing w:line="280" w:lineRule="exact"/>
              <w:jc w:val="left"/>
              <w:rPr>
                <w:rFonts w:ascii="Times New Roman" w:eastAsia="宋体"/>
                <w:bCs/>
                <w:color w:val="auto"/>
                <w:sz w:val="21"/>
                <w:szCs w:val="16"/>
              </w:rPr>
            </w:pPr>
            <w:r>
              <w:rPr>
                <w:rFonts w:ascii="Times New Roman" w:eastAsia="宋体"/>
                <w:bCs/>
                <w:color w:val="auto"/>
                <w:sz w:val="21"/>
                <w:szCs w:val="16"/>
              </w:rPr>
              <w:t>鸡舍选型采用</w:t>
            </w:r>
            <w:r>
              <w:rPr>
                <w:rFonts w:hint="eastAsia" w:ascii="Times New Roman" w:eastAsia="宋体"/>
                <w:bCs/>
                <w:color w:val="auto"/>
                <w:sz w:val="21"/>
                <w:szCs w:val="16"/>
              </w:rPr>
              <w:t>半</w:t>
            </w:r>
            <w:r>
              <w:rPr>
                <w:rFonts w:ascii="Times New Roman" w:eastAsia="宋体"/>
                <w:bCs/>
                <w:color w:val="auto"/>
                <w:sz w:val="21"/>
                <w:szCs w:val="16"/>
              </w:rPr>
              <w:t>密闭</w:t>
            </w:r>
            <w:r>
              <w:rPr>
                <w:rFonts w:hint="eastAsia" w:ascii="Times New Roman" w:eastAsia="宋体"/>
                <w:bCs/>
                <w:color w:val="auto"/>
                <w:sz w:val="21"/>
                <w:szCs w:val="16"/>
              </w:rPr>
              <w:t>微负压</w:t>
            </w:r>
            <w:r>
              <w:rPr>
                <w:rFonts w:ascii="Times New Roman" w:eastAsia="宋体"/>
                <w:bCs/>
                <w:color w:val="auto"/>
                <w:sz w:val="21"/>
                <w:szCs w:val="16"/>
              </w:rPr>
              <w:t>式鸡舍，除必要的通风换气口以外，无其他开口，集中通风后</w:t>
            </w:r>
            <w:r>
              <w:rPr>
                <w:rFonts w:hint="eastAsia" w:ascii="Times New Roman" w:eastAsia="宋体"/>
                <w:bCs/>
                <w:color w:val="auto"/>
                <w:sz w:val="21"/>
                <w:szCs w:val="16"/>
              </w:rPr>
              <w:t>经水帘除臭后屋顶无组织</w:t>
            </w:r>
            <w:r>
              <w:rPr>
                <w:rFonts w:ascii="Times New Roman" w:eastAsia="宋体"/>
                <w:bCs/>
                <w:color w:val="auto"/>
                <w:sz w:val="21"/>
                <w:szCs w:val="16"/>
              </w:rPr>
              <w:t>排放。</w:t>
            </w:r>
          </w:p>
        </w:tc>
        <w:tc>
          <w:tcPr>
            <w:tcW w:w="564" w:type="pct"/>
            <w:tcBorders>
              <w:tl2br w:val="nil"/>
              <w:tr2bl w:val="nil"/>
            </w:tcBorders>
            <w:vAlign w:val="center"/>
          </w:tcPr>
          <w:p>
            <w:pPr>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70%</w:t>
            </w:r>
          </w:p>
        </w:tc>
        <w:tc>
          <w:tcPr>
            <w:tcW w:w="593" w:type="pct"/>
            <w:tcBorders>
              <w:tl2br w:val="nil"/>
              <w:tr2bl w:val="nil"/>
            </w:tcBorders>
            <w:vAlign w:val="center"/>
          </w:tcPr>
          <w:p>
            <w:pPr>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30%</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426" w:hRule="atLeast"/>
          <w:jc w:val="center"/>
        </w:trPr>
        <w:tc>
          <w:tcPr>
            <w:tcW w:w="3841" w:type="pct"/>
            <w:gridSpan w:val="2"/>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ascii="Times New Roman" w:eastAsia="宋体"/>
                <w:bCs/>
                <w:color w:val="auto"/>
                <w:sz w:val="21"/>
                <w:szCs w:val="16"/>
              </w:rPr>
              <w:t>综合削减效率合计</w:t>
            </w:r>
          </w:p>
        </w:tc>
        <w:tc>
          <w:tcPr>
            <w:tcW w:w="564"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97.7%</w:t>
            </w:r>
          </w:p>
        </w:tc>
        <w:tc>
          <w:tcPr>
            <w:tcW w:w="593"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97.9%</w:t>
            </w:r>
          </w:p>
        </w:tc>
      </w:tr>
    </w:tbl>
    <w:p>
      <w:pPr>
        <w:spacing w:line="360" w:lineRule="auto"/>
        <w:ind w:firstLine="496" w:firstLineChars="200"/>
        <w:rPr>
          <w:rFonts w:ascii="Times New Roman" w:eastAsia="宋体"/>
          <w:b/>
          <w:color w:val="auto"/>
          <w:sz w:val="21"/>
          <w:szCs w:val="21"/>
        </w:rPr>
      </w:pPr>
      <w:r>
        <w:rPr>
          <w:rFonts w:hint="eastAsia" w:ascii="Times New Roman" w:eastAsia="宋体"/>
          <w:color w:val="auto"/>
        </w:rPr>
        <w:t>综上，综合削减效率可达到9</w:t>
      </w:r>
      <w:r>
        <w:rPr>
          <w:rFonts w:hint="eastAsia" w:ascii="Times New Roman" w:eastAsia="宋体"/>
          <w:color w:val="auto"/>
          <w:lang w:val="en-US" w:eastAsia="zh-CN"/>
        </w:rPr>
        <w:t>5</w:t>
      </w:r>
      <w:r>
        <w:rPr>
          <w:rFonts w:hint="eastAsia" w:ascii="Times New Roman" w:eastAsia="宋体"/>
          <w:color w:val="auto"/>
        </w:rPr>
        <w:t>%以上，通过削减后</w:t>
      </w:r>
      <w:r>
        <w:rPr>
          <w:rFonts w:ascii="Times New Roman" w:eastAsia="宋体"/>
          <w:color w:val="auto"/>
        </w:rPr>
        <w:t>鸡舍NH</w:t>
      </w:r>
      <w:r>
        <w:rPr>
          <w:rFonts w:ascii="Times New Roman" w:eastAsia="宋体"/>
          <w:color w:val="auto"/>
          <w:vertAlign w:val="subscript"/>
        </w:rPr>
        <w:t>3</w:t>
      </w:r>
      <w:r>
        <w:rPr>
          <w:rFonts w:ascii="Times New Roman" w:eastAsia="宋体"/>
          <w:color w:val="auto"/>
        </w:rPr>
        <w:t>、H</w:t>
      </w:r>
      <w:r>
        <w:rPr>
          <w:rFonts w:ascii="Times New Roman" w:eastAsia="宋体"/>
          <w:color w:val="auto"/>
          <w:vertAlign w:val="subscript"/>
        </w:rPr>
        <w:t>2</w:t>
      </w:r>
      <w:r>
        <w:rPr>
          <w:rFonts w:ascii="Times New Roman" w:eastAsia="宋体"/>
          <w:color w:val="auto"/>
        </w:rPr>
        <w:t>S的排放量为0.</w:t>
      </w:r>
      <w:r>
        <w:rPr>
          <w:rFonts w:hint="eastAsia" w:ascii="Times New Roman" w:eastAsia="宋体"/>
          <w:color w:val="auto"/>
          <w:lang w:val="en-US" w:eastAsia="zh-CN"/>
        </w:rPr>
        <w:t>0825</w:t>
      </w:r>
      <w:r>
        <w:rPr>
          <w:rFonts w:ascii="Times New Roman" w:eastAsia="宋体"/>
          <w:color w:val="auto"/>
        </w:rPr>
        <w:t>t/a、0.0</w:t>
      </w:r>
      <w:r>
        <w:rPr>
          <w:rFonts w:hint="eastAsia" w:ascii="Times New Roman" w:eastAsia="宋体"/>
          <w:color w:val="auto"/>
          <w:lang w:val="en-US" w:eastAsia="zh-CN"/>
        </w:rPr>
        <w:t>083</w:t>
      </w:r>
      <w:r>
        <w:rPr>
          <w:rFonts w:hint="eastAsia" w:ascii="Times New Roman" w:eastAsia="宋体"/>
          <w:color w:val="auto"/>
        </w:rPr>
        <w:t>t</w:t>
      </w:r>
      <w:r>
        <w:rPr>
          <w:rFonts w:ascii="Times New Roman" w:eastAsia="宋体"/>
          <w:color w:val="auto"/>
        </w:rPr>
        <w:t>/a。</w:t>
      </w:r>
    </w:p>
    <w:p>
      <w:pPr>
        <w:widowControl/>
        <w:jc w:val="center"/>
        <w:rPr>
          <w:rFonts w:ascii="Times New Roman" w:eastAsia="宋体"/>
          <w:color w:val="auto"/>
          <w:szCs w:val="24"/>
        </w:rPr>
      </w:pPr>
      <w:r>
        <w:rPr>
          <w:rFonts w:ascii="Times New Roman" w:eastAsia="宋体"/>
          <w:b/>
          <w:color w:val="auto"/>
          <w:sz w:val="21"/>
          <w:szCs w:val="21"/>
        </w:rPr>
        <w:t>表</w:t>
      </w:r>
      <w:r>
        <w:rPr>
          <w:rFonts w:hint="eastAsia" w:ascii="Times New Roman" w:eastAsia="宋体"/>
          <w:b/>
          <w:color w:val="auto"/>
          <w:sz w:val="21"/>
          <w:szCs w:val="21"/>
        </w:rPr>
        <w:t>3.3-</w:t>
      </w:r>
      <w:r>
        <w:rPr>
          <w:rFonts w:hint="eastAsia" w:ascii="Times New Roman" w:eastAsia="宋体"/>
          <w:b/>
          <w:color w:val="auto"/>
          <w:sz w:val="21"/>
          <w:szCs w:val="21"/>
          <w:lang w:val="en-US" w:eastAsia="zh-CN"/>
        </w:rPr>
        <w:t>3</w:t>
      </w:r>
      <w:r>
        <w:rPr>
          <w:rFonts w:hint="eastAsia" w:ascii="Times New Roman"/>
          <w:b/>
          <w:color w:val="auto"/>
          <w:sz w:val="21"/>
          <w:szCs w:val="21"/>
        </w:rPr>
        <w:t xml:space="preserve"> </w:t>
      </w:r>
      <w:r>
        <w:rPr>
          <w:rFonts w:ascii="Times New Roman" w:eastAsia="宋体"/>
          <w:b/>
          <w:color w:val="auto"/>
          <w:sz w:val="21"/>
          <w:szCs w:val="21"/>
        </w:rPr>
        <w:t>本项目鸡舍恶臭污染物源强</w:t>
      </w:r>
    </w:p>
    <w:tbl>
      <w:tblPr>
        <w:tblStyle w:val="4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849"/>
        <w:gridCol w:w="1171"/>
        <w:gridCol w:w="1010"/>
        <w:gridCol w:w="1297"/>
        <w:gridCol w:w="1334"/>
        <w:gridCol w:w="1140"/>
        <w:gridCol w:w="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hint="eastAsia" w:ascii="Times New Roman" w:eastAsia="宋体"/>
                <w:b/>
                <w:color w:val="auto"/>
                <w:sz w:val="21"/>
                <w:szCs w:val="21"/>
              </w:rPr>
              <w:t>污染源</w:t>
            </w:r>
          </w:p>
        </w:tc>
        <w:tc>
          <w:tcPr>
            <w:tcW w:w="498"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ascii="Times New Roman" w:eastAsia="宋体"/>
                <w:b/>
                <w:color w:val="auto"/>
                <w:sz w:val="21"/>
                <w:szCs w:val="21"/>
              </w:rPr>
              <w:t>污染物</w:t>
            </w:r>
          </w:p>
        </w:tc>
        <w:tc>
          <w:tcPr>
            <w:tcW w:w="687"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ascii="Times New Roman" w:eastAsia="宋体"/>
                <w:b/>
                <w:color w:val="auto"/>
                <w:sz w:val="21"/>
                <w:szCs w:val="21"/>
              </w:rPr>
              <w:t>产生速率（kg/h）</w:t>
            </w:r>
          </w:p>
        </w:tc>
        <w:tc>
          <w:tcPr>
            <w:tcW w:w="593"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ascii="Times New Roman" w:eastAsia="宋体"/>
                <w:b/>
                <w:color w:val="auto"/>
                <w:sz w:val="21"/>
                <w:szCs w:val="21"/>
              </w:rPr>
              <w:t>产生量（t/a）</w:t>
            </w:r>
          </w:p>
        </w:tc>
        <w:tc>
          <w:tcPr>
            <w:tcW w:w="761"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hint="eastAsia" w:ascii="Times New Roman" w:eastAsia="宋体"/>
                <w:b/>
                <w:color w:val="auto"/>
                <w:sz w:val="21"/>
                <w:szCs w:val="21"/>
              </w:rPr>
              <w:t>综合消减效率</w:t>
            </w:r>
          </w:p>
        </w:tc>
        <w:tc>
          <w:tcPr>
            <w:tcW w:w="783"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hint="eastAsia" w:ascii="Times New Roman" w:eastAsia="宋体"/>
                <w:b/>
                <w:color w:val="auto"/>
                <w:sz w:val="21"/>
                <w:szCs w:val="21"/>
              </w:rPr>
              <w:t>排放速率（kg/h）</w:t>
            </w:r>
          </w:p>
        </w:tc>
        <w:tc>
          <w:tcPr>
            <w:tcW w:w="669"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hint="eastAsia" w:ascii="Times New Roman" w:eastAsia="宋体"/>
                <w:b/>
                <w:color w:val="auto"/>
                <w:sz w:val="21"/>
                <w:szCs w:val="21"/>
              </w:rPr>
              <w:t>排放</w:t>
            </w:r>
            <w:r>
              <w:rPr>
                <w:rFonts w:ascii="Times New Roman" w:eastAsia="宋体"/>
                <w:b/>
                <w:color w:val="auto"/>
                <w:sz w:val="21"/>
                <w:szCs w:val="21"/>
              </w:rPr>
              <w:t>量（t/a）</w:t>
            </w:r>
          </w:p>
        </w:tc>
        <w:tc>
          <w:tcPr>
            <w:tcW w:w="577" w:type="pct"/>
            <w:tcBorders>
              <w:tl2br w:val="nil"/>
              <w:tr2bl w:val="nil"/>
            </w:tcBorders>
            <w:vAlign w:val="center"/>
          </w:tcPr>
          <w:p>
            <w:pPr>
              <w:tabs>
                <w:tab w:val="left" w:pos="0"/>
              </w:tabs>
              <w:adjustRightInd w:val="0"/>
              <w:snapToGrid w:val="0"/>
              <w:spacing w:line="280" w:lineRule="exact"/>
              <w:jc w:val="center"/>
              <w:rPr>
                <w:rFonts w:ascii="Times New Roman" w:eastAsia="宋体"/>
                <w:b/>
                <w:color w:val="auto"/>
                <w:sz w:val="21"/>
                <w:szCs w:val="21"/>
              </w:rPr>
            </w:pPr>
            <w:r>
              <w:rPr>
                <w:rFonts w:hint="eastAsia" w:ascii="Times New Roman" w:eastAsia="宋体"/>
                <w:b/>
                <w:color w:val="auto"/>
                <w:sz w:val="21"/>
                <w:szCs w:val="21"/>
              </w:rPr>
              <w:t>排放方式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vMerge w:val="restar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ascii="Times New Roman" w:eastAsia="宋体"/>
                <w:bCs/>
                <w:color w:val="auto"/>
                <w:sz w:val="21"/>
                <w:szCs w:val="21"/>
              </w:rPr>
              <w:t>鸡舍</w:t>
            </w:r>
          </w:p>
        </w:tc>
        <w:tc>
          <w:tcPr>
            <w:tcW w:w="498"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ascii="Times New Roman" w:eastAsia="宋体"/>
                <w:bCs/>
                <w:color w:val="auto"/>
                <w:sz w:val="21"/>
                <w:szCs w:val="21"/>
              </w:rPr>
              <w:t>NH</w:t>
            </w:r>
            <w:r>
              <w:rPr>
                <w:rFonts w:ascii="Times New Roman" w:eastAsia="宋体"/>
                <w:bCs/>
                <w:color w:val="auto"/>
                <w:sz w:val="21"/>
                <w:szCs w:val="21"/>
                <w:vertAlign w:val="subscript"/>
              </w:rPr>
              <w:t>3</w:t>
            </w:r>
          </w:p>
        </w:tc>
        <w:tc>
          <w:tcPr>
            <w:tcW w:w="687" w:type="pct"/>
            <w:tcBorders>
              <w:bottom w:val="single" w:color="auto" w:sz="4" w:space="0"/>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hint="eastAsia" w:ascii="Times New Roman" w:eastAsia="宋体"/>
                <w:bCs/>
                <w:color w:val="auto"/>
                <w:sz w:val="21"/>
                <w:szCs w:val="21"/>
              </w:rPr>
              <w:t xml:space="preserve">0.2865 </w:t>
            </w:r>
          </w:p>
        </w:tc>
        <w:tc>
          <w:tcPr>
            <w:tcW w:w="593" w:type="pct"/>
            <w:tcBorders>
              <w:bottom w:val="single" w:color="auto" w:sz="4" w:space="0"/>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hint="eastAsia" w:ascii="Times New Roman" w:eastAsia="宋体"/>
                <w:bCs/>
                <w:color w:val="auto"/>
                <w:sz w:val="21"/>
                <w:szCs w:val="21"/>
              </w:rPr>
              <w:t>1.65</w:t>
            </w:r>
          </w:p>
        </w:tc>
        <w:tc>
          <w:tcPr>
            <w:tcW w:w="761" w:type="pct"/>
            <w:vMerge w:val="restart"/>
            <w:vAlign w:val="center"/>
          </w:tcPr>
          <w:p>
            <w:pPr>
              <w:tabs>
                <w:tab w:val="left" w:pos="0"/>
              </w:tabs>
              <w:adjustRightInd w:val="0"/>
              <w:snapToGrid w:val="0"/>
              <w:spacing w:line="280" w:lineRule="exact"/>
              <w:jc w:val="center"/>
              <w:rPr>
                <w:rFonts w:ascii="Times New Roman" w:eastAsia="宋体"/>
                <w:bCs/>
                <w:color w:val="auto"/>
                <w:sz w:val="21"/>
                <w:szCs w:val="21"/>
              </w:rPr>
            </w:pPr>
            <w:r>
              <w:rPr>
                <w:rFonts w:hint="eastAsia" w:ascii="Times New Roman" w:eastAsia="宋体"/>
                <w:bCs/>
                <w:color w:val="auto"/>
                <w:sz w:val="21"/>
                <w:szCs w:val="21"/>
              </w:rPr>
              <w:t>9</w:t>
            </w:r>
            <w:r>
              <w:rPr>
                <w:rFonts w:hint="eastAsia" w:ascii="Times New Roman" w:eastAsia="宋体"/>
                <w:bCs/>
                <w:color w:val="auto"/>
                <w:sz w:val="21"/>
                <w:szCs w:val="21"/>
                <w:lang w:val="en-US" w:eastAsia="zh-CN"/>
              </w:rPr>
              <w:t>5</w:t>
            </w:r>
            <w:r>
              <w:rPr>
                <w:rFonts w:hint="eastAsia" w:ascii="Times New Roman" w:eastAsia="宋体"/>
                <w:bCs/>
                <w:color w:val="auto"/>
                <w:sz w:val="21"/>
                <w:szCs w:val="21"/>
              </w:rPr>
              <w:t>%</w:t>
            </w:r>
          </w:p>
        </w:tc>
        <w:tc>
          <w:tcPr>
            <w:tcW w:w="783" w:type="pct"/>
            <w:tcBorders>
              <w:tl2br w:val="nil"/>
              <w:tr2bl w:val="nil"/>
            </w:tcBorders>
            <w:vAlign w:val="center"/>
          </w:tcPr>
          <w:p>
            <w:pPr>
              <w:tabs>
                <w:tab w:val="left" w:pos="0"/>
              </w:tabs>
              <w:adjustRightInd w:val="0"/>
              <w:snapToGrid w:val="0"/>
              <w:spacing w:line="280" w:lineRule="exact"/>
              <w:jc w:val="center"/>
              <w:rPr>
                <w:rFonts w:hint="default" w:ascii="Times New Roman" w:eastAsia="宋体"/>
                <w:bCs/>
                <w:color w:val="auto"/>
                <w:sz w:val="21"/>
                <w:szCs w:val="21"/>
                <w:lang w:val="en-US" w:eastAsia="zh-CN"/>
              </w:rPr>
            </w:pPr>
            <w:r>
              <w:rPr>
                <w:rFonts w:hint="eastAsia" w:ascii="Times New Roman" w:eastAsia="宋体"/>
                <w:bCs/>
                <w:color w:val="auto"/>
                <w:sz w:val="21"/>
                <w:szCs w:val="21"/>
              </w:rPr>
              <w:t>0.0</w:t>
            </w:r>
            <w:r>
              <w:rPr>
                <w:rFonts w:hint="eastAsia" w:ascii="Times New Roman" w:eastAsia="宋体"/>
                <w:bCs/>
                <w:color w:val="auto"/>
                <w:sz w:val="21"/>
                <w:szCs w:val="21"/>
                <w:lang w:val="en-US" w:eastAsia="zh-CN"/>
              </w:rPr>
              <w:t>1432</w:t>
            </w:r>
          </w:p>
        </w:tc>
        <w:tc>
          <w:tcPr>
            <w:tcW w:w="669" w:type="pct"/>
            <w:tcBorders>
              <w:tl2br w:val="nil"/>
              <w:tr2bl w:val="nil"/>
            </w:tcBorders>
            <w:vAlign w:val="center"/>
          </w:tcPr>
          <w:p>
            <w:pPr>
              <w:tabs>
                <w:tab w:val="left" w:pos="0"/>
              </w:tabs>
              <w:adjustRightInd w:val="0"/>
              <w:snapToGrid w:val="0"/>
              <w:spacing w:line="280" w:lineRule="exact"/>
              <w:jc w:val="center"/>
              <w:rPr>
                <w:rFonts w:hint="default" w:ascii="Times New Roman" w:eastAsia="宋体"/>
                <w:bCs/>
                <w:color w:val="auto"/>
                <w:sz w:val="21"/>
                <w:szCs w:val="21"/>
                <w:lang w:val="en-US" w:eastAsia="zh-CN"/>
              </w:rPr>
            </w:pPr>
            <w:r>
              <w:rPr>
                <w:rFonts w:ascii="Times New Roman" w:eastAsia="宋体"/>
                <w:bCs/>
                <w:color w:val="auto"/>
                <w:sz w:val="21"/>
                <w:szCs w:val="21"/>
              </w:rPr>
              <w:t>0.</w:t>
            </w:r>
            <w:r>
              <w:rPr>
                <w:rFonts w:hint="eastAsia" w:ascii="Times New Roman" w:eastAsia="宋体"/>
                <w:bCs/>
                <w:color w:val="auto"/>
                <w:sz w:val="21"/>
                <w:szCs w:val="21"/>
                <w:lang w:val="en-US" w:eastAsia="zh-CN"/>
              </w:rPr>
              <w:t>0825</w:t>
            </w:r>
          </w:p>
        </w:tc>
        <w:tc>
          <w:tcPr>
            <w:tcW w:w="577" w:type="pct"/>
            <w:vMerge w:val="restar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hint="eastAsia" w:ascii="Times New Roman" w:eastAsia="宋体"/>
                <w:bCs/>
                <w:color w:val="auto"/>
                <w:sz w:val="21"/>
                <w:szCs w:val="21"/>
              </w:rPr>
              <w:t>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vMerge w:val="continue"/>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p>
        </w:tc>
        <w:tc>
          <w:tcPr>
            <w:tcW w:w="498" w:type="pct"/>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ascii="Times New Roman" w:eastAsia="宋体"/>
                <w:bCs/>
                <w:color w:val="auto"/>
                <w:sz w:val="21"/>
                <w:szCs w:val="21"/>
              </w:rPr>
              <w:t>H</w:t>
            </w:r>
            <w:r>
              <w:rPr>
                <w:rFonts w:ascii="Times New Roman" w:eastAsia="宋体"/>
                <w:bCs/>
                <w:color w:val="auto"/>
                <w:sz w:val="21"/>
                <w:szCs w:val="21"/>
                <w:vertAlign w:val="subscript"/>
              </w:rPr>
              <w:t>2</w:t>
            </w:r>
            <w:r>
              <w:rPr>
                <w:rFonts w:ascii="Times New Roman" w:eastAsia="宋体"/>
                <w:bCs/>
                <w:color w:val="auto"/>
                <w:sz w:val="21"/>
                <w:szCs w:val="21"/>
              </w:rPr>
              <w:t>S</w:t>
            </w:r>
          </w:p>
        </w:tc>
        <w:tc>
          <w:tcPr>
            <w:tcW w:w="687" w:type="pct"/>
            <w:tcBorders>
              <w:top w:val="single" w:color="auto" w:sz="4" w:space="0"/>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hint="eastAsia" w:ascii="Times New Roman" w:eastAsia="宋体"/>
                <w:bCs/>
                <w:color w:val="auto"/>
                <w:sz w:val="21"/>
                <w:szCs w:val="21"/>
              </w:rPr>
              <w:t xml:space="preserve">0.0286 </w:t>
            </w:r>
          </w:p>
        </w:tc>
        <w:tc>
          <w:tcPr>
            <w:tcW w:w="593" w:type="pct"/>
            <w:tcBorders>
              <w:top w:val="single" w:color="auto" w:sz="4" w:space="0"/>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r>
              <w:rPr>
                <w:rFonts w:hint="eastAsia" w:ascii="Times New Roman" w:eastAsia="宋体"/>
                <w:bCs/>
                <w:color w:val="auto"/>
                <w:sz w:val="21"/>
                <w:szCs w:val="21"/>
              </w:rPr>
              <w:t>0.165</w:t>
            </w:r>
          </w:p>
        </w:tc>
        <w:tc>
          <w:tcPr>
            <w:tcW w:w="761" w:type="pct"/>
            <w:vMerge w:val="continue"/>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p>
        </w:tc>
        <w:tc>
          <w:tcPr>
            <w:tcW w:w="783" w:type="pct"/>
            <w:tcBorders>
              <w:tl2br w:val="nil"/>
              <w:tr2bl w:val="nil"/>
            </w:tcBorders>
            <w:vAlign w:val="center"/>
          </w:tcPr>
          <w:p>
            <w:pPr>
              <w:tabs>
                <w:tab w:val="left" w:pos="0"/>
              </w:tabs>
              <w:adjustRightInd w:val="0"/>
              <w:snapToGrid w:val="0"/>
              <w:spacing w:line="280" w:lineRule="exact"/>
              <w:jc w:val="center"/>
              <w:rPr>
                <w:rFonts w:hint="default" w:ascii="Times New Roman" w:eastAsia="宋体"/>
                <w:bCs/>
                <w:color w:val="auto"/>
                <w:sz w:val="21"/>
                <w:szCs w:val="21"/>
                <w:lang w:val="en-US" w:eastAsia="zh-CN"/>
              </w:rPr>
            </w:pPr>
            <w:r>
              <w:rPr>
                <w:rFonts w:hint="eastAsia" w:ascii="Times New Roman" w:eastAsia="宋体"/>
                <w:bCs/>
                <w:color w:val="auto"/>
                <w:sz w:val="21"/>
                <w:szCs w:val="21"/>
              </w:rPr>
              <w:t>0.00</w:t>
            </w:r>
            <w:r>
              <w:rPr>
                <w:rFonts w:hint="eastAsia" w:ascii="Times New Roman" w:eastAsia="宋体"/>
                <w:bCs/>
                <w:color w:val="auto"/>
                <w:sz w:val="21"/>
                <w:szCs w:val="21"/>
                <w:lang w:val="en-US" w:eastAsia="zh-CN"/>
              </w:rPr>
              <w:t>143</w:t>
            </w:r>
          </w:p>
        </w:tc>
        <w:tc>
          <w:tcPr>
            <w:tcW w:w="669" w:type="pct"/>
            <w:tcBorders>
              <w:tl2br w:val="nil"/>
              <w:tr2bl w:val="nil"/>
            </w:tcBorders>
            <w:vAlign w:val="center"/>
          </w:tcPr>
          <w:p>
            <w:pPr>
              <w:tabs>
                <w:tab w:val="left" w:pos="0"/>
              </w:tabs>
              <w:adjustRightInd w:val="0"/>
              <w:snapToGrid w:val="0"/>
              <w:spacing w:line="280" w:lineRule="exact"/>
              <w:jc w:val="center"/>
              <w:rPr>
                <w:rFonts w:hint="default" w:ascii="Times New Roman" w:eastAsia="宋体"/>
                <w:bCs/>
                <w:color w:val="auto"/>
                <w:sz w:val="21"/>
                <w:szCs w:val="21"/>
                <w:lang w:val="en-US" w:eastAsia="zh-CN"/>
              </w:rPr>
            </w:pPr>
            <w:r>
              <w:rPr>
                <w:rFonts w:ascii="Times New Roman" w:eastAsia="宋体"/>
                <w:bCs/>
                <w:color w:val="auto"/>
                <w:sz w:val="21"/>
                <w:szCs w:val="21"/>
              </w:rPr>
              <w:t>0.0</w:t>
            </w:r>
            <w:r>
              <w:rPr>
                <w:rFonts w:hint="eastAsia" w:ascii="Times New Roman" w:eastAsia="宋体"/>
                <w:bCs/>
                <w:color w:val="auto"/>
                <w:sz w:val="21"/>
                <w:szCs w:val="21"/>
                <w:lang w:val="en-US" w:eastAsia="zh-CN"/>
              </w:rPr>
              <w:t>083</w:t>
            </w:r>
          </w:p>
        </w:tc>
        <w:tc>
          <w:tcPr>
            <w:tcW w:w="577" w:type="pct"/>
            <w:vMerge w:val="continue"/>
            <w:tcBorders>
              <w:tl2br w:val="nil"/>
              <w:tr2bl w:val="nil"/>
            </w:tcBorders>
            <w:vAlign w:val="center"/>
          </w:tcPr>
          <w:p>
            <w:pPr>
              <w:tabs>
                <w:tab w:val="left" w:pos="0"/>
              </w:tabs>
              <w:adjustRightInd w:val="0"/>
              <w:snapToGrid w:val="0"/>
              <w:spacing w:line="280" w:lineRule="exact"/>
              <w:jc w:val="center"/>
              <w:rPr>
                <w:rFonts w:ascii="Times New Roman" w:eastAsia="宋体"/>
                <w:bCs/>
                <w:color w:val="auto"/>
                <w:sz w:val="21"/>
                <w:szCs w:val="21"/>
              </w:rPr>
            </w:pPr>
          </w:p>
        </w:tc>
      </w:tr>
    </w:tbl>
    <w:p>
      <w:pPr>
        <w:spacing w:line="360" w:lineRule="auto"/>
        <w:ind w:firstLine="496" w:firstLineChars="200"/>
        <w:rPr>
          <w:rFonts w:ascii="Times New Roman" w:eastAsia="宋体"/>
          <w:color w:val="auto"/>
        </w:rPr>
      </w:pPr>
      <w:r>
        <w:rPr>
          <w:rFonts w:ascii="Times New Roman" w:eastAsia="宋体"/>
          <w:color w:val="auto"/>
        </w:rPr>
        <w:t>B.</w:t>
      </w:r>
      <w:r>
        <w:rPr>
          <w:rFonts w:hint="eastAsia" w:ascii="Times New Roman" w:eastAsia="宋体"/>
          <w:color w:val="auto"/>
        </w:rPr>
        <w:t>污水沉淀池</w:t>
      </w:r>
      <w:r>
        <w:rPr>
          <w:rFonts w:ascii="Times New Roman" w:eastAsia="宋体"/>
          <w:color w:val="auto"/>
        </w:rPr>
        <w:t>恶臭</w:t>
      </w:r>
      <w:r>
        <w:rPr>
          <w:rFonts w:hint="eastAsia" w:ascii="Times New Roman" w:eastAsia="宋体"/>
          <w:color w:val="auto"/>
        </w:rPr>
        <w:t xml:space="preserve"> </w:t>
      </w:r>
    </w:p>
    <w:p>
      <w:pPr>
        <w:spacing w:line="360" w:lineRule="auto"/>
        <w:ind w:firstLine="496" w:firstLineChars="200"/>
        <w:rPr>
          <w:rFonts w:ascii="Times New Roman" w:eastAsia="宋体"/>
          <w:color w:val="auto"/>
        </w:rPr>
      </w:pPr>
      <w:r>
        <w:rPr>
          <w:rFonts w:hint="eastAsia" w:ascii="Times New Roman" w:eastAsia="宋体"/>
          <w:color w:val="auto"/>
        </w:rPr>
        <w:t>本项目鸡舍冲洗废水、除臭水帘废水和生活污水均排入污水沉淀池，恶臭主要来源于粪便中有机质、磷、氮等，粪便腐败分解出的恶臭成分，污水沉淀池建设成地埋式，加盖密闭，防止雨水进入、降低臭气散逸。根据《畜禽场环境评价》(刘国成主编，中国标准出版社)和《农业污染源产排污系数手册》(2009年2月，中国农业科学院农业环境与可持续发展研究所和环境保护部南京环境科学研究所编写)中的数据</w:t>
      </w:r>
      <w:r>
        <w:rPr>
          <w:rFonts w:ascii="Times New Roman" w:eastAsia="宋体"/>
          <w:color w:val="auto"/>
        </w:rPr>
        <w:t>，</w:t>
      </w:r>
      <w:r>
        <w:rPr>
          <w:rFonts w:hint="eastAsia" w:ascii="Times New Roman" w:eastAsia="宋体"/>
          <w:color w:val="auto"/>
        </w:rPr>
        <w:t>污水沉淀池</w:t>
      </w:r>
      <w:r>
        <w:rPr>
          <w:rFonts w:ascii="Times New Roman" w:eastAsia="宋体"/>
          <w:color w:val="auto"/>
        </w:rPr>
        <w:t>NH</w:t>
      </w:r>
      <w:r>
        <w:rPr>
          <w:rFonts w:ascii="Times New Roman" w:eastAsia="宋体"/>
          <w:color w:val="auto"/>
          <w:vertAlign w:val="subscript"/>
        </w:rPr>
        <w:t>3</w:t>
      </w:r>
      <w:r>
        <w:rPr>
          <w:rFonts w:ascii="Times New Roman" w:eastAsia="宋体"/>
          <w:color w:val="auto"/>
        </w:rPr>
        <w:t>和H</w:t>
      </w:r>
      <w:r>
        <w:rPr>
          <w:rFonts w:ascii="Times New Roman" w:eastAsia="宋体"/>
          <w:color w:val="auto"/>
          <w:vertAlign w:val="subscript"/>
        </w:rPr>
        <w:t>2</w:t>
      </w:r>
      <w:r>
        <w:rPr>
          <w:rFonts w:ascii="Times New Roman" w:eastAsia="宋体"/>
          <w:color w:val="auto"/>
        </w:rPr>
        <w:t>S的产生速率分别按0.008kg/h和0.0005kg/h计算，则本项目</w:t>
      </w:r>
      <w:r>
        <w:rPr>
          <w:rFonts w:hint="eastAsia" w:ascii="Times New Roman" w:eastAsia="宋体"/>
          <w:color w:val="auto"/>
        </w:rPr>
        <w:t>污水沉淀池</w:t>
      </w:r>
      <w:r>
        <w:rPr>
          <w:rFonts w:ascii="Times New Roman" w:eastAsia="宋体"/>
          <w:color w:val="auto"/>
        </w:rPr>
        <w:t>NH</w:t>
      </w:r>
      <w:r>
        <w:rPr>
          <w:rFonts w:ascii="Times New Roman" w:eastAsia="宋体"/>
          <w:color w:val="auto"/>
          <w:vertAlign w:val="subscript"/>
        </w:rPr>
        <w:t>3</w:t>
      </w:r>
      <w:r>
        <w:rPr>
          <w:rFonts w:ascii="Times New Roman" w:eastAsia="宋体"/>
          <w:color w:val="auto"/>
        </w:rPr>
        <w:t>和H</w:t>
      </w:r>
      <w:r>
        <w:rPr>
          <w:rFonts w:ascii="Times New Roman" w:eastAsia="宋体"/>
          <w:color w:val="auto"/>
          <w:vertAlign w:val="subscript"/>
        </w:rPr>
        <w:t>2</w:t>
      </w:r>
      <w:r>
        <w:rPr>
          <w:rFonts w:ascii="Times New Roman" w:eastAsia="宋体"/>
          <w:color w:val="auto"/>
        </w:rPr>
        <w:t>S年产生量分别为0.0</w:t>
      </w:r>
      <w:r>
        <w:rPr>
          <w:rFonts w:hint="eastAsia" w:ascii="Times New Roman" w:eastAsia="宋体"/>
          <w:color w:val="auto"/>
        </w:rPr>
        <w:t>614</w:t>
      </w:r>
      <w:r>
        <w:rPr>
          <w:rFonts w:ascii="Times New Roman" w:eastAsia="宋体"/>
          <w:color w:val="auto"/>
        </w:rPr>
        <w:t>t/a和0.00</w:t>
      </w:r>
      <w:r>
        <w:rPr>
          <w:rFonts w:hint="eastAsia" w:ascii="Times New Roman" w:eastAsia="宋体"/>
          <w:color w:val="auto"/>
        </w:rPr>
        <w:t>38</w:t>
      </w:r>
      <w:r>
        <w:rPr>
          <w:rFonts w:ascii="Times New Roman" w:eastAsia="宋体"/>
          <w:color w:val="auto"/>
        </w:rPr>
        <w:t>t/a。本项目拟</w:t>
      </w:r>
      <w:r>
        <w:rPr>
          <w:rFonts w:hint="eastAsia" w:ascii="Times New Roman" w:eastAsia="宋体"/>
          <w:color w:val="auto"/>
        </w:rPr>
        <w:t>对污水沉淀池定期喷洒生物除臭剂，加盖密闭，</w:t>
      </w:r>
      <w:r>
        <w:rPr>
          <w:rFonts w:ascii="Times New Roman" w:eastAsia="宋体"/>
          <w:color w:val="auto"/>
        </w:rPr>
        <w:t>根据《生物活菌除臭剂改善蛋鸡舍环境效果的研究》（2010 年家畜环境与生态学术研讨会论文集）研究结果表明通过喷洒除臭剂的使用可使</w:t>
      </w:r>
      <w:r>
        <w:rPr>
          <w:rFonts w:hint="eastAsia" w:ascii="Times New Roman" w:eastAsia="宋体"/>
          <w:color w:val="auto"/>
          <w:lang w:val="en-US" w:eastAsia="zh-CN"/>
        </w:rPr>
        <w:t>鸡粪中</w:t>
      </w:r>
      <w:r>
        <w:rPr>
          <w:rFonts w:hint="eastAsia" w:ascii="Times New Roman" w:eastAsia="宋体"/>
          <w:color w:val="auto"/>
        </w:rPr>
        <w:t>NH</w:t>
      </w:r>
      <w:r>
        <w:rPr>
          <w:rFonts w:hint="eastAsia" w:ascii="Times New Roman" w:eastAsia="宋体"/>
          <w:color w:val="auto"/>
          <w:vertAlign w:val="subscript"/>
        </w:rPr>
        <w:t>3</w:t>
      </w:r>
      <w:r>
        <w:rPr>
          <w:rFonts w:hint="eastAsia" w:ascii="Times New Roman" w:eastAsia="宋体"/>
          <w:color w:val="auto"/>
        </w:rPr>
        <w:t>及 H</w:t>
      </w:r>
      <w:r>
        <w:rPr>
          <w:rFonts w:hint="eastAsia" w:ascii="Times New Roman" w:eastAsia="宋体"/>
          <w:color w:val="auto"/>
          <w:vertAlign w:val="subscript"/>
        </w:rPr>
        <w:t>2</w:t>
      </w:r>
      <w:r>
        <w:rPr>
          <w:rFonts w:hint="eastAsia" w:ascii="Times New Roman" w:eastAsia="宋体"/>
          <w:color w:val="auto"/>
        </w:rPr>
        <w:t>S</w:t>
      </w:r>
      <w:r>
        <w:rPr>
          <w:rFonts w:ascii="Times New Roman" w:eastAsia="宋体"/>
          <w:color w:val="auto"/>
        </w:rPr>
        <w:t>平均降解7</w:t>
      </w:r>
      <w:r>
        <w:rPr>
          <w:rFonts w:hint="eastAsia" w:ascii="Times New Roman" w:eastAsia="宋体"/>
          <w:color w:val="auto"/>
          <w:lang w:val="en-US" w:eastAsia="zh-CN"/>
        </w:rPr>
        <w:t>5</w:t>
      </w:r>
      <w:r>
        <w:rPr>
          <w:rFonts w:ascii="Times New Roman" w:eastAsia="宋体"/>
          <w:color w:val="auto"/>
        </w:rPr>
        <w:t>.</w:t>
      </w:r>
      <w:r>
        <w:rPr>
          <w:rFonts w:hint="eastAsia" w:ascii="Times New Roman" w:eastAsia="宋体"/>
          <w:color w:val="auto"/>
          <w:lang w:val="en-US" w:eastAsia="zh-CN"/>
        </w:rPr>
        <w:t>7</w:t>
      </w:r>
      <w:r>
        <w:rPr>
          <w:rFonts w:ascii="Times New Roman" w:eastAsia="宋体"/>
          <w:color w:val="auto"/>
        </w:rPr>
        <w:t>%和</w:t>
      </w:r>
      <w:r>
        <w:rPr>
          <w:rFonts w:hint="eastAsia" w:ascii="Times New Roman" w:eastAsia="宋体"/>
          <w:color w:val="auto"/>
          <w:lang w:val="en-US" w:eastAsia="zh-CN"/>
        </w:rPr>
        <w:t>69.8</w:t>
      </w:r>
      <w:r>
        <w:rPr>
          <w:rFonts w:ascii="Times New Roman" w:eastAsia="宋体"/>
          <w:color w:val="auto"/>
        </w:rPr>
        <w:t>%</w:t>
      </w:r>
      <w:r>
        <w:rPr>
          <w:rFonts w:hint="eastAsia" w:ascii="Times New Roman" w:eastAsia="宋体"/>
          <w:color w:val="auto"/>
          <w:lang w:eastAsia="zh-CN"/>
        </w:rPr>
        <w:t>，</w:t>
      </w:r>
      <w:r>
        <w:rPr>
          <w:rFonts w:hint="eastAsia" w:ascii="Times New Roman" w:eastAsia="宋体"/>
          <w:color w:val="auto"/>
        </w:rPr>
        <w:t>除臭效率</w:t>
      </w:r>
      <w:r>
        <w:rPr>
          <w:rFonts w:hint="eastAsia" w:ascii="Times New Roman" w:eastAsia="宋体"/>
          <w:color w:val="auto"/>
          <w:lang w:val="en-US" w:eastAsia="zh-CN"/>
        </w:rPr>
        <w:t>保守分别</w:t>
      </w:r>
      <w:r>
        <w:rPr>
          <w:rFonts w:hint="eastAsia" w:ascii="Times New Roman" w:eastAsia="宋体"/>
          <w:color w:val="auto"/>
        </w:rPr>
        <w:t>按照</w:t>
      </w:r>
      <w:r>
        <w:rPr>
          <w:rFonts w:hint="eastAsia" w:ascii="Times New Roman" w:eastAsia="宋体"/>
          <w:color w:val="auto"/>
          <w:lang w:val="en-US" w:eastAsia="zh-CN"/>
        </w:rPr>
        <w:t>70</w:t>
      </w:r>
      <w:r>
        <w:rPr>
          <w:rFonts w:hint="eastAsia" w:ascii="Times New Roman" w:eastAsia="宋体"/>
          <w:color w:val="auto"/>
        </w:rPr>
        <w:t>%</w:t>
      </w:r>
      <w:r>
        <w:rPr>
          <w:rFonts w:hint="eastAsia" w:ascii="Times New Roman" w:eastAsia="宋体"/>
          <w:color w:val="auto"/>
          <w:lang w:val="en-US" w:eastAsia="zh-CN"/>
        </w:rPr>
        <w:t>和65%</w:t>
      </w:r>
      <w:r>
        <w:rPr>
          <w:rFonts w:hint="eastAsia" w:ascii="Times New Roman" w:eastAsia="宋体"/>
          <w:color w:val="auto"/>
        </w:rPr>
        <w:t>计，则</w:t>
      </w:r>
      <w:r>
        <w:rPr>
          <w:rFonts w:ascii="Times New Roman" w:eastAsia="宋体"/>
          <w:color w:val="auto"/>
        </w:rPr>
        <w:t>NH</w:t>
      </w:r>
      <w:r>
        <w:rPr>
          <w:rFonts w:ascii="Times New Roman" w:eastAsia="宋体"/>
          <w:color w:val="auto"/>
          <w:vertAlign w:val="subscript"/>
        </w:rPr>
        <w:t>3</w:t>
      </w:r>
      <w:r>
        <w:rPr>
          <w:rFonts w:ascii="Times New Roman" w:eastAsia="宋体"/>
          <w:color w:val="auto"/>
        </w:rPr>
        <w:t>和H</w:t>
      </w:r>
      <w:r>
        <w:rPr>
          <w:rFonts w:ascii="Times New Roman" w:eastAsia="宋体"/>
          <w:color w:val="auto"/>
          <w:vertAlign w:val="subscript"/>
        </w:rPr>
        <w:t>2</w:t>
      </w:r>
      <w:r>
        <w:rPr>
          <w:rFonts w:ascii="Times New Roman" w:eastAsia="宋体"/>
          <w:color w:val="auto"/>
        </w:rPr>
        <w:t>S年</w:t>
      </w:r>
      <w:r>
        <w:rPr>
          <w:rFonts w:hint="eastAsia" w:ascii="Times New Roman" w:eastAsia="宋体"/>
          <w:color w:val="auto"/>
        </w:rPr>
        <w:t>排放</w:t>
      </w:r>
      <w:r>
        <w:rPr>
          <w:rFonts w:ascii="Times New Roman" w:eastAsia="宋体"/>
          <w:color w:val="auto"/>
        </w:rPr>
        <w:t>量分别为0.0</w:t>
      </w:r>
      <w:r>
        <w:rPr>
          <w:rFonts w:hint="eastAsia" w:ascii="Times New Roman" w:eastAsia="宋体"/>
          <w:color w:val="auto"/>
        </w:rPr>
        <w:t>1</w:t>
      </w:r>
      <w:r>
        <w:rPr>
          <w:rFonts w:hint="eastAsia" w:ascii="Times New Roman" w:eastAsia="宋体"/>
          <w:color w:val="auto"/>
          <w:lang w:val="en-US" w:eastAsia="zh-CN"/>
        </w:rPr>
        <w:t>84</w:t>
      </w:r>
      <w:r>
        <w:rPr>
          <w:rFonts w:ascii="Times New Roman" w:eastAsia="宋体"/>
          <w:color w:val="auto"/>
        </w:rPr>
        <w:t>t/a和0.00</w:t>
      </w:r>
      <w:r>
        <w:rPr>
          <w:rFonts w:hint="eastAsia" w:ascii="Times New Roman" w:eastAsia="宋体"/>
          <w:color w:val="auto"/>
          <w:lang w:val="en-US" w:eastAsia="zh-CN"/>
        </w:rPr>
        <w:t>133</w:t>
      </w:r>
      <w:r>
        <w:rPr>
          <w:rFonts w:ascii="Times New Roman" w:eastAsia="宋体"/>
          <w:color w:val="auto"/>
        </w:rPr>
        <w:t>t/a</w:t>
      </w:r>
      <w:r>
        <w:rPr>
          <w:rFonts w:hint="eastAsia" w:ascii="Times New Roman" w:eastAsia="宋体"/>
          <w:color w:val="auto"/>
        </w:rPr>
        <w:t>，以无组织形式排放到大气中</w:t>
      </w:r>
      <w:r>
        <w:rPr>
          <w:rFonts w:ascii="Times New Roman" w:eastAsia="宋体"/>
          <w:color w:val="auto"/>
        </w:rPr>
        <w:t>。</w:t>
      </w:r>
    </w:p>
    <w:p>
      <w:pPr>
        <w:widowControl/>
        <w:jc w:val="center"/>
        <w:rPr>
          <w:rFonts w:ascii="Times New Roman" w:eastAsia="宋体"/>
          <w:b/>
          <w:color w:val="auto"/>
          <w:sz w:val="21"/>
          <w:szCs w:val="21"/>
        </w:rPr>
      </w:pPr>
      <w:r>
        <w:rPr>
          <w:rFonts w:hint="eastAsia" w:ascii="Times New Roman" w:eastAsia="宋体"/>
          <w:b/>
          <w:color w:val="auto"/>
          <w:sz w:val="21"/>
          <w:szCs w:val="21"/>
        </w:rPr>
        <w:t>表3.3-</w:t>
      </w:r>
      <w:r>
        <w:rPr>
          <w:rFonts w:hint="eastAsia" w:ascii="Times New Roman" w:eastAsia="宋体"/>
          <w:b/>
          <w:color w:val="auto"/>
          <w:sz w:val="21"/>
          <w:szCs w:val="21"/>
          <w:lang w:val="en-US" w:eastAsia="zh-CN"/>
        </w:rPr>
        <w:t>4</w:t>
      </w:r>
      <w:r>
        <w:rPr>
          <w:rFonts w:hint="eastAsia" w:ascii="Times New Roman" w:eastAsia="宋体"/>
          <w:b/>
          <w:color w:val="auto"/>
          <w:sz w:val="21"/>
          <w:szCs w:val="21"/>
        </w:rPr>
        <w:t xml:space="preserve"> 污水沉淀池恶臭污染物产生、排放量一览表</w:t>
      </w:r>
    </w:p>
    <w:tbl>
      <w:tblPr>
        <w:tblStyle w:val="4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1377"/>
        <w:gridCol w:w="1145"/>
        <w:gridCol w:w="1036"/>
        <w:gridCol w:w="1718"/>
        <w:gridCol w:w="1309"/>
        <w:gridCol w:w="10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526" w:type="pct"/>
            <w:tcBorders>
              <w:left w:val="single" w:color="auto" w:sz="12" w:space="0"/>
            </w:tcBorders>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位置</w:t>
            </w:r>
          </w:p>
        </w:tc>
        <w:tc>
          <w:tcPr>
            <w:tcW w:w="808" w:type="pct"/>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污染物名称</w:t>
            </w:r>
          </w:p>
        </w:tc>
        <w:tc>
          <w:tcPr>
            <w:tcW w:w="672" w:type="pct"/>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产生速率（kg/h）</w:t>
            </w:r>
          </w:p>
        </w:tc>
        <w:tc>
          <w:tcPr>
            <w:tcW w:w="608" w:type="pct"/>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产生量（t/a）</w:t>
            </w:r>
          </w:p>
        </w:tc>
        <w:tc>
          <w:tcPr>
            <w:tcW w:w="1008" w:type="pct"/>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治理设施及处理效率</w:t>
            </w:r>
          </w:p>
        </w:tc>
        <w:tc>
          <w:tcPr>
            <w:tcW w:w="768" w:type="pct"/>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排放速率（kg/h）</w:t>
            </w:r>
          </w:p>
        </w:tc>
        <w:tc>
          <w:tcPr>
            <w:tcW w:w="606" w:type="pct"/>
            <w:tcBorders>
              <w:right w:val="single" w:color="auto" w:sz="12" w:space="0"/>
            </w:tcBorders>
            <w:vAlign w:val="center"/>
          </w:tcPr>
          <w:p>
            <w:pPr>
              <w:tabs>
                <w:tab w:val="left" w:pos="0"/>
              </w:tabs>
              <w:adjustRightInd w:val="0"/>
              <w:snapToGrid w:val="0"/>
              <w:spacing w:line="280" w:lineRule="exact"/>
              <w:jc w:val="center"/>
              <w:rPr>
                <w:rFonts w:ascii="Times New Roman" w:eastAsia="宋体"/>
                <w:b/>
                <w:color w:val="auto"/>
                <w:sz w:val="21"/>
                <w:szCs w:val="16"/>
              </w:rPr>
            </w:pPr>
            <w:r>
              <w:rPr>
                <w:rFonts w:ascii="Times New Roman" w:eastAsia="宋体"/>
                <w:b/>
                <w:color w:val="auto"/>
                <w:sz w:val="21"/>
                <w:szCs w:val="16"/>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526" w:type="pct"/>
            <w:vMerge w:val="restart"/>
            <w:tcBorders>
              <w:left w:val="single" w:color="auto" w:sz="12" w:space="0"/>
            </w:tcBorders>
            <w:vAlign w:val="center"/>
          </w:tcPr>
          <w:p>
            <w:pPr>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污水沉淀池</w:t>
            </w:r>
          </w:p>
        </w:tc>
        <w:tc>
          <w:tcPr>
            <w:tcW w:w="808" w:type="pct"/>
            <w:vAlign w:val="center"/>
          </w:tcPr>
          <w:p>
            <w:pPr>
              <w:adjustRightInd w:val="0"/>
              <w:snapToGrid w:val="0"/>
              <w:spacing w:line="280" w:lineRule="exact"/>
              <w:jc w:val="center"/>
              <w:rPr>
                <w:rFonts w:ascii="Times New Roman" w:eastAsia="宋体"/>
                <w:bCs/>
                <w:color w:val="auto"/>
                <w:sz w:val="21"/>
                <w:szCs w:val="16"/>
              </w:rPr>
            </w:pPr>
            <w:r>
              <w:rPr>
                <w:rFonts w:ascii="Times New Roman" w:eastAsia="宋体"/>
                <w:bCs/>
                <w:color w:val="auto"/>
                <w:sz w:val="21"/>
                <w:szCs w:val="16"/>
              </w:rPr>
              <w:t>NH</w:t>
            </w:r>
            <w:r>
              <w:rPr>
                <w:rFonts w:ascii="Times New Roman" w:eastAsia="宋体"/>
                <w:bCs/>
                <w:color w:val="auto"/>
                <w:sz w:val="21"/>
                <w:szCs w:val="16"/>
                <w:vertAlign w:val="subscript"/>
              </w:rPr>
              <w:t>3</w:t>
            </w:r>
          </w:p>
        </w:tc>
        <w:tc>
          <w:tcPr>
            <w:tcW w:w="672" w:type="pct"/>
            <w:vAlign w:val="center"/>
          </w:tcPr>
          <w:p>
            <w:pPr>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0.008</w:t>
            </w:r>
          </w:p>
        </w:tc>
        <w:tc>
          <w:tcPr>
            <w:tcW w:w="608" w:type="pct"/>
            <w:vAlign w:val="center"/>
          </w:tcPr>
          <w:p>
            <w:pPr>
              <w:adjustRightInd w:val="0"/>
              <w:snapToGrid w:val="0"/>
              <w:spacing w:line="280" w:lineRule="exact"/>
              <w:jc w:val="center"/>
              <w:rPr>
                <w:rFonts w:ascii="Times New Roman" w:eastAsia="宋体"/>
                <w:color w:val="auto"/>
                <w:sz w:val="21"/>
                <w:szCs w:val="16"/>
              </w:rPr>
            </w:pPr>
            <w:r>
              <w:rPr>
                <w:rFonts w:ascii="Times New Roman" w:eastAsia="宋体"/>
                <w:color w:val="auto"/>
                <w:sz w:val="21"/>
                <w:szCs w:val="16"/>
              </w:rPr>
              <w:t>0.0</w:t>
            </w:r>
            <w:r>
              <w:rPr>
                <w:rFonts w:hint="eastAsia" w:ascii="Times New Roman" w:eastAsia="宋体"/>
                <w:color w:val="auto"/>
                <w:sz w:val="21"/>
                <w:szCs w:val="16"/>
              </w:rPr>
              <w:t>614</w:t>
            </w:r>
          </w:p>
        </w:tc>
        <w:tc>
          <w:tcPr>
            <w:tcW w:w="1008" w:type="pct"/>
            <w:vAlign w:val="center"/>
          </w:tcPr>
          <w:p>
            <w:pPr>
              <w:adjustRightInd w:val="0"/>
              <w:snapToGrid w:val="0"/>
              <w:spacing w:line="280" w:lineRule="exact"/>
              <w:jc w:val="center"/>
              <w:rPr>
                <w:rFonts w:hint="default" w:ascii="Times New Roman" w:eastAsia="宋体"/>
                <w:color w:val="auto"/>
                <w:sz w:val="21"/>
                <w:szCs w:val="16"/>
                <w:lang w:val="en-US" w:eastAsia="zh-CN"/>
              </w:rPr>
            </w:pPr>
            <w:r>
              <w:rPr>
                <w:rFonts w:hint="eastAsia" w:ascii="Times New Roman" w:eastAsia="宋体"/>
                <w:color w:val="auto"/>
                <w:sz w:val="21"/>
                <w:szCs w:val="16"/>
                <w:lang w:val="en-US" w:eastAsia="zh-CN"/>
              </w:rPr>
              <w:t>70%</w:t>
            </w:r>
          </w:p>
        </w:tc>
        <w:tc>
          <w:tcPr>
            <w:tcW w:w="768" w:type="pct"/>
            <w:vAlign w:val="center"/>
          </w:tcPr>
          <w:p>
            <w:pPr>
              <w:adjustRightInd w:val="0"/>
              <w:snapToGrid w:val="0"/>
              <w:spacing w:line="280" w:lineRule="exact"/>
              <w:jc w:val="center"/>
              <w:rPr>
                <w:rFonts w:hint="default" w:ascii="Times New Roman" w:eastAsia="宋体"/>
                <w:bCs/>
                <w:color w:val="auto"/>
                <w:sz w:val="21"/>
                <w:szCs w:val="16"/>
                <w:lang w:val="en-US" w:eastAsia="zh-CN"/>
              </w:rPr>
            </w:pPr>
            <w:r>
              <w:rPr>
                <w:rFonts w:hint="eastAsia" w:ascii="Times New Roman" w:eastAsia="宋体"/>
                <w:bCs/>
                <w:color w:val="auto"/>
                <w:sz w:val="21"/>
                <w:szCs w:val="16"/>
              </w:rPr>
              <w:t>0.00</w:t>
            </w:r>
            <w:r>
              <w:rPr>
                <w:rFonts w:hint="eastAsia" w:ascii="Times New Roman" w:eastAsia="宋体"/>
                <w:bCs/>
                <w:color w:val="auto"/>
                <w:sz w:val="21"/>
                <w:szCs w:val="16"/>
                <w:lang w:val="en-US" w:eastAsia="zh-CN"/>
              </w:rPr>
              <w:t>24</w:t>
            </w:r>
          </w:p>
        </w:tc>
        <w:tc>
          <w:tcPr>
            <w:tcW w:w="606" w:type="pct"/>
            <w:tcBorders>
              <w:right w:val="single" w:color="auto" w:sz="12" w:space="0"/>
            </w:tcBorders>
            <w:vAlign w:val="center"/>
          </w:tcPr>
          <w:p>
            <w:pPr>
              <w:adjustRightInd w:val="0"/>
              <w:snapToGrid w:val="0"/>
              <w:spacing w:line="280" w:lineRule="exact"/>
              <w:jc w:val="center"/>
              <w:rPr>
                <w:rFonts w:hint="default" w:ascii="Times New Roman" w:eastAsia="宋体"/>
                <w:bCs/>
                <w:color w:val="auto"/>
                <w:sz w:val="21"/>
                <w:szCs w:val="16"/>
                <w:lang w:val="en-US" w:eastAsia="zh-CN"/>
              </w:rPr>
            </w:pPr>
            <w:r>
              <w:rPr>
                <w:rFonts w:ascii="Times New Roman" w:eastAsia="宋体"/>
                <w:bCs/>
                <w:color w:val="auto"/>
                <w:sz w:val="21"/>
                <w:szCs w:val="16"/>
              </w:rPr>
              <w:t>0.0</w:t>
            </w:r>
            <w:r>
              <w:rPr>
                <w:rFonts w:hint="eastAsia" w:ascii="Times New Roman" w:eastAsia="宋体"/>
                <w:bCs/>
                <w:color w:val="auto"/>
                <w:sz w:val="21"/>
                <w:szCs w:val="16"/>
              </w:rPr>
              <w:t>1</w:t>
            </w:r>
            <w:r>
              <w:rPr>
                <w:rFonts w:hint="eastAsia" w:ascii="Times New Roman" w:eastAsia="宋体"/>
                <w:bCs/>
                <w:color w:val="auto"/>
                <w:sz w:val="21"/>
                <w:szCs w:val="16"/>
                <w:lang w:val="en-US" w:eastAsia="zh-CN"/>
              </w:rPr>
              <w:t>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26" w:type="pct"/>
            <w:vMerge w:val="continue"/>
            <w:tcBorders>
              <w:left w:val="single" w:color="auto" w:sz="12" w:space="0"/>
            </w:tcBorders>
            <w:vAlign w:val="center"/>
          </w:tcPr>
          <w:p>
            <w:pPr>
              <w:adjustRightInd w:val="0"/>
              <w:snapToGrid w:val="0"/>
              <w:spacing w:line="280" w:lineRule="exact"/>
              <w:jc w:val="center"/>
              <w:rPr>
                <w:rFonts w:ascii="Times New Roman" w:eastAsia="宋体"/>
                <w:bCs/>
                <w:color w:val="auto"/>
                <w:sz w:val="21"/>
                <w:szCs w:val="16"/>
              </w:rPr>
            </w:pPr>
          </w:p>
        </w:tc>
        <w:tc>
          <w:tcPr>
            <w:tcW w:w="808" w:type="pct"/>
            <w:vAlign w:val="center"/>
          </w:tcPr>
          <w:p>
            <w:pPr>
              <w:adjustRightInd w:val="0"/>
              <w:snapToGrid w:val="0"/>
              <w:spacing w:line="280" w:lineRule="exact"/>
              <w:jc w:val="center"/>
              <w:rPr>
                <w:rFonts w:ascii="Times New Roman" w:eastAsia="宋体"/>
                <w:bCs/>
                <w:color w:val="auto"/>
                <w:sz w:val="21"/>
                <w:szCs w:val="16"/>
              </w:rPr>
            </w:pPr>
            <w:r>
              <w:rPr>
                <w:rFonts w:ascii="Times New Roman" w:eastAsia="宋体"/>
                <w:bCs/>
                <w:color w:val="auto"/>
                <w:sz w:val="21"/>
                <w:szCs w:val="16"/>
              </w:rPr>
              <w:t>H</w:t>
            </w:r>
            <w:r>
              <w:rPr>
                <w:rFonts w:ascii="Times New Roman" w:eastAsia="宋体"/>
                <w:bCs/>
                <w:color w:val="auto"/>
                <w:sz w:val="21"/>
                <w:szCs w:val="16"/>
                <w:vertAlign w:val="subscript"/>
              </w:rPr>
              <w:t>2</w:t>
            </w:r>
            <w:r>
              <w:rPr>
                <w:rFonts w:ascii="Times New Roman" w:eastAsia="宋体"/>
                <w:bCs/>
                <w:color w:val="auto"/>
                <w:sz w:val="21"/>
                <w:szCs w:val="16"/>
              </w:rPr>
              <w:t>S</w:t>
            </w:r>
          </w:p>
        </w:tc>
        <w:tc>
          <w:tcPr>
            <w:tcW w:w="672" w:type="pct"/>
            <w:vAlign w:val="center"/>
          </w:tcPr>
          <w:p>
            <w:pPr>
              <w:adjustRightInd w:val="0"/>
              <w:snapToGrid w:val="0"/>
              <w:spacing w:line="280" w:lineRule="exact"/>
              <w:jc w:val="center"/>
              <w:rPr>
                <w:rFonts w:ascii="Times New Roman" w:eastAsia="宋体"/>
                <w:bCs/>
                <w:color w:val="auto"/>
                <w:sz w:val="21"/>
                <w:szCs w:val="16"/>
              </w:rPr>
            </w:pPr>
            <w:r>
              <w:rPr>
                <w:rFonts w:hint="eastAsia" w:ascii="Times New Roman" w:eastAsia="宋体"/>
                <w:bCs/>
                <w:color w:val="auto"/>
                <w:sz w:val="21"/>
                <w:szCs w:val="16"/>
              </w:rPr>
              <w:t>0.0005</w:t>
            </w:r>
          </w:p>
        </w:tc>
        <w:tc>
          <w:tcPr>
            <w:tcW w:w="608" w:type="pct"/>
            <w:vAlign w:val="center"/>
          </w:tcPr>
          <w:p>
            <w:pPr>
              <w:adjustRightInd w:val="0"/>
              <w:snapToGrid w:val="0"/>
              <w:spacing w:line="280" w:lineRule="exact"/>
              <w:jc w:val="center"/>
              <w:rPr>
                <w:rFonts w:ascii="Times New Roman" w:eastAsia="宋体"/>
                <w:color w:val="auto"/>
                <w:sz w:val="21"/>
                <w:szCs w:val="16"/>
              </w:rPr>
            </w:pPr>
            <w:r>
              <w:rPr>
                <w:rFonts w:ascii="Times New Roman" w:eastAsia="宋体"/>
                <w:color w:val="auto"/>
                <w:sz w:val="21"/>
                <w:szCs w:val="16"/>
              </w:rPr>
              <w:t>0.00</w:t>
            </w:r>
            <w:r>
              <w:rPr>
                <w:rFonts w:hint="eastAsia" w:ascii="Times New Roman" w:eastAsia="宋体"/>
                <w:color w:val="auto"/>
                <w:sz w:val="21"/>
                <w:szCs w:val="16"/>
              </w:rPr>
              <w:t>38</w:t>
            </w:r>
          </w:p>
        </w:tc>
        <w:tc>
          <w:tcPr>
            <w:tcW w:w="1008" w:type="pct"/>
            <w:vAlign w:val="center"/>
          </w:tcPr>
          <w:p>
            <w:pPr>
              <w:adjustRightInd w:val="0"/>
              <w:snapToGrid w:val="0"/>
              <w:spacing w:line="280" w:lineRule="exact"/>
              <w:jc w:val="center"/>
              <w:rPr>
                <w:rFonts w:hint="default" w:ascii="Times New Roman" w:eastAsia="宋体"/>
                <w:color w:val="auto"/>
                <w:sz w:val="21"/>
                <w:szCs w:val="16"/>
                <w:lang w:val="en-US" w:eastAsia="zh-CN"/>
              </w:rPr>
            </w:pPr>
            <w:r>
              <w:rPr>
                <w:rFonts w:hint="eastAsia" w:ascii="Times New Roman" w:eastAsia="宋体"/>
                <w:color w:val="auto"/>
                <w:sz w:val="21"/>
                <w:szCs w:val="16"/>
                <w:lang w:val="en-US" w:eastAsia="zh-CN"/>
              </w:rPr>
              <w:t>65%</w:t>
            </w:r>
          </w:p>
        </w:tc>
        <w:tc>
          <w:tcPr>
            <w:tcW w:w="768" w:type="pct"/>
            <w:vAlign w:val="center"/>
          </w:tcPr>
          <w:p>
            <w:pPr>
              <w:adjustRightInd w:val="0"/>
              <w:snapToGrid w:val="0"/>
              <w:spacing w:line="280" w:lineRule="exact"/>
              <w:jc w:val="center"/>
              <w:rPr>
                <w:rFonts w:hint="eastAsia" w:ascii="Times New Roman" w:eastAsia="宋体"/>
                <w:bCs/>
                <w:color w:val="auto"/>
                <w:sz w:val="21"/>
                <w:szCs w:val="16"/>
                <w:lang w:eastAsia="zh-CN"/>
              </w:rPr>
            </w:pPr>
            <w:r>
              <w:rPr>
                <w:rFonts w:hint="eastAsia" w:ascii="Times New Roman" w:eastAsia="宋体"/>
                <w:bCs/>
                <w:color w:val="auto"/>
                <w:sz w:val="21"/>
                <w:szCs w:val="16"/>
              </w:rPr>
              <w:t>0.000</w:t>
            </w:r>
            <w:r>
              <w:rPr>
                <w:rFonts w:hint="eastAsia" w:ascii="Times New Roman" w:eastAsia="宋体"/>
                <w:bCs/>
                <w:color w:val="auto"/>
                <w:sz w:val="21"/>
                <w:szCs w:val="16"/>
                <w:lang w:val="en-US" w:eastAsia="zh-CN"/>
              </w:rPr>
              <w:t>2</w:t>
            </w:r>
          </w:p>
        </w:tc>
        <w:tc>
          <w:tcPr>
            <w:tcW w:w="606" w:type="pct"/>
            <w:tcBorders>
              <w:right w:val="single" w:color="auto" w:sz="12" w:space="0"/>
            </w:tcBorders>
            <w:vAlign w:val="center"/>
          </w:tcPr>
          <w:p>
            <w:pPr>
              <w:adjustRightInd w:val="0"/>
              <w:snapToGrid w:val="0"/>
              <w:spacing w:line="280" w:lineRule="exact"/>
              <w:jc w:val="center"/>
              <w:rPr>
                <w:rFonts w:hint="default" w:ascii="Times New Roman" w:eastAsia="宋体"/>
                <w:bCs/>
                <w:color w:val="auto"/>
                <w:sz w:val="21"/>
                <w:szCs w:val="16"/>
                <w:lang w:val="en-US" w:eastAsia="zh-CN"/>
              </w:rPr>
            </w:pPr>
            <w:r>
              <w:rPr>
                <w:rFonts w:ascii="Times New Roman" w:eastAsia="宋体"/>
                <w:bCs/>
                <w:color w:val="auto"/>
                <w:sz w:val="21"/>
                <w:szCs w:val="16"/>
              </w:rPr>
              <w:t>0.00</w:t>
            </w:r>
            <w:r>
              <w:rPr>
                <w:rFonts w:hint="eastAsia" w:ascii="Times New Roman" w:eastAsia="宋体"/>
                <w:bCs/>
                <w:color w:val="auto"/>
                <w:sz w:val="21"/>
                <w:szCs w:val="16"/>
                <w:lang w:val="en-US" w:eastAsia="zh-CN"/>
              </w:rPr>
              <w:t>133</w:t>
            </w:r>
          </w:p>
        </w:tc>
      </w:tr>
    </w:tbl>
    <w:p>
      <w:pPr>
        <w:spacing w:line="360" w:lineRule="auto"/>
        <w:ind w:firstLine="496" w:firstLineChars="200"/>
        <w:rPr>
          <w:rFonts w:ascii="Times New Roman" w:eastAsia="宋体"/>
          <w:color w:val="auto"/>
        </w:rPr>
      </w:pPr>
      <w:r>
        <w:rPr>
          <w:rFonts w:ascii="Times New Roman" w:eastAsia="宋体"/>
          <w:color w:val="auto"/>
        </w:rPr>
        <w:t>②生物质成型燃料锅炉废气</w:t>
      </w:r>
    </w:p>
    <w:p>
      <w:pPr>
        <w:spacing w:line="360" w:lineRule="auto"/>
        <w:ind w:firstLine="496" w:firstLineChars="200"/>
        <w:rPr>
          <w:rFonts w:ascii="Times New Roman" w:eastAsia="宋体"/>
          <w:color w:val="auto"/>
        </w:rPr>
      </w:pPr>
      <w:r>
        <w:rPr>
          <w:rFonts w:ascii="Times New Roman" w:eastAsia="宋体"/>
          <w:color w:val="auto"/>
          <w:u w:val="single"/>
        </w:rPr>
        <w:t>本项目生产过程使用</w:t>
      </w:r>
      <w:r>
        <w:rPr>
          <w:rFonts w:hint="eastAsia" w:ascii="Times New Roman" w:eastAsia="宋体"/>
          <w:color w:val="auto"/>
          <w:u w:val="single"/>
        </w:rPr>
        <w:t>2</w:t>
      </w:r>
      <w:r>
        <w:rPr>
          <w:rFonts w:ascii="Times New Roman" w:eastAsia="宋体"/>
          <w:color w:val="auto"/>
          <w:u w:val="single"/>
        </w:rPr>
        <w:t>台</w:t>
      </w:r>
      <w:r>
        <w:rPr>
          <w:rFonts w:hint="eastAsia" w:ascii="Times New Roman" w:eastAsia="宋体"/>
          <w:color w:val="auto"/>
          <w:u w:val="single"/>
        </w:rPr>
        <w:t>1</w:t>
      </w:r>
      <w:r>
        <w:rPr>
          <w:rFonts w:ascii="Times New Roman" w:eastAsia="宋体"/>
          <w:color w:val="auto"/>
          <w:u w:val="single"/>
        </w:rPr>
        <w:t>t/h生物质锅炉用于</w:t>
      </w:r>
      <w:r>
        <w:rPr>
          <w:rFonts w:hint="eastAsia" w:ascii="Times New Roman" w:eastAsia="宋体"/>
          <w:color w:val="auto"/>
          <w:u w:val="single"/>
        </w:rPr>
        <w:t>鸡舍</w:t>
      </w:r>
      <w:r>
        <w:rPr>
          <w:rFonts w:ascii="Times New Roman" w:eastAsia="宋体"/>
          <w:color w:val="auto"/>
          <w:u w:val="single"/>
        </w:rPr>
        <w:t>取暖</w:t>
      </w:r>
      <w:r>
        <w:rPr>
          <w:rFonts w:hint="eastAsia" w:ascii="Times New Roman" w:eastAsia="宋体"/>
          <w:color w:val="auto"/>
          <w:u w:val="single"/>
        </w:rPr>
        <w:t>。各锅炉型号参数相同，</w:t>
      </w:r>
      <w:r>
        <w:rPr>
          <w:rFonts w:ascii="Times New Roman" w:eastAsia="宋体"/>
          <w:color w:val="auto"/>
          <w:u w:val="single"/>
        </w:rPr>
        <w:t>年运行约</w:t>
      </w:r>
      <w:r>
        <w:rPr>
          <w:rFonts w:hint="eastAsia" w:ascii="Times New Roman" w:eastAsia="宋体"/>
          <w:color w:val="auto"/>
          <w:u w:val="single"/>
        </w:rPr>
        <w:t>50</w:t>
      </w:r>
      <w:r>
        <w:rPr>
          <w:rFonts w:ascii="Times New Roman" w:eastAsia="宋体"/>
          <w:color w:val="auto"/>
          <w:u w:val="single"/>
        </w:rPr>
        <w:t>天，日运行</w:t>
      </w:r>
      <w:r>
        <w:rPr>
          <w:rFonts w:hint="eastAsia" w:ascii="Times New Roman" w:eastAsia="宋体"/>
          <w:color w:val="auto"/>
          <w:u w:val="single"/>
        </w:rPr>
        <w:t>24</w:t>
      </w:r>
      <w:r>
        <w:rPr>
          <w:rFonts w:ascii="Times New Roman" w:eastAsia="宋体"/>
          <w:color w:val="auto"/>
          <w:u w:val="single"/>
        </w:rPr>
        <w:t>小时，年运行</w:t>
      </w:r>
      <w:r>
        <w:rPr>
          <w:rFonts w:hint="eastAsia" w:ascii="Times New Roman" w:eastAsia="宋体"/>
          <w:color w:val="auto"/>
          <w:u w:val="single"/>
        </w:rPr>
        <w:t>120</w:t>
      </w:r>
      <w:r>
        <w:rPr>
          <w:rFonts w:ascii="Times New Roman" w:eastAsia="宋体"/>
          <w:color w:val="auto"/>
          <w:u w:val="single"/>
        </w:rPr>
        <w:t>0小时。</w:t>
      </w:r>
      <w:r>
        <w:rPr>
          <w:rFonts w:hint="eastAsia" w:ascii="Times New Roman" w:eastAsia="宋体"/>
          <w:color w:val="auto"/>
          <w:u w:val="single"/>
        </w:rPr>
        <w:t>单台锅炉燃料</w:t>
      </w:r>
      <w:r>
        <w:rPr>
          <w:rFonts w:ascii="Times New Roman" w:eastAsia="宋体"/>
          <w:color w:val="auto"/>
          <w:u w:val="single"/>
        </w:rPr>
        <w:t>年消耗量为</w:t>
      </w:r>
      <w:r>
        <w:rPr>
          <w:rFonts w:hint="eastAsia" w:ascii="Times New Roman" w:eastAsia="宋体"/>
          <w:color w:val="auto"/>
          <w:u w:val="single"/>
          <w:lang w:val="en-US" w:eastAsia="zh-CN"/>
        </w:rPr>
        <w:t>240</w:t>
      </w:r>
      <w:r>
        <w:rPr>
          <w:rFonts w:ascii="Times New Roman" w:eastAsia="宋体"/>
          <w:color w:val="auto"/>
          <w:u w:val="single"/>
        </w:rPr>
        <w:t>吨</w:t>
      </w:r>
      <w:r>
        <w:rPr>
          <w:rFonts w:hint="eastAsia" w:ascii="Times New Roman" w:eastAsia="宋体"/>
          <w:color w:val="auto"/>
          <w:u w:val="single"/>
        </w:rPr>
        <w:t>，2台锅炉年总用燃料量预计为</w:t>
      </w:r>
      <w:r>
        <w:rPr>
          <w:rFonts w:hint="eastAsia" w:ascii="Times New Roman" w:eastAsia="宋体"/>
          <w:color w:val="auto"/>
          <w:u w:val="single"/>
          <w:lang w:val="en-US" w:eastAsia="zh-CN"/>
        </w:rPr>
        <w:t>48</w:t>
      </w:r>
      <w:r>
        <w:rPr>
          <w:rFonts w:hint="eastAsia" w:ascii="Times New Roman" w:eastAsia="宋体"/>
          <w:color w:val="auto"/>
          <w:u w:val="single"/>
        </w:rPr>
        <w:t>0t</w:t>
      </w:r>
      <w:r>
        <w:rPr>
          <w:rFonts w:ascii="Times New Roman" w:eastAsia="宋体"/>
          <w:color w:val="auto"/>
          <w:u w:val="single"/>
        </w:rPr>
        <w:t>，锅炉烟气</w:t>
      </w:r>
      <w:r>
        <w:rPr>
          <w:rFonts w:hint="eastAsia" w:ascii="Times New Roman" w:eastAsia="宋体"/>
          <w:color w:val="auto"/>
          <w:u w:val="single"/>
          <w:lang w:val="en-US" w:eastAsia="zh-CN"/>
        </w:rPr>
        <w:t>分别</w:t>
      </w:r>
      <w:r>
        <w:rPr>
          <w:rFonts w:ascii="Times New Roman" w:eastAsia="宋体"/>
          <w:color w:val="auto"/>
          <w:u w:val="single"/>
        </w:rPr>
        <w:t>经</w:t>
      </w:r>
      <w:r>
        <w:rPr>
          <w:rFonts w:hint="eastAsia" w:ascii="Times New Roman" w:eastAsia="宋体"/>
          <w:color w:val="auto"/>
          <w:u w:val="single"/>
          <w:lang w:eastAsia="zh-CN"/>
        </w:rPr>
        <w:t>布袋除尘器（</w:t>
      </w:r>
      <w:r>
        <w:rPr>
          <w:rFonts w:hint="eastAsia" w:ascii="Times New Roman" w:eastAsia="宋体"/>
          <w:color w:val="auto"/>
          <w:u w:val="single"/>
          <w:lang w:val="en-US" w:eastAsia="zh-CN"/>
        </w:rPr>
        <w:t>2套</w:t>
      </w:r>
      <w:r>
        <w:rPr>
          <w:rFonts w:hint="eastAsia" w:ascii="Times New Roman" w:eastAsia="宋体"/>
          <w:color w:val="auto"/>
          <w:u w:val="single"/>
          <w:lang w:eastAsia="zh-CN"/>
        </w:rPr>
        <w:t>）</w:t>
      </w:r>
      <w:r>
        <w:rPr>
          <w:rFonts w:ascii="Times New Roman" w:eastAsia="宋体"/>
          <w:color w:val="auto"/>
          <w:u w:val="single"/>
        </w:rPr>
        <w:t>处理后由1根</w:t>
      </w:r>
      <w:r>
        <w:rPr>
          <w:rFonts w:hint="eastAsia" w:ascii="Times New Roman" w:eastAsia="宋体"/>
          <w:color w:val="auto"/>
          <w:u w:val="single"/>
        </w:rPr>
        <w:t>3</w:t>
      </w:r>
      <w:r>
        <w:rPr>
          <w:rFonts w:ascii="Times New Roman" w:eastAsia="宋体"/>
          <w:color w:val="auto"/>
          <w:u w:val="single"/>
        </w:rPr>
        <w:t>0m排放筒有组织排放。根据建设单位提供的生物质颗粒检测结果见下表。</w:t>
      </w:r>
    </w:p>
    <w:p>
      <w:pPr>
        <w:pStyle w:val="28"/>
        <w:numPr>
          <w:ilvl w:val="0"/>
          <w:numId w:val="0"/>
        </w:numPr>
        <w:jc w:val="center"/>
        <w:rPr>
          <w:rFonts w:ascii="Times New Roman" w:eastAsia="宋体"/>
          <w:b/>
          <w:bCs/>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3.3-7</w:t>
      </w:r>
      <w:r>
        <w:rPr>
          <w:rFonts w:ascii="Times New Roman" w:eastAsia="宋体"/>
          <w:b/>
          <w:bCs/>
          <w:color w:val="auto"/>
          <w:sz w:val="21"/>
          <w:szCs w:val="21"/>
        </w:rPr>
        <w:t>生物质颗粒检测结果</w:t>
      </w:r>
    </w:p>
    <w:tbl>
      <w:tblPr>
        <w:tblStyle w:val="48"/>
        <w:tblW w:w="522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01"/>
        <w:gridCol w:w="1016"/>
        <w:gridCol w:w="1016"/>
        <w:gridCol w:w="1016"/>
        <w:gridCol w:w="1018"/>
        <w:gridCol w:w="1175"/>
        <w:gridCol w:w="1175"/>
        <w:gridCol w:w="11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31" w:type="pct"/>
            <w:tcBorders>
              <w:tl2br w:val="nil"/>
              <w:tr2bl w:val="nil"/>
            </w:tcBorders>
            <w:vAlign w:val="center"/>
          </w:tcPr>
          <w:p>
            <w:pPr>
              <w:adjustRightInd w:val="0"/>
              <w:snapToGrid w:val="0"/>
              <w:rPr>
                <w:rFonts w:ascii="Times New Roman" w:eastAsia="宋体"/>
                <w:b/>
                <w:bCs/>
                <w:color w:val="auto"/>
                <w:sz w:val="21"/>
                <w:szCs w:val="21"/>
              </w:rPr>
            </w:pPr>
            <w:r>
              <w:rPr>
                <w:rFonts w:ascii="Times New Roman" w:eastAsia="宋体"/>
                <w:b/>
                <w:bCs/>
                <w:color w:val="auto"/>
                <w:sz w:val="21"/>
                <w:szCs w:val="21"/>
              </w:rPr>
              <w:t>检验项目</w:t>
            </w:r>
          </w:p>
        </w:tc>
        <w:tc>
          <w:tcPr>
            <w:tcW w:w="1142" w:type="pct"/>
            <w:gridSpan w:val="2"/>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干燥基高位发热量Qgr.d</w:t>
            </w:r>
          </w:p>
        </w:tc>
        <w:tc>
          <w:tcPr>
            <w:tcW w:w="1143" w:type="pct"/>
            <w:gridSpan w:val="2"/>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收到基低位发热量Qnet.v.ar</w:t>
            </w:r>
          </w:p>
        </w:tc>
        <w:tc>
          <w:tcPr>
            <w:tcW w:w="660" w:type="pct"/>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全水分Mt</w:t>
            </w:r>
          </w:p>
        </w:tc>
        <w:tc>
          <w:tcPr>
            <w:tcW w:w="660" w:type="pct"/>
            <w:tcBorders>
              <w:tl2br w:val="nil"/>
              <w:tr2bl w:val="nil"/>
            </w:tcBorders>
            <w:vAlign w:val="center"/>
          </w:tcPr>
          <w:p>
            <w:pPr>
              <w:adjustRightInd w:val="0"/>
              <w:snapToGrid w:val="0"/>
              <w:rPr>
                <w:rFonts w:ascii="Times New Roman" w:eastAsia="宋体"/>
                <w:b/>
                <w:bCs/>
                <w:color w:val="auto"/>
                <w:sz w:val="21"/>
                <w:szCs w:val="21"/>
              </w:rPr>
            </w:pPr>
            <w:r>
              <w:rPr>
                <w:rFonts w:ascii="Times New Roman" w:eastAsia="宋体"/>
                <w:b/>
                <w:bCs/>
                <w:color w:val="auto"/>
                <w:sz w:val="21"/>
                <w:szCs w:val="21"/>
              </w:rPr>
              <w:t>干燥</w:t>
            </w:r>
            <w:r>
              <w:rPr>
                <w:rFonts w:hint="eastAsia" w:ascii="Times New Roman" w:eastAsia="宋体"/>
                <w:b/>
                <w:bCs/>
                <w:color w:val="auto"/>
                <w:sz w:val="21"/>
                <w:szCs w:val="21"/>
              </w:rPr>
              <w:t>基含硫量St.d</w:t>
            </w:r>
          </w:p>
        </w:tc>
        <w:tc>
          <w:tcPr>
            <w:tcW w:w="662" w:type="pct"/>
            <w:tcBorders>
              <w:tl2br w:val="nil"/>
              <w:tr2bl w:val="nil"/>
            </w:tcBorders>
            <w:vAlign w:val="center"/>
          </w:tcPr>
          <w:p>
            <w:pPr>
              <w:adjustRightInd w:val="0"/>
              <w:snapToGrid w:val="0"/>
              <w:rPr>
                <w:rFonts w:ascii="Times New Roman" w:eastAsia="宋体"/>
                <w:b/>
                <w:bCs/>
                <w:color w:val="auto"/>
                <w:sz w:val="21"/>
                <w:szCs w:val="21"/>
              </w:rPr>
            </w:pPr>
            <w:r>
              <w:rPr>
                <w:rFonts w:hint="eastAsia" w:ascii="Times New Roman" w:eastAsia="宋体"/>
                <w:b/>
                <w:bCs/>
                <w:color w:val="auto"/>
                <w:sz w:val="21"/>
                <w:szCs w:val="21"/>
              </w:rPr>
              <w:t>干燥基灰分Ad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31"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结果</w:t>
            </w:r>
          </w:p>
        </w:tc>
        <w:tc>
          <w:tcPr>
            <w:tcW w:w="571"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18.02</w:t>
            </w:r>
          </w:p>
        </w:tc>
        <w:tc>
          <w:tcPr>
            <w:tcW w:w="571"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4309</w:t>
            </w:r>
          </w:p>
        </w:tc>
        <w:tc>
          <w:tcPr>
            <w:tcW w:w="571"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15.92</w:t>
            </w:r>
          </w:p>
        </w:tc>
        <w:tc>
          <w:tcPr>
            <w:tcW w:w="572"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3807</w:t>
            </w:r>
          </w:p>
        </w:tc>
        <w:tc>
          <w:tcPr>
            <w:tcW w:w="660"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6.3</w:t>
            </w:r>
          </w:p>
        </w:tc>
        <w:tc>
          <w:tcPr>
            <w:tcW w:w="660"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0.07</w:t>
            </w:r>
          </w:p>
        </w:tc>
        <w:tc>
          <w:tcPr>
            <w:tcW w:w="662"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5.89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31"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单位</w:t>
            </w:r>
          </w:p>
        </w:tc>
        <w:tc>
          <w:tcPr>
            <w:tcW w:w="571"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MJ/kg</w:t>
            </w:r>
          </w:p>
        </w:tc>
        <w:tc>
          <w:tcPr>
            <w:tcW w:w="571" w:type="pct"/>
            <w:tcBorders>
              <w:tl2br w:val="nil"/>
              <w:tr2bl w:val="nil"/>
            </w:tcBorders>
            <w:vAlign w:val="center"/>
          </w:tcPr>
          <w:p>
            <w:pPr>
              <w:adjustRightInd w:val="0"/>
              <w:snapToGrid w:val="0"/>
              <w:jc w:val="center"/>
              <w:rPr>
                <w:rFonts w:ascii="Times New Roman"/>
                <w:color w:val="auto"/>
                <w:sz w:val="21"/>
                <w:szCs w:val="21"/>
              </w:rPr>
            </w:pPr>
            <w:r>
              <w:rPr>
                <w:rFonts w:hint="eastAsia" w:ascii="Times New Roman"/>
                <w:color w:val="auto"/>
                <w:sz w:val="21"/>
                <w:szCs w:val="21"/>
              </w:rPr>
              <w:t>Kcal/kg</w:t>
            </w:r>
          </w:p>
        </w:tc>
        <w:tc>
          <w:tcPr>
            <w:tcW w:w="571"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sz w:val="21"/>
                <w:szCs w:val="21"/>
              </w:rPr>
              <w:t>MJ/kg</w:t>
            </w:r>
          </w:p>
        </w:tc>
        <w:tc>
          <w:tcPr>
            <w:tcW w:w="572" w:type="pct"/>
            <w:tcBorders>
              <w:tl2br w:val="nil"/>
              <w:tr2bl w:val="nil"/>
            </w:tcBorders>
            <w:vAlign w:val="center"/>
          </w:tcPr>
          <w:p>
            <w:pPr>
              <w:adjustRightInd w:val="0"/>
              <w:snapToGrid w:val="0"/>
              <w:jc w:val="center"/>
              <w:rPr>
                <w:rFonts w:ascii="Times New Roman"/>
                <w:color w:val="auto"/>
                <w:kern w:val="2"/>
                <w:sz w:val="21"/>
                <w:szCs w:val="21"/>
              </w:rPr>
            </w:pPr>
            <w:r>
              <w:rPr>
                <w:rFonts w:hint="eastAsia" w:ascii="Times New Roman"/>
                <w:color w:val="auto"/>
                <w:sz w:val="21"/>
                <w:szCs w:val="21"/>
              </w:rPr>
              <w:t>Kcal/kg</w:t>
            </w:r>
          </w:p>
        </w:tc>
        <w:tc>
          <w:tcPr>
            <w:tcW w:w="660"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660"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662"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w:t>
            </w:r>
          </w:p>
        </w:tc>
      </w:tr>
    </w:tbl>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本次环评参照《污染源源强核算技术指南锅炉》（HJ 991-2018），新建项目正常工况有组织废气源强核算应采用物料衡算法。</w:t>
      </w:r>
      <w:r>
        <w:rPr>
          <w:rFonts w:hint="eastAsia" w:ascii="Times New Roman" w:eastAsia="宋体"/>
          <w:color w:val="auto"/>
        </w:rPr>
        <w:t>单台锅炉排放量计算如下：</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①烟气量</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根据《排污许可证申请与核发技术规范锅炉》（HJ953-2018），生物质锅炉基准烟气量按下式计算。</w:t>
      </w:r>
    </w:p>
    <w:p>
      <w:pPr>
        <w:tabs>
          <w:tab w:val="left" w:pos="2060"/>
        </w:tabs>
        <w:snapToGrid w:val="0"/>
        <w:spacing w:line="360" w:lineRule="auto"/>
        <w:jc w:val="center"/>
        <w:rPr>
          <w:rFonts w:ascii="Times New Roman"/>
          <w:color w:val="auto"/>
        </w:rPr>
      </w:pPr>
      <w:r>
        <w:rPr>
          <w:rFonts w:hint="eastAsia" w:ascii="Times New Roman"/>
          <w:color w:val="auto"/>
        </w:rPr>
        <w:drawing>
          <wp:inline distT="0" distB="0" distL="114300" distR="114300">
            <wp:extent cx="2800350" cy="581025"/>
            <wp:effectExtent l="0" t="0" r="6350" b="1905"/>
            <wp:docPr id="2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1"/>
                    <pic:cNvPicPr>
                      <a:picLocks noChangeAspect="1"/>
                    </pic:cNvPicPr>
                  </pic:nvPicPr>
                  <pic:blipFill>
                    <a:blip r:embed="rId29"/>
                    <a:stretch>
                      <a:fillRect/>
                    </a:stretch>
                  </pic:blipFill>
                  <pic:spPr>
                    <a:xfrm>
                      <a:off x="0" y="0"/>
                      <a:ext cx="2800350" cy="581025"/>
                    </a:xfrm>
                    <a:prstGeom prst="rect">
                      <a:avLst/>
                    </a:prstGeom>
                    <a:noFill/>
                    <a:ln>
                      <a:noFill/>
                    </a:ln>
                  </pic:spPr>
                </pic:pic>
              </a:graphicData>
            </a:graphic>
          </wp:inline>
        </w:drawing>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式中：</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Vgy—基准烟气量（Nm</w:t>
      </w:r>
      <w:r>
        <w:rPr>
          <w:rFonts w:ascii="Times New Roman" w:eastAsia="宋体"/>
          <w:color w:val="auto"/>
          <w:vertAlign w:val="superscript"/>
        </w:rPr>
        <w:t>3</w:t>
      </w:r>
      <w:r>
        <w:rPr>
          <w:rFonts w:ascii="Times New Roman" w:eastAsia="宋体"/>
          <w:color w:val="auto"/>
        </w:rPr>
        <w:t>/kg）；</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Qnet—固体燃料低位发热量（MJ/kg）；按前三年所有批次燃料低位发热量的平均值进行选取，未投运或投运不满一年的锅炉按设计燃料低位发热量进行选取，投运满一年但未满三年的锅炉按运行周期年内所有批次燃料低位发热量的平均值选取。</w:t>
      </w:r>
    </w:p>
    <w:p>
      <w:pPr>
        <w:tabs>
          <w:tab w:val="left" w:pos="2060"/>
        </w:tabs>
        <w:snapToGrid w:val="0"/>
        <w:spacing w:line="360" w:lineRule="auto"/>
        <w:ind w:firstLine="496" w:firstLineChars="200"/>
        <w:rPr>
          <w:rFonts w:hint="default" w:ascii="Times New Roman" w:eastAsia="宋体"/>
          <w:color w:val="auto"/>
          <w:u w:val="single"/>
          <w:lang w:val="en-US" w:eastAsia="zh-CN"/>
        </w:rPr>
      </w:pPr>
      <w:r>
        <w:rPr>
          <w:rFonts w:ascii="Times New Roman" w:eastAsia="宋体"/>
          <w:color w:val="auto"/>
        </w:rPr>
        <w:t>项目生物质颗粒热值为1</w:t>
      </w:r>
      <w:r>
        <w:rPr>
          <w:rFonts w:hint="eastAsia" w:ascii="Times New Roman" w:eastAsia="宋体"/>
          <w:color w:val="auto"/>
          <w:lang w:val="en-US" w:eastAsia="zh-CN"/>
        </w:rPr>
        <w:t>5.92</w:t>
      </w:r>
      <w:r>
        <w:rPr>
          <w:rFonts w:ascii="Times New Roman" w:eastAsia="宋体"/>
          <w:color w:val="auto"/>
        </w:rPr>
        <w:t>MJ/kg，根据计算，项目</w:t>
      </w:r>
      <w:r>
        <w:rPr>
          <w:rFonts w:hint="eastAsia" w:ascii="Times New Roman" w:eastAsia="宋体"/>
          <w:color w:val="auto"/>
        </w:rPr>
        <w:t>每台</w:t>
      </w:r>
      <w:r>
        <w:rPr>
          <w:rFonts w:ascii="Times New Roman" w:eastAsia="宋体"/>
          <w:color w:val="auto"/>
        </w:rPr>
        <w:t>锅炉基准烟气量为7.</w:t>
      </w:r>
      <w:r>
        <w:rPr>
          <w:rFonts w:hint="eastAsia" w:ascii="Times New Roman" w:eastAsia="宋体"/>
          <w:color w:val="auto"/>
        </w:rPr>
        <w:t>133</w:t>
      </w:r>
      <w:r>
        <w:rPr>
          <w:rFonts w:ascii="Times New Roman" w:eastAsia="宋体"/>
          <w:color w:val="auto"/>
        </w:rPr>
        <w:t>Nm</w:t>
      </w:r>
      <w:r>
        <w:rPr>
          <w:rFonts w:ascii="Times New Roman" w:eastAsia="宋体"/>
          <w:color w:val="auto"/>
          <w:vertAlign w:val="superscript"/>
        </w:rPr>
        <w:t>3</w:t>
      </w:r>
      <w:r>
        <w:rPr>
          <w:rFonts w:ascii="Times New Roman" w:eastAsia="宋体"/>
          <w:color w:val="auto"/>
        </w:rPr>
        <w:t>/kg</w:t>
      </w:r>
      <w:r>
        <w:rPr>
          <w:rFonts w:hint="eastAsia" w:ascii="Times New Roman" w:eastAsia="宋体"/>
          <w:color w:val="auto"/>
        </w:rPr>
        <w:t>，即7133Nm</w:t>
      </w:r>
      <w:r>
        <w:rPr>
          <w:rFonts w:hint="eastAsia" w:ascii="Times New Roman" w:eastAsia="宋体"/>
          <w:color w:val="auto"/>
          <w:vertAlign w:val="superscript"/>
        </w:rPr>
        <w:t>3</w:t>
      </w:r>
      <w:r>
        <w:rPr>
          <w:rFonts w:hint="eastAsia" w:ascii="Times New Roman" w:eastAsia="宋体"/>
          <w:color w:val="auto"/>
        </w:rPr>
        <w:t>/t原料</w:t>
      </w:r>
      <w:r>
        <w:rPr>
          <w:rFonts w:ascii="Times New Roman" w:eastAsia="宋体"/>
          <w:color w:val="auto"/>
        </w:rPr>
        <w:t>。</w:t>
      </w:r>
      <w:r>
        <w:rPr>
          <w:rFonts w:hint="eastAsia" w:ascii="Times New Roman" w:eastAsia="宋体"/>
          <w:color w:val="auto"/>
          <w:u w:val="single"/>
          <w:lang w:eastAsia="zh-CN"/>
        </w:rPr>
        <w:t>本项目拟为两个锅炉各配套一个风机，</w:t>
      </w:r>
      <w:r>
        <w:rPr>
          <w:rFonts w:hint="eastAsia" w:ascii="Times New Roman" w:eastAsia="宋体"/>
          <w:color w:val="auto"/>
          <w:u w:val="single"/>
          <w:lang w:val="en-US" w:eastAsia="zh-CN"/>
        </w:rPr>
        <w:t>单个</w:t>
      </w:r>
      <w:r>
        <w:rPr>
          <w:rFonts w:hint="eastAsia" w:ascii="Times New Roman" w:eastAsia="宋体"/>
          <w:color w:val="auto"/>
          <w:u w:val="single"/>
          <w:lang w:eastAsia="zh-CN"/>
        </w:rPr>
        <w:t>风量为</w:t>
      </w:r>
      <w:r>
        <w:rPr>
          <w:rFonts w:hint="eastAsia" w:ascii="Times New Roman" w:eastAsia="宋体"/>
          <w:color w:val="auto"/>
          <w:u w:val="single"/>
          <w:lang w:val="en-US" w:eastAsia="zh-CN"/>
        </w:rPr>
        <w:t>3100m</w:t>
      </w:r>
      <w:r>
        <w:rPr>
          <w:rFonts w:hint="eastAsia" w:ascii="Times New Roman" w:eastAsia="宋体"/>
          <w:color w:val="auto"/>
          <w:u w:val="single"/>
          <w:vertAlign w:val="superscript"/>
          <w:lang w:val="en-US" w:eastAsia="zh-CN"/>
        </w:rPr>
        <w:t>3</w:t>
      </w:r>
      <w:r>
        <w:rPr>
          <w:rFonts w:hint="eastAsia" w:ascii="Times New Roman" w:eastAsia="宋体"/>
          <w:color w:val="auto"/>
          <w:u w:val="single"/>
          <w:lang w:val="en-US" w:eastAsia="zh-CN"/>
        </w:rPr>
        <w:t>/h。</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②颗粒物</w:t>
      </w:r>
      <w:r>
        <w:rPr>
          <w:rFonts w:hint="eastAsia" w:ascii="Times New Roman" w:eastAsia="宋体"/>
          <w:color w:val="auto"/>
        </w:rPr>
        <w:t>、二氧化硫、氮氧化物</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查阅《排污许可证申请与核发技术规范锅炉》（HJ953-2018）中9.2废气污染物实际排放量核算方法，本项目采用产排污系数法进行计算，</w:t>
      </w:r>
    </w:p>
    <w:p>
      <w:pPr>
        <w:pStyle w:val="15"/>
        <w:spacing w:line="360" w:lineRule="auto"/>
        <w:ind w:left="0" w:leftChars="0" w:firstLineChars="0"/>
        <w:jc w:val="center"/>
        <w:rPr>
          <w:rFonts w:ascii="Times New Roman"/>
          <w:color w:val="auto"/>
        </w:rPr>
      </w:pPr>
      <w:r>
        <w:rPr>
          <w:rFonts w:ascii="Times New Roman"/>
          <w:color w:val="auto"/>
        </w:rPr>
        <w:drawing>
          <wp:anchor distT="0" distB="0" distL="114300" distR="114300" simplePos="0" relativeHeight="251705344" behindDoc="0" locked="0" layoutInCell="1" allowOverlap="1">
            <wp:simplePos x="0" y="0"/>
            <wp:positionH relativeFrom="column">
              <wp:posOffset>1917065</wp:posOffset>
            </wp:positionH>
            <wp:positionV relativeFrom="paragraph">
              <wp:posOffset>17780</wp:posOffset>
            </wp:positionV>
            <wp:extent cx="1638300" cy="419100"/>
            <wp:effectExtent l="0" t="0" r="0" b="0"/>
            <wp:wrapSquare wrapText="bothSides"/>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30"/>
                    <a:stretch>
                      <a:fillRect/>
                    </a:stretch>
                  </pic:blipFill>
                  <pic:spPr>
                    <a:xfrm>
                      <a:off x="0" y="0"/>
                      <a:ext cx="1638300" cy="419100"/>
                    </a:xfrm>
                    <a:prstGeom prst="rect">
                      <a:avLst/>
                    </a:prstGeom>
                    <a:noFill/>
                    <a:ln>
                      <a:noFill/>
                    </a:ln>
                  </pic:spPr>
                </pic:pic>
              </a:graphicData>
            </a:graphic>
          </wp:anchor>
        </w:drawing>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式中</w:t>
      </w:r>
      <w:r>
        <w:rPr>
          <w:rFonts w:hint="eastAsia" w:ascii="Times New Roman" w:eastAsia="宋体"/>
          <w:color w:val="auto"/>
          <w:kern w:val="2"/>
          <w:szCs w:val="24"/>
        </w:rPr>
        <w:t>：</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E</w:t>
      </w:r>
      <w:r>
        <w:rPr>
          <w:rFonts w:hint="eastAsia" w:ascii="Times New Roman" w:eastAsia="宋体"/>
          <w:color w:val="auto"/>
          <w:kern w:val="2"/>
          <w:szCs w:val="24"/>
        </w:rPr>
        <w:t>j—</w:t>
      </w:r>
      <w:r>
        <w:rPr>
          <w:rFonts w:ascii="Times New Roman" w:eastAsia="宋体"/>
          <w:color w:val="auto"/>
          <w:kern w:val="2"/>
          <w:szCs w:val="24"/>
        </w:rPr>
        <w:t>核算时段内第j种污染物的排放量，吨</w:t>
      </w:r>
      <w:r>
        <w:rPr>
          <w:rFonts w:hint="eastAsia" w:ascii="Times New Roman" w:eastAsia="宋体"/>
          <w:color w:val="auto"/>
          <w:kern w:val="2"/>
          <w:szCs w:val="24"/>
        </w:rPr>
        <w:t>；</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R一核算时段内锅炉燃料耗量，吨或万立方米</w:t>
      </w:r>
      <w:r>
        <w:rPr>
          <w:rFonts w:hint="eastAsia" w:ascii="Times New Roman" w:eastAsia="宋体"/>
          <w:color w:val="auto"/>
          <w:kern w:val="2"/>
          <w:szCs w:val="24"/>
        </w:rPr>
        <w:t>；</w:t>
      </w:r>
    </w:p>
    <w:p>
      <w:pPr>
        <w:pStyle w:val="15"/>
        <w:spacing w:line="360" w:lineRule="auto"/>
        <w:ind w:left="0" w:leftChars="0" w:firstLineChars="0"/>
        <w:rPr>
          <w:rFonts w:ascii="Times New Roman" w:eastAsia="宋体"/>
          <w:color w:val="auto"/>
          <w:kern w:val="2"/>
          <w:szCs w:val="24"/>
        </w:rPr>
      </w:pPr>
      <w:r>
        <w:rPr>
          <w:rFonts w:hint="eastAsia" w:ascii="Times New Roman" w:eastAsia="宋体"/>
          <w:color w:val="auto"/>
          <w:kern w:val="2"/>
          <w:szCs w:val="24"/>
        </w:rPr>
        <w:t>β</w:t>
      </w:r>
      <w:r>
        <w:rPr>
          <w:rFonts w:hint="eastAsia" w:ascii="Times New Roman" w:eastAsia="宋体"/>
          <w:color w:val="auto"/>
          <w:kern w:val="2"/>
          <w:szCs w:val="24"/>
          <w:vertAlign w:val="subscript"/>
        </w:rPr>
        <w:t>j</w:t>
      </w:r>
      <w:r>
        <w:rPr>
          <w:rFonts w:ascii="Times New Roman" w:eastAsia="宋体"/>
          <w:color w:val="auto"/>
          <w:kern w:val="2"/>
          <w:szCs w:val="24"/>
        </w:rPr>
        <w:t>一第j种污染物产排污系数，千克/吨-燃料或千克/万立方米-燃料。</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相关产排污系数</w:t>
      </w:r>
      <w:r>
        <w:rPr>
          <w:rFonts w:hint="eastAsia" w:ascii="Times New Roman" w:eastAsia="宋体"/>
          <w:color w:val="auto"/>
          <w:kern w:val="2"/>
          <w:szCs w:val="24"/>
        </w:rPr>
        <w:t>β</w:t>
      </w:r>
      <w:r>
        <w:rPr>
          <w:rFonts w:hint="eastAsia" w:ascii="Times New Roman" w:eastAsia="宋体"/>
          <w:color w:val="auto"/>
          <w:kern w:val="2"/>
          <w:szCs w:val="24"/>
          <w:vertAlign w:val="subscript"/>
        </w:rPr>
        <w:t>j</w:t>
      </w:r>
      <w:r>
        <w:rPr>
          <w:rFonts w:ascii="Times New Roman" w:eastAsia="宋体"/>
          <w:color w:val="auto"/>
          <w:kern w:val="2"/>
          <w:szCs w:val="24"/>
        </w:rPr>
        <w:t>参见附录F，锅炉SO</w:t>
      </w:r>
      <w:r>
        <w:rPr>
          <w:rFonts w:ascii="Times New Roman" w:eastAsia="宋体"/>
          <w:color w:val="auto"/>
          <w:kern w:val="2"/>
          <w:szCs w:val="24"/>
          <w:vertAlign w:val="subscript"/>
        </w:rPr>
        <w:t>2</w:t>
      </w:r>
      <w:r>
        <w:rPr>
          <w:rFonts w:ascii="Times New Roman" w:eastAsia="宋体"/>
          <w:color w:val="auto"/>
          <w:kern w:val="2"/>
          <w:szCs w:val="24"/>
        </w:rPr>
        <w:t>产污系数为17S</w:t>
      </w:r>
      <w:r>
        <w:rPr>
          <w:rFonts w:hint="eastAsia" w:ascii="Times New Roman" w:eastAsia="宋体"/>
          <w:color w:val="auto"/>
          <w:kern w:val="2"/>
          <w:szCs w:val="24"/>
        </w:rPr>
        <w:t>（</w:t>
      </w:r>
      <w:r>
        <w:rPr>
          <w:rFonts w:ascii="Times New Roman" w:eastAsia="宋体"/>
          <w:color w:val="auto"/>
          <w:kern w:val="2"/>
          <w:szCs w:val="24"/>
        </w:rPr>
        <w:t>kg/t-燃料</w:t>
      </w:r>
      <w:r>
        <w:rPr>
          <w:rFonts w:hint="eastAsia" w:ascii="Times New Roman" w:eastAsia="宋体"/>
          <w:color w:val="auto"/>
          <w:kern w:val="2"/>
          <w:szCs w:val="24"/>
        </w:rPr>
        <w:t>），</w:t>
      </w:r>
      <w:r>
        <w:rPr>
          <w:rFonts w:ascii="Times New Roman" w:eastAsia="宋体"/>
          <w:color w:val="auto"/>
          <w:kern w:val="2"/>
          <w:szCs w:val="24"/>
        </w:rPr>
        <w:t>S是指生物质收到基硫分含量</w:t>
      </w:r>
      <w:r>
        <w:rPr>
          <w:rFonts w:hint="eastAsia" w:ascii="Times New Roman" w:eastAsia="宋体"/>
          <w:color w:val="auto"/>
          <w:kern w:val="2"/>
          <w:szCs w:val="24"/>
        </w:rPr>
        <w:t>（</w:t>
      </w:r>
      <w:r>
        <w:rPr>
          <w:rFonts w:ascii="Times New Roman" w:eastAsia="宋体"/>
          <w:color w:val="auto"/>
          <w:kern w:val="2"/>
          <w:szCs w:val="24"/>
        </w:rPr>
        <w:t>以质量分数表示</w:t>
      </w:r>
      <w:r>
        <w:rPr>
          <w:rFonts w:hint="eastAsia" w:ascii="Times New Roman" w:eastAsia="宋体"/>
          <w:color w:val="auto"/>
          <w:kern w:val="2"/>
          <w:szCs w:val="24"/>
        </w:rPr>
        <w:t>）</w:t>
      </w:r>
      <w:r>
        <w:rPr>
          <w:rFonts w:ascii="Times New Roman" w:eastAsia="宋体"/>
          <w:color w:val="auto"/>
          <w:kern w:val="2"/>
          <w:szCs w:val="24"/>
        </w:rPr>
        <w:t>，本项目所选的生物质燃料收到基硫分含量为0.0</w:t>
      </w:r>
      <w:r>
        <w:rPr>
          <w:rFonts w:hint="eastAsia" w:ascii="Times New Roman" w:eastAsia="宋体"/>
          <w:color w:val="auto"/>
          <w:kern w:val="2"/>
          <w:szCs w:val="24"/>
        </w:rPr>
        <w:t>7</w:t>
      </w:r>
      <w:r>
        <w:rPr>
          <w:rFonts w:ascii="Times New Roman" w:eastAsia="宋体"/>
          <w:color w:val="auto"/>
          <w:kern w:val="2"/>
          <w:szCs w:val="24"/>
        </w:rPr>
        <w:t>%</w:t>
      </w:r>
      <w:r>
        <w:rPr>
          <w:rFonts w:hint="eastAsia" w:ascii="Times New Roman" w:eastAsia="宋体"/>
          <w:color w:val="auto"/>
          <w:kern w:val="2"/>
          <w:szCs w:val="24"/>
        </w:rPr>
        <w:t>；</w:t>
      </w:r>
      <w:r>
        <w:rPr>
          <w:rFonts w:ascii="Times New Roman" w:eastAsia="宋体"/>
          <w:color w:val="auto"/>
          <w:kern w:val="2"/>
          <w:szCs w:val="24"/>
        </w:rPr>
        <w:t>NOx产污系数为1.02</w:t>
      </w:r>
      <w:r>
        <w:rPr>
          <w:rFonts w:hint="eastAsia" w:ascii="Times New Roman" w:eastAsia="宋体"/>
          <w:color w:val="auto"/>
          <w:kern w:val="2"/>
          <w:szCs w:val="24"/>
        </w:rPr>
        <w:t>（</w:t>
      </w:r>
      <w:r>
        <w:rPr>
          <w:rFonts w:ascii="Times New Roman" w:eastAsia="宋体"/>
          <w:color w:val="auto"/>
          <w:kern w:val="2"/>
          <w:szCs w:val="24"/>
        </w:rPr>
        <w:t>kg/t-燃料</w:t>
      </w:r>
      <w:r>
        <w:rPr>
          <w:rFonts w:hint="eastAsia" w:ascii="Times New Roman" w:eastAsia="宋体"/>
          <w:color w:val="auto"/>
          <w:kern w:val="2"/>
          <w:szCs w:val="24"/>
        </w:rPr>
        <w:t>）；</w:t>
      </w:r>
      <w:r>
        <w:rPr>
          <w:rFonts w:ascii="Times New Roman" w:eastAsia="宋体"/>
          <w:color w:val="auto"/>
          <w:kern w:val="2"/>
          <w:szCs w:val="24"/>
        </w:rPr>
        <w:t>烟尘产污系数为0.5</w:t>
      </w:r>
      <w:r>
        <w:rPr>
          <w:rFonts w:hint="eastAsia" w:ascii="Times New Roman" w:eastAsia="宋体"/>
          <w:color w:val="auto"/>
          <w:kern w:val="2"/>
          <w:szCs w:val="24"/>
        </w:rPr>
        <w:t>（</w:t>
      </w:r>
      <w:r>
        <w:rPr>
          <w:rFonts w:ascii="Times New Roman" w:eastAsia="宋体"/>
          <w:color w:val="auto"/>
          <w:kern w:val="2"/>
          <w:szCs w:val="24"/>
        </w:rPr>
        <w:t>kg/t-燃料</w:t>
      </w:r>
      <w:r>
        <w:rPr>
          <w:rFonts w:hint="eastAsia" w:ascii="Times New Roman" w:eastAsia="宋体"/>
          <w:color w:val="auto"/>
          <w:kern w:val="2"/>
          <w:szCs w:val="24"/>
        </w:rPr>
        <w:t>）</w:t>
      </w:r>
      <w:r>
        <w:rPr>
          <w:rFonts w:ascii="Times New Roman" w:eastAsia="宋体"/>
          <w:color w:val="auto"/>
          <w:kern w:val="2"/>
          <w:szCs w:val="24"/>
        </w:rPr>
        <w:t>，</w:t>
      </w:r>
      <w:r>
        <w:rPr>
          <w:rFonts w:hint="eastAsia" w:ascii="Times New Roman" w:eastAsia="宋体"/>
          <w:color w:val="auto"/>
          <w:kern w:val="2"/>
          <w:szCs w:val="24"/>
        </w:rPr>
        <w:t>据此计算单台锅炉产排污情况见表3.3-8</w:t>
      </w:r>
    </w:p>
    <w:p>
      <w:pPr>
        <w:spacing w:line="360" w:lineRule="auto"/>
        <w:jc w:val="center"/>
        <w:rPr>
          <w:rFonts w:ascii="Times New Roman" w:eastAsia="宋体"/>
          <w:b/>
          <w:color w:val="auto"/>
          <w:sz w:val="21"/>
          <w:u w:val="single"/>
        </w:rPr>
      </w:pPr>
      <w:r>
        <w:rPr>
          <w:rFonts w:ascii="Times New Roman" w:eastAsia="宋体"/>
          <w:b/>
          <w:color w:val="auto"/>
          <w:sz w:val="21"/>
          <w:u w:val="single"/>
        </w:rPr>
        <w:t>表</w:t>
      </w:r>
      <w:r>
        <w:rPr>
          <w:rFonts w:hint="eastAsia" w:ascii="Times New Roman" w:eastAsia="宋体"/>
          <w:b/>
          <w:color w:val="auto"/>
          <w:sz w:val="21"/>
          <w:u w:val="single"/>
        </w:rPr>
        <w:t>3.3-8</w:t>
      </w:r>
      <w:r>
        <w:rPr>
          <w:rFonts w:ascii="Times New Roman" w:eastAsia="宋体"/>
          <w:b/>
          <w:color w:val="auto"/>
          <w:sz w:val="21"/>
          <w:u w:val="single"/>
        </w:rPr>
        <w:t>单台锅炉废气污染源源强核算结果及相关参数一览表</w:t>
      </w:r>
    </w:p>
    <w:tbl>
      <w:tblPr>
        <w:tblStyle w:val="47"/>
        <w:tblW w:w="505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6"/>
        <w:gridCol w:w="465"/>
        <w:gridCol w:w="888"/>
        <w:gridCol w:w="675"/>
        <w:gridCol w:w="807"/>
        <w:gridCol w:w="943"/>
        <w:gridCol w:w="949"/>
        <w:gridCol w:w="943"/>
        <w:gridCol w:w="979"/>
        <w:gridCol w:w="915"/>
        <w:gridCol w:w="5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293" w:type="pct"/>
            <w:vMerge w:val="restart"/>
            <w:tcBorders>
              <w:tl2br w:val="nil"/>
              <w:tr2bl w:val="nil"/>
            </w:tcBorders>
            <w:vAlign w:val="center"/>
          </w:tcPr>
          <w:p>
            <w:pPr>
              <w:pStyle w:val="425"/>
              <w:snapToGrid w:val="0"/>
              <w:rPr>
                <w:color w:val="auto"/>
                <w:kern w:val="2"/>
                <w:u w:val="single"/>
              </w:rPr>
            </w:pPr>
            <w:r>
              <w:rPr>
                <w:color w:val="auto"/>
                <w:kern w:val="2"/>
                <w:u w:val="single"/>
              </w:rPr>
              <w:t>装置</w:t>
            </w:r>
          </w:p>
        </w:tc>
        <w:tc>
          <w:tcPr>
            <w:tcW w:w="269" w:type="pct"/>
            <w:vMerge w:val="restart"/>
            <w:tcBorders>
              <w:tl2br w:val="nil"/>
              <w:tr2bl w:val="nil"/>
            </w:tcBorders>
            <w:vAlign w:val="center"/>
          </w:tcPr>
          <w:p>
            <w:pPr>
              <w:pStyle w:val="425"/>
              <w:snapToGrid w:val="0"/>
              <w:rPr>
                <w:color w:val="auto"/>
                <w:kern w:val="2"/>
                <w:u w:val="single"/>
              </w:rPr>
            </w:pPr>
            <w:r>
              <w:rPr>
                <w:color w:val="auto"/>
                <w:kern w:val="2"/>
                <w:u w:val="single"/>
              </w:rPr>
              <w:t>污染源</w:t>
            </w:r>
          </w:p>
        </w:tc>
        <w:tc>
          <w:tcPr>
            <w:tcW w:w="515" w:type="pct"/>
            <w:vMerge w:val="restart"/>
            <w:tcBorders>
              <w:tl2br w:val="nil"/>
              <w:tr2bl w:val="nil"/>
            </w:tcBorders>
            <w:vAlign w:val="center"/>
          </w:tcPr>
          <w:p>
            <w:pPr>
              <w:pStyle w:val="425"/>
              <w:snapToGrid w:val="0"/>
              <w:rPr>
                <w:color w:val="auto"/>
                <w:kern w:val="2"/>
                <w:u w:val="single"/>
              </w:rPr>
            </w:pPr>
            <w:r>
              <w:rPr>
                <w:color w:val="auto"/>
                <w:kern w:val="2"/>
                <w:u w:val="single"/>
              </w:rPr>
              <w:t>污染物</w:t>
            </w:r>
          </w:p>
        </w:tc>
        <w:tc>
          <w:tcPr>
            <w:tcW w:w="1957" w:type="pct"/>
            <w:gridSpan w:val="4"/>
            <w:tcBorders>
              <w:tl2br w:val="nil"/>
              <w:tr2bl w:val="nil"/>
            </w:tcBorders>
            <w:vAlign w:val="center"/>
          </w:tcPr>
          <w:p>
            <w:pPr>
              <w:pStyle w:val="425"/>
              <w:snapToGrid w:val="0"/>
              <w:rPr>
                <w:color w:val="auto"/>
                <w:kern w:val="2"/>
                <w:u w:val="single"/>
              </w:rPr>
            </w:pPr>
            <w:r>
              <w:rPr>
                <w:color w:val="auto"/>
                <w:kern w:val="2"/>
                <w:u w:val="single"/>
              </w:rPr>
              <w:t>污染物产生</w:t>
            </w:r>
          </w:p>
        </w:tc>
        <w:tc>
          <w:tcPr>
            <w:tcW w:w="1646" w:type="pct"/>
            <w:gridSpan w:val="3"/>
            <w:tcBorders>
              <w:tl2br w:val="nil"/>
              <w:tr2bl w:val="nil"/>
            </w:tcBorders>
            <w:vAlign w:val="center"/>
          </w:tcPr>
          <w:p>
            <w:pPr>
              <w:pStyle w:val="425"/>
              <w:snapToGrid w:val="0"/>
              <w:rPr>
                <w:color w:val="auto"/>
                <w:kern w:val="2"/>
                <w:u w:val="single"/>
              </w:rPr>
            </w:pPr>
            <w:r>
              <w:rPr>
                <w:color w:val="auto"/>
                <w:kern w:val="2"/>
                <w:u w:val="single"/>
              </w:rPr>
              <w:t>污染物排放</w:t>
            </w:r>
          </w:p>
        </w:tc>
        <w:tc>
          <w:tcPr>
            <w:tcW w:w="317" w:type="pct"/>
            <w:vMerge w:val="restart"/>
            <w:tcBorders>
              <w:tl2br w:val="nil"/>
              <w:tr2bl w:val="nil"/>
            </w:tcBorders>
            <w:vAlign w:val="center"/>
          </w:tcPr>
          <w:p>
            <w:pPr>
              <w:pStyle w:val="425"/>
              <w:snapToGrid w:val="0"/>
              <w:rPr>
                <w:color w:val="auto"/>
                <w:kern w:val="2"/>
                <w:u w:val="single"/>
              </w:rPr>
            </w:pPr>
            <w:r>
              <w:rPr>
                <w:color w:val="auto"/>
                <w:kern w:val="2"/>
                <w:u w:val="single"/>
              </w:rPr>
              <w:t>排放时间h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93" w:type="pct"/>
            <w:vMerge w:val="continue"/>
            <w:tcBorders>
              <w:tl2br w:val="nil"/>
              <w:tr2bl w:val="nil"/>
            </w:tcBorders>
            <w:vAlign w:val="center"/>
          </w:tcPr>
          <w:p>
            <w:pPr>
              <w:pStyle w:val="425"/>
              <w:snapToGrid w:val="0"/>
              <w:rPr>
                <w:color w:val="auto"/>
                <w:kern w:val="2"/>
                <w:u w:val="single"/>
              </w:rPr>
            </w:pPr>
          </w:p>
        </w:tc>
        <w:tc>
          <w:tcPr>
            <w:tcW w:w="269" w:type="pct"/>
            <w:vMerge w:val="continue"/>
            <w:tcBorders>
              <w:tl2br w:val="nil"/>
              <w:tr2bl w:val="nil"/>
            </w:tcBorders>
            <w:vAlign w:val="center"/>
          </w:tcPr>
          <w:p>
            <w:pPr>
              <w:pStyle w:val="425"/>
              <w:snapToGrid w:val="0"/>
              <w:rPr>
                <w:color w:val="auto"/>
                <w:kern w:val="2"/>
                <w:u w:val="single"/>
              </w:rPr>
            </w:pPr>
          </w:p>
        </w:tc>
        <w:tc>
          <w:tcPr>
            <w:tcW w:w="515" w:type="pct"/>
            <w:vMerge w:val="continue"/>
            <w:tcBorders>
              <w:tl2br w:val="nil"/>
              <w:tr2bl w:val="nil"/>
            </w:tcBorders>
            <w:vAlign w:val="center"/>
          </w:tcPr>
          <w:p>
            <w:pPr>
              <w:pStyle w:val="425"/>
              <w:snapToGrid w:val="0"/>
              <w:rPr>
                <w:color w:val="auto"/>
                <w:kern w:val="2"/>
                <w:u w:val="single"/>
              </w:rPr>
            </w:pPr>
          </w:p>
        </w:tc>
        <w:tc>
          <w:tcPr>
            <w:tcW w:w="391" w:type="pct"/>
            <w:tcBorders>
              <w:tl2br w:val="nil"/>
              <w:tr2bl w:val="nil"/>
            </w:tcBorders>
            <w:vAlign w:val="center"/>
          </w:tcPr>
          <w:p>
            <w:pPr>
              <w:pStyle w:val="425"/>
              <w:snapToGrid w:val="0"/>
              <w:rPr>
                <w:color w:val="auto"/>
                <w:kern w:val="2"/>
                <w:u w:val="single"/>
              </w:rPr>
            </w:pPr>
            <w:r>
              <w:rPr>
                <w:color w:val="auto"/>
                <w:kern w:val="2"/>
                <w:u w:val="single"/>
              </w:rPr>
              <w:t>核算方法</w:t>
            </w:r>
          </w:p>
        </w:tc>
        <w:tc>
          <w:tcPr>
            <w:tcW w:w="468" w:type="pct"/>
            <w:tcBorders>
              <w:tl2br w:val="nil"/>
              <w:tr2bl w:val="nil"/>
            </w:tcBorders>
            <w:vAlign w:val="center"/>
          </w:tcPr>
          <w:p>
            <w:pPr>
              <w:pStyle w:val="425"/>
              <w:snapToGrid w:val="0"/>
              <w:rPr>
                <w:color w:val="auto"/>
                <w:kern w:val="2"/>
                <w:u w:val="single"/>
              </w:rPr>
            </w:pPr>
            <w:r>
              <w:rPr>
                <w:rFonts w:hint="eastAsia"/>
                <w:color w:val="auto"/>
                <w:kern w:val="2"/>
                <w:u w:val="single"/>
                <w:lang w:eastAsia="zh-CN"/>
              </w:rPr>
              <w:t>风机风量</w:t>
            </w:r>
            <w:r>
              <w:rPr>
                <w:color w:val="auto"/>
                <w:kern w:val="2"/>
                <w:u w:val="single"/>
              </w:rPr>
              <w:t>（m³/h）</w:t>
            </w:r>
          </w:p>
        </w:tc>
        <w:tc>
          <w:tcPr>
            <w:tcW w:w="547" w:type="pct"/>
            <w:tcBorders>
              <w:tl2br w:val="nil"/>
              <w:tr2bl w:val="nil"/>
            </w:tcBorders>
            <w:vAlign w:val="center"/>
          </w:tcPr>
          <w:p>
            <w:pPr>
              <w:pStyle w:val="425"/>
              <w:snapToGrid w:val="0"/>
              <w:rPr>
                <w:color w:val="auto"/>
                <w:kern w:val="2"/>
                <w:u w:val="single"/>
              </w:rPr>
            </w:pPr>
            <w:r>
              <w:rPr>
                <w:color w:val="auto"/>
                <w:kern w:val="2"/>
                <w:u w:val="single"/>
              </w:rPr>
              <w:t>质量浓度（mg/m³）</w:t>
            </w:r>
          </w:p>
        </w:tc>
        <w:tc>
          <w:tcPr>
            <w:tcW w:w="549" w:type="pct"/>
            <w:tcBorders>
              <w:tl2br w:val="nil"/>
              <w:tr2bl w:val="nil"/>
            </w:tcBorders>
            <w:vAlign w:val="center"/>
          </w:tcPr>
          <w:p>
            <w:pPr>
              <w:pStyle w:val="425"/>
              <w:snapToGrid w:val="0"/>
              <w:rPr>
                <w:color w:val="auto"/>
                <w:kern w:val="2"/>
                <w:u w:val="single"/>
              </w:rPr>
            </w:pPr>
            <w:r>
              <w:rPr>
                <w:color w:val="auto"/>
                <w:kern w:val="2"/>
                <w:u w:val="single"/>
              </w:rPr>
              <w:t>产生量（kg/h）</w:t>
            </w:r>
          </w:p>
        </w:tc>
        <w:tc>
          <w:tcPr>
            <w:tcW w:w="547" w:type="pct"/>
            <w:tcBorders>
              <w:tl2br w:val="nil"/>
              <w:tr2bl w:val="nil"/>
            </w:tcBorders>
            <w:vAlign w:val="center"/>
          </w:tcPr>
          <w:p>
            <w:pPr>
              <w:pStyle w:val="425"/>
              <w:snapToGrid w:val="0"/>
              <w:rPr>
                <w:color w:val="auto"/>
                <w:kern w:val="2"/>
                <w:u w:val="single"/>
              </w:rPr>
            </w:pPr>
            <w:r>
              <w:rPr>
                <w:color w:val="auto"/>
                <w:kern w:val="2"/>
                <w:u w:val="single"/>
              </w:rPr>
              <w:t>烟气量（m³/h）</w:t>
            </w:r>
          </w:p>
        </w:tc>
        <w:tc>
          <w:tcPr>
            <w:tcW w:w="568" w:type="pct"/>
            <w:tcBorders>
              <w:tl2br w:val="nil"/>
              <w:tr2bl w:val="nil"/>
            </w:tcBorders>
            <w:vAlign w:val="center"/>
          </w:tcPr>
          <w:p>
            <w:pPr>
              <w:pStyle w:val="425"/>
              <w:snapToGrid w:val="0"/>
              <w:rPr>
                <w:color w:val="auto"/>
                <w:kern w:val="2"/>
                <w:u w:val="single"/>
              </w:rPr>
            </w:pPr>
            <w:r>
              <w:rPr>
                <w:color w:val="auto"/>
                <w:kern w:val="2"/>
                <w:u w:val="single"/>
              </w:rPr>
              <w:t>质量浓度（mg/m³）</w:t>
            </w:r>
          </w:p>
        </w:tc>
        <w:tc>
          <w:tcPr>
            <w:tcW w:w="530" w:type="pct"/>
            <w:tcBorders>
              <w:tl2br w:val="nil"/>
              <w:tr2bl w:val="nil"/>
            </w:tcBorders>
            <w:vAlign w:val="center"/>
          </w:tcPr>
          <w:p>
            <w:pPr>
              <w:pStyle w:val="425"/>
              <w:snapToGrid w:val="0"/>
              <w:rPr>
                <w:color w:val="auto"/>
                <w:kern w:val="2"/>
                <w:u w:val="single"/>
              </w:rPr>
            </w:pPr>
            <w:r>
              <w:rPr>
                <w:color w:val="auto"/>
                <w:kern w:val="2"/>
                <w:u w:val="single"/>
              </w:rPr>
              <w:t>产生量（kg/h）</w:t>
            </w:r>
          </w:p>
        </w:tc>
        <w:tc>
          <w:tcPr>
            <w:tcW w:w="317" w:type="pct"/>
            <w:vMerge w:val="continue"/>
            <w:tcBorders>
              <w:tl2br w:val="nil"/>
              <w:tr2bl w:val="nil"/>
            </w:tcBorders>
            <w:vAlign w:val="center"/>
          </w:tcPr>
          <w:p>
            <w:pPr>
              <w:pStyle w:val="425"/>
              <w:snapToGrid w:val="0"/>
              <w:rPr>
                <w:color w:val="auto"/>
                <w:kern w:val="2"/>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exact"/>
        </w:trPr>
        <w:tc>
          <w:tcPr>
            <w:tcW w:w="506" w:type="dxa"/>
            <w:vMerge w:val="restart"/>
            <w:tcBorders>
              <w:tl2br w:val="nil"/>
              <w:tr2bl w:val="nil"/>
            </w:tcBorders>
            <w:vAlign w:val="center"/>
          </w:tcPr>
          <w:p>
            <w:pPr>
              <w:keepNext w:val="0"/>
              <w:keepLines w:val="0"/>
              <w:widowControl/>
              <w:suppressLineNumbers w:val="0"/>
              <w:jc w:val="center"/>
              <w:textAlignment w:val="center"/>
              <w:rPr>
                <w:color w:val="auto"/>
                <w:kern w:val="2"/>
                <w:u w:val="single"/>
              </w:rPr>
            </w:pPr>
            <w:r>
              <w:rPr>
                <w:rFonts w:hint="default" w:ascii="Times New Roman" w:hAnsi="Times New Roman" w:eastAsia="宋体" w:cs="Times New Roman"/>
                <w:i w:val="0"/>
                <w:color w:val="auto"/>
                <w:kern w:val="0"/>
                <w:sz w:val="21"/>
                <w:szCs w:val="21"/>
                <w:u w:val="single"/>
                <w:lang w:val="en-US" w:eastAsia="zh-CN" w:bidi="ar"/>
              </w:rPr>
              <w:t>生物质锅炉</w:t>
            </w:r>
          </w:p>
        </w:tc>
        <w:tc>
          <w:tcPr>
            <w:tcW w:w="465" w:type="dxa"/>
            <w:vMerge w:val="restart"/>
            <w:tcBorders>
              <w:tl2br w:val="nil"/>
              <w:tr2bl w:val="nil"/>
            </w:tcBorders>
            <w:vAlign w:val="center"/>
          </w:tcPr>
          <w:p>
            <w:pPr>
              <w:keepNext w:val="0"/>
              <w:keepLines w:val="0"/>
              <w:widowControl/>
              <w:suppressLineNumbers w:val="0"/>
              <w:jc w:val="center"/>
              <w:textAlignment w:val="center"/>
              <w:rPr>
                <w:color w:val="auto"/>
                <w:kern w:val="2"/>
                <w:u w:val="single"/>
              </w:rPr>
            </w:pPr>
            <w:r>
              <w:rPr>
                <w:rFonts w:hint="default" w:ascii="Times New Roman" w:hAnsi="Times New Roman" w:eastAsia="宋体" w:cs="Times New Roman"/>
                <w:i w:val="0"/>
                <w:color w:val="auto"/>
                <w:kern w:val="0"/>
                <w:sz w:val="21"/>
                <w:szCs w:val="21"/>
                <w:u w:val="single"/>
                <w:lang w:val="en-US" w:eastAsia="zh-CN" w:bidi="ar"/>
              </w:rPr>
              <w:t>锅炉烟囱</w:t>
            </w:r>
          </w:p>
        </w:tc>
        <w:tc>
          <w:tcPr>
            <w:tcW w:w="888" w:type="dxa"/>
            <w:tcBorders>
              <w:tl2br w:val="nil"/>
              <w:tr2bl w:val="nil"/>
            </w:tcBorders>
            <w:vAlign w:val="center"/>
          </w:tcPr>
          <w:p>
            <w:pPr>
              <w:keepNext w:val="0"/>
              <w:keepLines w:val="0"/>
              <w:widowControl/>
              <w:suppressLineNumbers w:val="0"/>
              <w:jc w:val="center"/>
              <w:textAlignment w:val="center"/>
              <w:rPr>
                <w:color w:val="auto"/>
                <w:kern w:val="2"/>
                <w:u w:val="single"/>
              </w:rPr>
            </w:pPr>
            <w:r>
              <w:rPr>
                <w:rFonts w:hint="default" w:ascii="Times New Roman" w:hAnsi="Times New Roman" w:eastAsia="宋体" w:cs="Times New Roman"/>
                <w:i w:val="0"/>
                <w:color w:val="auto"/>
                <w:kern w:val="0"/>
                <w:sz w:val="21"/>
                <w:szCs w:val="21"/>
                <w:u w:val="single"/>
                <w:lang w:val="en-US" w:eastAsia="zh-CN" w:bidi="ar"/>
              </w:rPr>
              <w:t>颗粒物</w:t>
            </w:r>
          </w:p>
        </w:tc>
        <w:tc>
          <w:tcPr>
            <w:tcW w:w="675" w:type="dxa"/>
            <w:vMerge w:val="restart"/>
            <w:tcBorders>
              <w:tl2br w:val="nil"/>
              <w:tr2bl w:val="nil"/>
            </w:tcBorders>
            <w:vAlign w:val="center"/>
          </w:tcPr>
          <w:p>
            <w:pPr>
              <w:keepNext w:val="0"/>
              <w:keepLines w:val="0"/>
              <w:widowControl/>
              <w:suppressLineNumbers w:val="0"/>
              <w:jc w:val="center"/>
              <w:textAlignment w:val="center"/>
              <w:rPr>
                <w:color w:val="auto"/>
                <w:kern w:val="2"/>
                <w:u w:val="single"/>
              </w:rPr>
            </w:pPr>
            <w:r>
              <w:rPr>
                <w:rFonts w:hint="default" w:ascii="Times New Roman" w:hAnsi="Times New Roman" w:eastAsia="宋体" w:cs="Times New Roman"/>
                <w:i w:val="0"/>
                <w:color w:val="auto"/>
                <w:kern w:val="0"/>
                <w:sz w:val="21"/>
                <w:szCs w:val="21"/>
                <w:u w:val="single"/>
                <w:lang w:val="en-US" w:eastAsia="zh-CN" w:bidi="ar"/>
              </w:rPr>
              <w:t>产排污系数法</w:t>
            </w:r>
          </w:p>
        </w:tc>
        <w:tc>
          <w:tcPr>
            <w:tcW w:w="807"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3100</w:t>
            </w:r>
          </w:p>
        </w:tc>
        <w:tc>
          <w:tcPr>
            <w:tcW w:w="943"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38.7</w:t>
            </w:r>
            <w:r>
              <w:rPr>
                <w:rFonts w:hint="default" w:ascii="Times New Roman" w:hAnsi="Times New Roman" w:eastAsia="宋体" w:cs="Times New Roman"/>
                <w:color w:val="auto"/>
                <w:kern w:val="2"/>
                <w:sz w:val="21"/>
                <w:szCs w:val="21"/>
                <w:u w:val="single"/>
                <w:lang w:val="en-US" w:eastAsia="zh-CN" w:bidi="ar-SA"/>
              </w:rPr>
              <w:t xml:space="preserve"> </w:t>
            </w:r>
          </w:p>
        </w:tc>
        <w:tc>
          <w:tcPr>
            <w:tcW w:w="949"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default" w:ascii="Times New Roman" w:hAnsi="Times New Roman" w:eastAsia="宋体" w:cs="Times New Roman"/>
                <w:color w:val="auto"/>
                <w:kern w:val="2"/>
                <w:sz w:val="21"/>
                <w:szCs w:val="21"/>
                <w:u w:val="single"/>
                <w:lang w:val="en-US" w:eastAsia="zh-CN" w:bidi="ar-SA"/>
              </w:rPr>
              <w:t>0.1</w:t>
            </w:r>
          </w:p>
        </w:tc>
        <w:tc>
          <w:tcPr>
            <w:tcW w:w="943" w:type="dxa"/>
            <w:vMerge w:val="restart"/>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3100</w:t>
            </w:r>
          </w:p>
        </w:tc>
        <w:tc>
          <w:tcPr>
            <w:tcW w:w="9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3.9</w:t>
            </w:r>
            <w:r>
              <w:rPr>
                <w:rFonts w:hint="default" w:ascii="Times New Roman" w:hAnsi="Times New Roman" w:eastAsia="宋体" w:cs="Times New Roman"/>
                <w:color w:val="auto"/>
                <w:kern w:val="2"/>
                <w:sz w:val="21"/>
                <w:szCs w:val="21"/>
                <w:u w:val="single"/>
                <w:lang w:val="en-US" w:eastAsia="zh-CN" w:bidi="ar-SA"/>
              </w:rPr>
              <w:t xml:space="preserve"> </w:t>
            </w:r>
          </w:p>
        </w:tc>
        <w:tc>
          <w:tcPr>
            <w:tcW w:w="91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u w:val="single"/>
                <w:lang w:val="en-US" w:eastAsia="zh-CN" w:bidi="ar-SA"/>
              </w:rPr>
            </w:pPr>
            <w:r>
              <w:rPr>
                <w:rFonts w:hint="default" w:ascii="Times New Roman" w:hAnsi="Times New Roman" w:eastAsia="宋体" w:cs="Times New Roman"/>
                <w:color w:val="auto"/>
                <w:kern w:val="2"/>
                <w:sz w:val="21"/>
                <w:szCs w:val="21"/>
                <w:u w:val="single"/>
                <w:lang w:val="en-US" w:eastAsia="zh-CN" w:bidi="ar-SA"/>
              </w:rPr>
              <w:t>0.01</w:t>
            </w:r>
          </w:p>
        </w:tc>
        <w:tc>
          <w:tcPr>
            <w:tcW w:w="317" w:type="pct"/>
            <w:vMerge w:val="restart"/>
            <w:tcBorders>
              <w:tl2br w:val="nil"/>
              <w:tr2bl w:val="nil"/>
            </w:tcBorders>
            <w:vAlign w:val="center"/>
          </w:tcPr>
          <w:p>
            <w:pPr>
              <w:pStyle w:val="425"/>
              <w:snapToGrid w:val="0"/>
              <w:rPr>
                <w:color w:val="auto"/>
                <w:kern w:val="2"/>
                <w:u w:val="single"/>
              </w:rPr>
            </w:pPr>
            <w:r>
              <w:rPr>
                <w:rFonts w:hint="eastAsia"/>
                <w:color w:val="auto"/>
                <w:kern w:val="2"/>
                <w:u w:val="single"/>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3" w:hRule="exact"/>
        </w:trPr>
        <w:tc>
          <w:tcPr>
            <w:tcW w:w="506" w:type="dxa"/>
            <w:vMerge w:val="continue"/>
            <w:tcBorders>
              <w:tl2br w:val="nil"/>
              <w:tr2bl w:val="nil"/>
            </w:tcBorders>
            <w:vAlign w:val="center"/>
          </w:tcPr>
          <w:p>
            <w:pPr>
              <w:jc w:val="center"/>
              <w:rPr>
                <w:color w:val="auto"/>
                <w:kern w:val="2"/>
                <w:u w:val="single"/>
              </w:rPr>
            </w:pPr>
          </w:p>
        </w:tc>
        <w:tc>
          <w:tcPr>
            <w:tcW w:w="465" w:type="dxa"/>
            <w:vMerge w:val="continue"/>
            <w:tcBorders>
              <w:tl2br w:val="nil"/>
              <w:tr2bl w:val="nil"/>
            </w:tcBorders>
            <w:vAlign w:val="center"/>
          </w:tcPr>
          <w:p>
            <w:pPr>
              <w:jc w:val="center"/>
              <w:rPr>
                <w:color w:val="auto"/>
                <w:kern w:val="2"/>
                <w:u w:val="single"/>
              </w:rPr>
            </w:pPr>
          </w:p>
        </w:tc>
        <w:tc>
          <w:tcPr>
            <w:tcW w:w="888" w:type="dxa"/>
            <w:tcBorders>
              <w:tl2br w:val="nil"/>
              <w:tr2bl w:val="nil"/>
            </w:tcBorders>
            <w:vAlign w:val="center"/>
          </w:tcPr>
          <w:p>
            <w:pPr>
              <w:keepNext w:val="0"/>
              <w:keepLines w:val="0"/>
              <w:widowControl/>
              <w:suppressLineNumbers w:val="0"/>
              <w:jc w:val="center"/>
              <w:textAlignment w:val="center"/>
              <w:rPr>
                <w:color w:val="auto"/>
                <w:kern w:val="2"/>
                <w:u w:val="single"/>
              </w:rPr>
            </w:pPr>
            <w:r>
              <w:rPr>
                <w:rFonts w:hint="default" w:ascii="Times New Roman" w:hAnsi="Times New Roman" w:eastAsia="宋体" w:cs="Times New Roman"/>
                <w:i w:val="0"/>
                <w:color w:val="auto"/>
                <w:kern w:val="0"/>
                <w:sz w:val="21"/>
                <w:szCs w:val="21"/>
                <w:u w:val="single"/>
                <w:lang w:val="en-US" w:eastAsia="zh-CN" w:bidi="ar"/>
              </w:rPr>
              <w:t>SO</w:t>
            </w:r>
            <w:r>
              <w:rPr>
                <w:rFonts w:hint="default" w:ascii="Times New Roman" w:hAnsi="Times New Roman" w:eastAsia="宋体" w:cs="Times New Roman"/>
                <w:i w:val="0"/>
                <w:color w:val="auto"/>
                <w:kern w:val="0"/>
                <w:sz w:val="21"/>
                <w:szCs w:val="21"/>
                <w:u w:val="single"/>
                <w:vertAlign w:val="subscript"/>
                <w:lang w:val="en-US" w:eastAsia="zh-CN" w:bidi="ar"/>
              </w:rPr>
              <w:t>2</w:t>
            </w:r>
          </w:p>
        </w:tc>
        <w:tc>
          <w:tcPr>
            <w:tcW w:w="675" w:type="dxa"/>
            <w:vMerge w:val="continue"/>
            <w:tcBorders>
              <w:tl2br w:val="nil"/>
              <w:tr2bl w:val="nil"/>
            </w:tcBorders>
            <w:vAlign w:val="center"/>
          </w:tcPr>
          <w:p>
            <w:pPr>
              <w:jc w:val="center"/>
              <w:rPr>
                <w:color w:val="auto"/>
                <w:kern w:val="2"/>
                <w:u w:val="single"/>
              </w:rPr>
            </w:pPr>
          </w:p>
        </w:tc>
        <w:tc>
          <w:tcPr>
            <w:tcW w:w="807" w:type="dxa"/>
            <w:vMerge w:val="continue"/>
            <w:tcBorders>
              <w:tl2br w:val="nil"/>
              <w:tr2bl w:val="nil"/>
            </w:tcBorders>
            <w:vAlign w:val="center"/>
          </w:tcPr>
          <w:p>
            <w:pPr>
              <w:jc w:val="center"/>
              <w:rPr>
                <w:rFonts w:ascii="Times New Roman" w:hAnsi="Times New Roman" w:eastAsia="宋体" w:cs="Times New Roman"/>
                <w:color w:val="auto"/>
                <w:kern w:val="2"/>
                <w:sz w:val="21"/>
                <w:szCs w:val="21"/>
                <w:u w:val="single"/>
                <w:lang w:val="en-US" w:eastAsia="zh-CN" w:bidi="ar-SA"/>
              </w:rPr>
            </w:pPr>
          </w:p>
        </w:tc>
        <w:tc>
          <w:tcPr>
            <w:tcW w:w="943"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76.8</w:t>
            </w:r>
            <w:r>
              <w:rPr>
                <w:rFonts w:hint="default" w:ascii="Times New Roman" w:hAnsi="Times New Roman" w:eastAsia="宋体" w:cs="Times New Roman"/>
                <w:color w:val="auto"/>
                <w:kern w:val="2"/>
                <w:sz w:val="21"/>
                <w:szCs w:val="21"/>
                <w:u w:val="single"/>
                <w:lang w:val="en-US" w:eastAsia="zh-CN" w:bidi="ar-SA"/>
              </w:rPr>
              <w:t xml:space="preserve"> </w:t>
            </w:r>
          </w:p>
        </w:tc>
        <w:tc>
          <w:tcPr>
            <w:tcW w:w="949"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default" w:ascii="Times New Roman" w:hAnsi="Times New Roman" w:eastAsia="宋体" w:cs="Times New Roman"/>
                <w:color w:val="auto"/>
                <w:kern w:val="2"/>
                <w:sz w:val="21"/>
                <w:szCs w:val="21"/>
                <w:u w:val="single"/>
                <w:lang w:val="en-US" w:eastAsia="zh-CN" w:bidi="ar-SA"/>
              </w:rPr>
              <w:t>0.238</w:t>
            </w:r>
          </w:p>
        </w:tc>
        <w:tc>
          <w:tcPr>
            <w:tcW w:w="943" w:type="dxa"/>
            <w:vMerge w:val="continue"/>
            <w:tcBorders>
              <w:tl2br w:val="nil"/>
              <w:tr2bl w:val="nil"/>
            </w:tcBorders>
            <w:vAlign w:val="center"/>
          </w:tcPr>
          <w:p>
            <w:pPr>
              <w:jc w:val="center"/>
              <w:rPr>
                <w:rFonts w:ascii="Times New Roman" w:hAnsi="Times New Roman" w:eastAsia="宋体" w:cs="Times New Roman"/>
                <w:color w:val="auto"/>
                <w:kern w:val="2"/>
                <w:sz w:val="21"/>
                <w:szCs w:val="21"/>
                <w:u w:val="single"/>
                <w:lang w:val="en-US" w:eastAsia="zh-CN" w:bidi="ar-SA"/>
              </w:rPr>
            </w:pPr>
          </w:p>
        </w:tc>
        <w:tc>
          <w:tcPr>
            <w:tcW w:w="979"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76.8</w:t>
            </w:r>
            <w:r>
              <w:rPr>
                <w:rFonts w:hint="default" w:ascii="Times New Roman" w:hAnsi="Times New Roman" w:eastAsia="宋体" w:cs="Times New Roman"/>
                <w:color w:val="auto"/>
                <w:kern w:val="2"/>
                <w:sz w:val="21"/>
                <w:szCs w:val="21"/>
                <w:u w:val="single"/>
                <w:lang w:val="en-US" w:eastAsia="zh-CN" w:bidi="ar-SA"/>
              </w:rPr>
              <w:t xml:space="preserve"> </w:t>
            </w:r>
          </w:p>
        </w:tc>
        <w:tc>
          <w:tcPr>
            <w:tcW w:w="915"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default" w:ascii="Times New Roman" w:hAnsi="Times New Roman" w:eastAsia="宋体" w:cs="Times New Roman"/>
                <w:color w:val="auto"/>
                <w:kern w:val="2"/>
                <w:sz w:val="21"/>
                <w:szCs w:val="21"/>
                <w:u w:val="single"/>
                <w:lang w:val="en-US" w:eastAsia="zh-CN" w:bidi="ar-SA"/>
              </w:rPr>
              <w:t>0.238</w:t>
            </w:r>
          </w:p>
        </w:tc>
        <w:tc>
          <w:tcPr>
            <w:tcW w:w="317" w:type="pct"/>
            <w:vMerge w:val="continue"/>
            <w:tcBorders>
              <w:tl2br w:val="nil"/>
              <w:tr2bl w:val="nil"/>
            </w:tcBorders>
            <w:vAlign w:val="center"/>
          </w:tcPr>
          <w:p>
            <w:pPr>
              <w:pStyle w:val="425"/>
              <w:snapToGrid w:val="0"/>
              <w:rPr>
                <w:color w:val="auto"/>
                <w:kern w:val="2"/>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506" w:type="dxa"/>
            <w:vMerge w:val="continue"/>
            <w:tcBorders>
              <w:tl2br w:val="nil"/>
              <w:tr2bl w:val="nil"/>
            </w:tcBorders>
            <w:vAlign w:val="center"/>
          </w:tcPr>
          <w:p>
            <w:pPr>
              <w:jc w:val="center"/>
              <w:rPr>
                <w:color w:val="auto"/>
                <w:kern w:val="2"/>
                <w:u w:val="single"/>
              </w:rPr>
            </w:pPr>
          </w:p>
        </w:tc>
        <w:tc>
          <w:tcPr>
            <w:tcW w:w="465" w:type="dxa"/>
            <w:vMerge w:val="continue"/>
            <w:tcBorders>
              <w:tl2br w:val="nil"/>
              <w:tr2bl w:val="nil"/>
            </w:tcBorders>
            <w:vAlign w:val="center"/>
          </w:tcPr>
          <w:p>
            <w:pPr>
              <w:jc w:val="center"/>
              <w:rPr>
                <w:color w:val="auto"/>
                <w:kern w:val="2"/>
                <w:u w:val="single"/>
              </w:rPr>
            </w:pPr>
          </w:p>
        </w:tc>
        <w:tc>
          <w:tcPr>
            <w:tcW w:w="888" w:type="dxa"/>
            <w:tcBorders>
              <w:tl2br w:val="nil"/>
              <w:tr2bl w:val="nil"/>
            </w:tcBorders>
            <w:vAlign w:val="center"/>
          </w:tcPr>
          <w:p>
            <w:pPr>
              <w:keepNext w:val="0"/>
              <w:keepLines w:val="0"/>
              <w:widowControl/>
              <w:suppressLineNumbers w:val="0"/>
              <w:jc w:val="center"/>
              <w:textAlignment w:val="center"/>
              <w:rPr>
                <w:color w:val="auto"/>
                <w:kern w:val="2"/>
                <w:u w:val="single"/>
              </w:rPr>
            </w:pPr>
            <w:r>
              <w:rPr>
                <w:rFonts w:hint="default" w:ascii="Times New Roman" w:hAnsi="Times New Roman" w:eastAsia="宋体" w:cs="Times New Roman"/>
                <w:i w:val="0"/>
                <w:color w:val="auto"/>
                <w:kern w:val="0"/>
                <w:sz w:val="21"/>
                <w:szCs w:val="21"/>
                <w:u w:val="single"/>
                <w:lang w:val="en-US" w:eastAsia="zh-CN" w:bidi="ar"/>
              </w:rPr>
              <w:t>NOx</w:t>
            </w:r>
          </w:p>
        </w:tc>
        <w:tc>
          <w:tcPr>
            <w:tcW w:w="675" w:type="dxa"/>
            <w:vMerge w:val="continue"/>
            <w:tcBorders>
              <w:tl2br w:val="nil"/>
              <w:tr2bl w:val="nil"/>
            </w:tcBorders>
            <w:vAlign w:val="center"/>
          </w:tcPr>
          <w:p>
            <w:pPr>
              <w:jc w:val="center"/>
              <w:rPr>
                <w:color w:val="auto"/>
                <w:kern w:val="2"/>
                <w:u w:val="single"/>
              </w:rPr>
            </w:pPr>
          </w:p>
        </w:tc>
        <w:tc>
          <w:tcPr>
            <w:tcW w:w="807" w:type="dxa"/>
            <w:vMerge w:val="continue"/>
            <w:tcBorders>
              <w:tl2br w:val="nil"/>
              <w:tr2bl w:val="nil"/>
            </w:tcBorders>
            <w:vAlign w:val="center"/>
          </w:tcPr>
          <w:p>
            <w:pPr>
              <w:jc w:val="center"/>
              <w:rPr>
                <w:rFonts w:ascii="Times New Roman" w:hAnsi="Times New Roman" w:eastAsia="宋体" w:cs="Times New Roman"/>
                <w:color w:val="auto"/>
                <w:kern w:val="2"/>
                <w:sz w:val="21"/>
                <w:szCs w:val="21"/>
                <w:u w:val="single"/>
                <w:lang w:val="en-US" w:eastAsia="zh-CN" w:bidi="ar-SA"/>
              </w:rPr>
            </w:pPr>
          </w:p>
        </w:tc>
        <w:tc>
          <w:tcPr>
            <w:tcW w:w="94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65.8</w:t>
            </w:r>
          </w:p>
        </w:tc>
        <w:tc>
          <w:tcPr>
            <w:tcW w:w="949"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default" w:ascii="Times New Roman" w:hAnsi="Times New Roman" w:eastAsia="宋体" w:cs="Times New Roman"/>
                <w:color w:val="auto"/>
                <w:kern w:val="2"/>
                <w:sz w:val="21"/>
                <w:szCs w:val="21"/>
                <w:u w:val="single"/>
                <w:lang w:val="en-US" w:eastAsia="zh-CN" w:bidi="ar-SA"/>
              </w:rPr>
              <w:t>0.204</w:t>
            </w:r>
          </w:p>
        </w:tc>
        <w:tc>
          <w:tcPr>
            <w:tcW w:w="943" w:type="dxa"/>
            <w:vMerge w:val="continue"/>
            <w:tcBorders>
              <w:tl2br w:val="nil"/>
              <w:tr2bl w:val="nil"/>
            </w:tcBorders>
            <w:vAlign w:val="center"/>
          </w:tcPr>
          <w:p>
            <w:pPr>
              <w:jc w:val="center"/>
              <w:rPr>
                <w:rFonts w:ascii="Times New Roman" w:hAnsi="Times New Roman" w:eastAsia="宋体" w:cs="Times New Roman"/>
                <w:color w:val="auto"/>
                <w:kern w:val="2"/>
                <w:sz w:val="21"/>
                <w:szCs w:val="21"/>
                <w:u w:val="single"/>
                <w:lang w:val="en-US" w:eastAsia="zh-CN" w:bidi="ar-SA"/>
              </w:rPr>
            </w:pPr>
          </w:p>
        </w:tc>
        <w:tc>
          <w:tcPr>
            <w:tcW w:w="979"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eastAsia" w:ascii="Times New Roman" w:eastAsia="宋体" w:cs="Times New Roman"/>
                <w:color w:val="auto"/>
                <w:kern w:val="2"/>
                <w:sz w:val="21"/>
                <w:szCs w:val="21"/>
                <w:u w:val="single"/>
                <w:lang w:val="en-US" w:eastAsia="zh-CN" w:bidi="ar-SA"/>
              </w:rPr>
              <w:t>65.8</w:t>
            </w:r>
          </w:p>
        </w:tc>
        <w:tc>
          <w:tcPr>
            <w:tcW w:w="915" w:type="dxa"/>
            <w:tcBorders>
              <w:tl2br w:val="nil"/>
              <w:tr2bl w:val="nil"/>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u w:val="single"/>
                <w:lang w:val="en-US" w:eastAsia="zh-CN" w:bidi="ar-SA"/>
              </w:rPr>
            </w:pPr>
            <w:r>
              <w:rPr>
                <w:rFonts w:hint="default" w:ascii="Times New Roman" w:hAnsi="Times New Roman" w:eastAsia="宋体" w:cs="Times New Roman"/>
                <w:color w:val="auto"/>
                <w:kern w:val="2"/>
                <w:sz w:val="21"/>
                <w:szCs w:val="21"/>
                <w:u w:val="single"/>
                <w:lang w:val="en-US" w:eastAsia="zh-CN" w:bidi="ar-SA"/>
              </w:rPr>
              <w:t>0.204</w:t>
            </w:r>
          </w:p>
        </w:tc>
        <w:tc>
          <w:tcPr>
            <w:tcW w:w="317" w:type="pct"/>
            <w:vMerge w:val="continue"/>
            <w:tcBorders>
              <w:tl2br w:val="nil"/>
              <w:tr2bl w:val="nil"/>
            </w:tcBorders>
            <w:vAlign w:val="center"/>
          </w:tcPr>
          <w:p>
            <w:pPr>
              <w:pStyle w:val="425"/>
              <w:snapToGrid w:val="0"/>
              <w:rPr>
                <w:color w:val="auto"/>
                <w:kern w:val="2"/>
                <w:u w:val="single"/>
              </w:rPr>
            </w:pPr>
          </w:p>
        </w:tc>
      </w:tr>
    </w:tbl>
    <w:p>
      <w:pPr>
        <w:pStyle w:val="426"/>
        <w:tabs>
          <w:tab w:val="left" w:pos="426"/>
        </w:tabs>
        <w:ind w:firstLine="497"/>
        <w:rPr>
          <w:color w:val="auto"/>
          <w:u w:val="single"/>
        </w:rPr>
      </w:pPr>
      <w:r>
        <w:rPr>
          <w:color w:val="auto"/>
          <w:u w:val="single"/>
        </w:rPr>
        <w:t>每台锅炉颗粒物、SO</w:t>
      </w:r>
      <w:r>
        <w:rPr>
          <w:color w:val="auto"/>
          <w:u w:val="single"/>
          <w:vertAlign w:val="subscript"/>
        </w:rPr>
        <w:t>2</w:t>
      </w:r>
      <w:r>
        <w:rPr>
          <w:rFonts w:hint="eastAsia"/>
          <w:color w:val="auto"/>
          <w:u w:val="single"/>
        </w:rPr>
        <w:t>和</w:t>
      </w:r>
      <w:r>
        <w:rPr>
          <w:color w:val="auto"/>
          <w:u w:val="single"/>
        </w:rPr>
        <w:t>NOx产生量分别为：0.</w:t>
      </w:r>
      <w:r>
        <w:rPr>
          <w:rFonts w:hint="eastAsia"/>
          <w:color w:val="auto"/>
          <w:u w:val="single"/>
          <w:lang w:val="en-US" w:eastAsia="zh-CN"/>
        </w:rPr>
        <w:t>12</w:t>
      </w:r>
      <w:r>
        <w:rPr>
          <w:color w:val="auto"/>
          <w:u w:val="single"/>
        </w:rPr>
        <w:t>t/a、0.</w:t>
      </w:r>
      <w:r>
        <w:rPr>
          <w:rFonts w:hint="eastAsia"/>
          <w:color w:val="auto"/>
          <w:u w:val="single"/>
          <w:lang w:val="en-US" w:eastAsia="zh-CN"/>
        </w:rPr>
        <w:t>286</w:t>
      </w:r>
      <w:r>
        <w:rPr>
          <w:color w:val="auto"/>
          <w:u w:val="single"/>
        </w:rPr>
        <w:t>t/a</w:t>
      </w:r>
      <w:r>
        <w:rPr>
          <w:rFonts w:hint="eastAsia"/>
          <w:color w:val="auto"/>
          <w:u w:val="single"/>
        </w:rPr>
        <w:t>和</w:t>
      </w:r>
      <w:r>
        <w:rPr>
          <w:color w:val="auto"/>
          <w:u w:val="single"/>
        </w:rPr>
        <w:t>0.</w:t>
      </w:r>
      <w:r>
        <w:rPr>
          <w:rFonts w:hint="eastAsia"/>
          <w:color w:val="auto"/>
          <w:u w:val="single"/>
          <w:lang w:val="en-US" w:eastAsia="zh-CN"/>
        </w:rPr>
        <w:t>245</w:t>
      </w:r>
      <w:r>
        <w:rPr>
          <w:color w:val="auto"/>
          <w:u w:val="single"/>
        </w:rPr>
        <w:t>t/a，产生浓度分别为</w:t>
      </w:r>
      <w:r>
        <w:rPr>
          <w:rFonts w:hint="eastAsia"/>
          <w:color w:val="auto"/>
          <w:u w:val="single"/>
          <w:lang w:val="en-US" w:eastAsia="zh-CN"/>
        </w:rPr>
        <w:t>38.7</w:t>
      </w:r>
      <w:r>
        <w:rPr>
          <w:color w:val="auto"/>
          <w:u w:val="single"/>
        </w:rPr>
        <w:t>mg/m</w:t>
      </w:r>
      <w:r>
        <w:rPr>
          <w:color w:val="auto"/>
          <w:u w:val="single"/>
          <w:vertAlign w:val="superscript"/>
        </w:rPr>
        <w:t>3</w:t>
      </w:r>
      <w:r>
        <w:rPr>
          <w:color w:val="auto"/>
          <w:u w:val="single"/>
        </w:rPr>
        <w:t>、</w:t>
      </w:r>
      <w:r>
        <w:rPr>
          <w:rFonts w:hint="eastAsia"/>
          <w:color w:val="auto"/>
          <w:u w:val="single"/>
          <w:lang w:val="en-US" w:eastAsia="zh-CN"/>
        </w:rPr>
        <w:t>76.8</w:t>
      </w:r>
      <w:r>
        <w:rPr>
          <w:color w:val="auto"/>
          <w:u w:val="single"/>
        </w:rPr>
        <w:t>mg/m</w:t>
      </w:r>
      <w:r>
        <w:rPr>
          <w:color w:val="auto"/>
          <w:u w:val="single"/>
          <w:vertAlign w:val="superscript"/>
        </w:rPr>
        <w:t>3</w:t>
      </w:r>
      <w:r>
        <w:rPr>
          <w:rFonts w:hint="eastAsia"/>
          <w:color w:val="auto"/>
          <w:u w:val="single"/>
        </w:rPr>
        <w:t>和</w:t>
      </w:r>
      <w:r>
        <w:rPr>
          <w:rFonts w:hint="eastAsia"/>
          <w:color w:val="auto"/>
          <w:u w:val="single"/>
          <w:lang w:val="en-US" w:eastAsia="zh-CN"/>
        </w:rPr>
        <w:t>65.8</w:t>
      </w:r>
      <w:r>
        <w:rPr>
          <w:color w:val="auto"/>
          <w:u w:val="single"/>
        </w:rPr>
        <w:t>mg/m</w:t>
      </w:r>
      <w:r>
        <w:rPr>
          <w:color w:val="auto"/>
          <w:u w:val="single"/>
          <w:vertAlign w:val="superscript"/>
        </w:rPr>
        <w:t>3</w:t>
      </w:r>
      <w:r>
        <w:rPr>
          <w:color w:val="auto"/>
          <w:u w:val="single"/>
        </w:rPr>
        <w:t>。锅炉经各自的布袋除尘器，除尘效率按</w:t>
      </w:r>
      <w:r>
        <w:rPr>
          <w:rFonts w:hint="eastAsia"/>
          <w:color w:val="auto"/>
          <w:u w:val="single"/>
          <w:lang w:val="en-US" w:eastAsia="zh-CN"/>
        </w:rPr>
        <w:t>90</w:t>
      </w:r>
      <w:r>
        <w:rPr>
          <w:color w:val="auto"/>
          <w:u w:val="single"/>
        </w:rPr>
        <w:t>%计，每台锅炉颗粒物、SO</w:t>
      </w:r>
      <w:r>
        <w:rPr>
          <w:color w:val="auto"/>
          <w:u w:val="single"/>
          <w:vertAlign w:val="subscript"/>
        </w:rPr>
        <w:t>2</w:t>
      </w:r>
      <w:r>
        <w:rPr>
          <w:rFonts w:hint="eastAsia"/>
          <w:color w:val="auto"/>
          <w:u w:val="single"/>
        </w:rPr>
        <w:t>和</w:t>
      </w:r>
      <w:r>
        <w:rPr>
          <w:color w:val="auto"/>
          <w:u w:val="single"/>
        </w:rPr>
        <w:t>NOx排放量分别为0.</w:t>
      </w:r>
      <w:r>
        <w:rPr>
          <w:rFonts w:hint="eastAsia"/>
          <w:color w:val="auto"/>
          <w:u w:val="single"/>
          <w:lang w:val="en-US" w:eastAsia="zh-CN"/>
        </w:rPr>
        <w:t>012</w:t>
      </w:r>
      <w:r>
        <w:rPr>
          <w:color w:val="auto"/>
          <w:u w:val="single"/>
        </w:rPr>
        <w:t>t/a、0.</w:t>
      </w:r>
      <w:r>
        <w:rPr>
          <w:rFonts w:hint="eastAsia"/>
          <w:color w:val="auto"/>
          <w:u w:val="single"/>
          <w:lang w:val="en-US" w:eastAsia="zh-CN"/>
        </w:rPr>
        <w:t>286</w:t>
      </w:r>
      <w:r>
        <w:rPr>
          <w:color w:val="auto"/>
          <w:u w:val="single"/>
        </w:rPr>
        <w:t>t/a</w:t>
      </w:r>
      <w:r>
        <w:rPr>
          <w:rFonts w:hint="eastAsia"/>
          <w:color w:val="auto"/>
          <w:u w:val="single"/>
        </w:rPr>
        <w:t>和</w:t>
      </w:r>
      <w:r>
        <w:rPr>
          <w:color w:val="auto"/>
          <w:u w:val="single"/>
        </w:rPr>
        <w:t>0.</w:t>
      </w:r>
      <w:r>
        <w:rPr>
          <w:rFonts w:hint="eastAsia"/>
          <w:color w:val="auto"/>
          <w:u w:val="single"/>
          <w:lang w:val="en-US" w:eastAsia="zh-CN"/>
        </w:rPr>
        <w:t>245</w:t>
      </w:r>
      <w:r>
        <w:rPr>
          <w:color w:val="auto"/>
          <w:u w:val="single"/>
        </w:rPr>
        <w:t>t/a，排放浓度分别为</w:t>
      </w:r>
      <w:r>
        <w:rPr>
          <w:rFonts w:hint="eastAsia"/>
          <w:color w:val="auto"/>
          <w:u w:val="single"/>
          <w:lang w:val="en-US" w:eastAsia="zh-CN"/>
        </w:rPr>
        <w:t>3.9</w:t>
      </w:r>
      <w:r>
        <w:rPr>
          <w:color w:val="auto"/>
          <w:u w:val="single"/>
        </w:rPr>
        <w:t>mg/m</w:t>
      </w:r>
      <w:r>
        <w:rPr>
          <w:color w:val="auto"/>
          <w:u w:val="single"/>
          <w:vertAlign w:val="superscript"/>
        </w:rPr>
        <w:t>3</w:t>
      </w:r>
      <w:r>
        <w:rPr>
          <w:color w:val="auto"/>
          <w:u w:val="single"/>
        </w:rPr>
        <w:t>、</w:t>
      </w:r>
      <w:r>
        <w:rPr>
          <w:rFonts w:hint="eastAsia"/>
          <w:color w:val="auto"/>
          <w:u w:val="single"/>
          <w:lang w:val="en-US" w:eastAsia="zh-CN"/>
        </w:rPr>
        <w:t>76.8</w:t>
      </w:r>
      <w:r>
        <w:rPr>
          <w:color w:val="auto"/>
          <w:u w:val="single"/>
        </w:rPr>
        <w:t>mg/m</w:t>
      </w:r>
      <w:r>
        <w:rPr>
          <w:color w:val="auto"/>
          <w:u w:val="single"/>
          <w:vertAlign w:val="superscript"/>
        </w:rPr>
        <w:t>3</w:t>
      </w:r>
      <w:r>
        <w:rPr>
          <w:rFonts w:hint="eastAsia"/>
          <w:color w:val="auto"/>
          <w:u w:val="single"/>
        </w:rPr>
        <w:t>和</w:t>
      </w:r>
      <w:r>
        <w:rPr>
          <w:rFonts w:hint="eastAsia"/>
          <w:color w:val="auto"/>
          <w:u w:val="single"/>
          <w:lang w:val="en-US" w:eastAsia="zh-CN"/>
        </w:rPr>
        <w:t>65.8</w:t>
      </w:r>
      <w:r>
        <w:rPr>
          <w:color w:val="auto"/>
          <w:u w:val="single"/>
        </w:rPr>
        <w:t>mg/m</w:t>
      </w:r>
      <w:r>
        <w:rPr>
          <w:color w:val="auto"/>
          <w:u w:val="single"/>
          <w:vertAlign w:val="superscript"/>
        </w:rPr>
        <w:t>3</w:t>
      </w:r>
      <w:r>
        <w:rPr>
          <w:color w:val="auto"/>
          <w:u w:val="single"/>
        </w:rPr>
        <w:t>。</w:t>
      </w:r>
      <w:r>
        <w:rPr>
          <w:rFonts w:hint="eastAsia"/>
          <w:color w:val="auto"/>
          <w:u w:val="single"/>
        </w:rPr>
        <w:t>两</w:t>
      </w:r>
      <w:r>
        <w:rPr>
          <w:color w:val="auto"/>
          <w:u w:val="single"/>
        </w:rPr>
        <w:t>台锅炉烟气经</w:t>
      </w:r>
      <w:r>
        <w:rPr>
          <w:rFonts w:hint="eastAsia"/>
          <w:color w:val="auto"/>
          <w:u w:val="single"/>
        </w:rPr>
        <w:t>一根</w:t>
      </w:r>
      <w:r>
        <w:rPr>
          <w:color w:val="auto"/>
          <w:u w:val="single"/>
        </w:rPr>
        <w:t>3</w:t>
      </w:r>
      <w:r>
        <w:rPr>
          <w:rFonts w:hint="eastAsia"/>
          <w:color w:val="auto"/>
          <w:u w:val="single"/>
        </w:rPr>
        <w:t>0</w:t>
      </w:r>
      <w:r>
        <w:rPr>
          <w:color w:val="auto"/>
          <w:u w:val="single"/>
        </w:rPr>
        <w:t>米高</w:t>
      </w:r>
      <w:r>
        <w:rPr>
          <w:rFonts w:hint="eastAsia"/>
          <w:color w:val="auto"/>
          <w:u w:val="single"/>
        </w:rPr>
        <w:t>排气筒</w:t>
      </w:r>
      <w:r>
        <w:rPr>
          <w:color w:val="auto"/>
          <w:u w:val="single"/>
        </w:rPr>
        <w:t>排放。两台锅炉的颗粒物、SO</w:t>
      </w:r>
      <w:r>
        <w:rPr>
          <w:color w:val="auto"/>
          <w:u w:val="single"/>
          <w:vertAlign w:val="subscript"/>
        </w:rPr>
        <w:t>2</w:t>
      </w:r>
      <w:r>
        <w:rPr>
          <w:rFonts w:hint="eastAsia"/>
          <w:color w:val="auto"/>
          <w:u w:val="single"/>
        </w:rPr>
        <w:t>和</w:t>
      </w:r>
      <w:r>
        <w:rPr>
          <w:color w:val="auto"/>
          <w:u w:val="single"/>
        </w:rPr>
        <w:t>NOx总排放量分别为0.0</w:t>
      </w:r>
      <w:r>
        <w:rPr>
          <w:rFonts w:hint="eastAsia"/>
          <w:color w:val="auto"/>
          <w:u w:val="single"/>
          <w:lang w:val="en-US" w:eastAsia="zh-CN"/>
        </w:rPr>
        <w:t>24</w:t>
      </w:r>
      <w:r>
        <w:rPr>
          <w:color w:val="auto"/>
          <w:u w:val="single"/>
        </w:rPr>
        <w:t>t/a 、0.</w:t>
      </w:r>
      <w:r>
        <w:rPr>
          <w:rFonts w:hint="eastAsia"/>
          <w:color w:val="auto"/>
          <w:u w:val="single"/>
          <w:lang w:val="en-US" w:eastAsia="zh-CN"/>
        </w:rPr>
        <w:t>571</w:t>
      </w:r>
      <w:r>
        <w:rPr>
          <w:color w:val="auto"/>
          <w:u w:val="single"/>
        </w:rPr>
        <w:t>/a</w:t>
      </w:r>
      <w:r>
        <w:rPr>
          <w:rFonts w:hint="eastAsia"/>
          <w:color w:val="auto"/>
          <w:u w:val="single"/>
        </w:rPr>
        <w:t>和</w:t>
      </w:r>
      <w:r>
        <w:rPr>
          <w:color w:val="auto"/>
          <w:u w:val="single"/>
        </w:rPr>
        <w:t>0</w:t>
      </w:r>
      <w:r>
        <w:rPr>
          <w:rFonts w:hint="eastAsia"/>
          <w:color w:val="auto"/>
          <w:u w:val="single"/>
        </w:rPr>
        <w:t>.</w:t>
      </w:r>
      <w:r>
        <w:rPr>
          <w:rFonts w:hint="eastAsia"/>
          <w:color w:val="auto"/>
          <w:u w:val="single"/>
          <w:lang w:val="en-US" w:eastAsia="zh-CN"/>
        </w:rPr>
        <w:t>490</w:t>
      </w:r>
      <w:r>
        <w:rPr>
          <w:color w:val="auto"/>
          <w:u w:val="single"/>
        </w:rPr>
        <w:t>t/a</w:t>
      </w:r>
      <w:r>
        <w:rPr>
          <w:rFonts w:hint="eastAsia"/>
          <w:color w:val="auto"/>
          <w:u w:val="single"/>
        </w:rPr>
        <w:t>。</w:t>
      </w:r>
    </w:p>
    <w:p>
      <w:pPr>
        <w:spacing w:line="360" w:lineRule="auto"/>
        <w:ind w:left="424" w:leftChars="171" w:firstLine="124" w:firstLineChars="50"/>
        <w:rPr>
          <w:rFonts w:ascii="Times New Roman" w:eastAsia="宋体"/>
          <w:color w:val="auto"/>
        </w:rPr>
      </w:pPr>
      <w:r>
        <w:rPr>
          <w:rFonts w:ascii="Times New Roman" w:eastAsia="宋体"/>
          <w:color w:val="auto"/>
        </w:rPr>
        <w:t>③</w:t>
      </w:r>
      <w:r>
        <w:rPr>
          <w:rFonts w:ascii="Times New Roman" w:eastAsia="宋体"/>
          <w:color w:val="auto"/>
          <w:kern w:val="2"/>
          <w:szCs w:val="24"/>
        </w:rPr>
        <w:t>食</w:t>
      </w:r>
      <w:r>
        <w:rPr>
          <w:rFonts w:ascii="Times New Roman" w:eastAsia="宋体"/>
          <w:color w:val="auto"/>
        </w:rPr>
        <w:t>堂油烟废气</w:t>
      </w:r>
    </w:p>
    <w:p>
      <w:pPr>
        <w:spacing w:line="360" w:lineRule="auto"/>
        <w:ind w:firstLine="496" w:firstLineChars="200"/>
        <w:rPr>
          <w:rFonts w:ascii="Times New Roman" w:eastAsia="宋体"/>
          <w:color w:val="auto"/>
        </w:rPr>
      </w:pPr>
      <w:r>
        <w:rPr>
          <w:rFonts w:ascii="Times New Roman" w:eastAsia="宋体"/>
          <w:color w:val="auto"/>
        </w:rPr>
        <w:t>本项目用液化石油气作为食堂的能源，在燃烧过程中产生的污染物很少，因此不进行定量计算，仅对食堂的油烟废气进行定量计算。</w:t>
      </w:r>
    </w:p>
    <w:p>
      <w:pPr>
        <w:spacing w:line="360" w:lineRule="auto"/>
        <w:ind w:firstLine="496" w:firstLineChars="200"/>
        <w:rPr>
          <w:rFonts w:ascii="Times New Roman" w:eastAsia="宋体"/>
          <w:color w:val="auto"/>
        </w:rPr>
      </w:pPr>
      <w:bookmarkStart w:id="308" w:name="_Toc397698072"/>
      <w:r>
        <w:rPr>
          <w:rFonts w:ascii="Times New Roman" w:eastAsia="宋体"/>
          <w:color w:val="auto"/>
        </w:rPr>
        <w:t>本项目厨房油烟废气污染主要来源于厨房煎、炒、炸等烹调制作过程中产生的油烟废气。</w:t>
      </w:r>
    </w:p>
    <w:p>
      <w:pPr>
        <w:spacing w:line="360" w:lineRule="auto"/>
        <w:ind w:firstLine="496" w:firstLineChars="200"/>
        <w:rPr>
          <w:rFonts w:ascii="Times New Roman" w:eastAsia="宋体"/>
          <w:color w:val="auto"/>
        </w:rPr>
      </w:pPr>
      <w:r>
        <w:rPr>
          <w:rFonts w:ascii="Times New Roman" w:eastAsia="宋体"/>
          <w:color w:val="auto"/>
        </w:rPr>
        <w:t>本项目在办公</w:t>
      </w:r>
      <w:r>
        <w:rPr>
          <w:rFonts w:hint="eastAsia" w:ascii="Times New Roman" w:eastAsia="宋体"/>
          <w:color w:val="auto"/>
        </w:rPr>
        <w:t>用房内</w:t>
      </w:r>
      <w:r>
        <w:rPr>
          <w:rFonts w:ascii="Times New Roman" w:eastAsia="宋体"/>
          <w:color w:val="auto"/>
        </w:rPr>
        <w:t>设有食堂，为</w:t>
      </w:r>
      <w:r>
        <w:rPr>
          <w:rFonts w:hint="eastAsia" w:ascii="Times New Roman" w:eastAsia="宋体"/>
          <w:color w:val="auto"/>
        </w:rPr>
        <w:t>全场15</w:t>
      </w:r>
      <w:r>
        <w:rPr>
          <w:rFonts w:ascii="Times New Roman" w:eastAsia="宋体"/>
          <w:color w:val="auto"/>
        </w:rPr>
        <w:t>名职工提供午餐</w:t>
      </w:r>
      <w:r>
        <w:rPr>
          <w:rFonts w:hint="eastAsia" w:ascii="Times New Roman" w:eastAsia="宋体"/>
          <w:color w:val="auto"/>
        </w:rPr>
        <w:t>和晚餐</w:t>
      </w:r>
      <w:r>
        <w:rPr>
          <w:rFonts w:ascii="Times New Roman" w:eastAsia="宋体"/>
          <w:color w:val="auto"/>
        </w:rPr>
        <w:t>，厨房设置灶头</w:t>
      </w:r>
      <w:r>
        <w:rPr>
          <w:rFonts w:hint="eastAsia" w:ascii="Times New Roman" w:eastAsia="宋体"/>
          <w:color w:val="auto"/>
        </w:rPr>
        <w:t>1</w:t>
      </w:r>
      <w:r>
        <w:rPr>
          <w:rFonts w:ascii="Times New Roman" w:eastAsia="宋体"/>
          <w:color w:val="auto"/>
        </w:rPr>
        <w:t>个，工作天数3</w:t>
      </w:r>
      <w:r>
        <w:rPr>
          <w:rFonts w:hint="eastAsia" w:ascii="Times New Roman" w:eastAsia="宋体"/>
          <w:color w:val="auto"/>
        </w:rPr>
        <w:t>20</w:t>
      </w:r>
      <w:r>
        <w:rPr>
          <w:rFonts w:ascii="Times New Roman" w:eastAsia="宋体"/>
          <w:color w:val="auto"/>
        </w:rPr>
        <w:t>d，一般食用油耗量按30g/人•餐计，在炒作时油烟的挥发量约为食用油耗量的3%，食堂运行时间为2h/d，则项目油烟废气的产生及排放情况见表</w:t>
      </w:r>
      <w:r>
        <w:rPr>
          <w:rFonts w:hint="eastAsia" w:ascii="Times New Roman" w:eastAsia="宋体"/>
          <w:color w:val="auto"/>
        </w:rPr>
        <w:t>3.3-9</w:t>
      </w:r>
      <w:r>
        <w:rPr>
          <w:rFonts w:ascii="Times New Roman" w:eastAsia="宋体"/>
          <w:color w:val="auto"/>
        </w:rPr>
        <w:t>。</w:t>
      </w:r>
    </w:p>
    <w:p>
      <w:pPr>
        <w:widowControl/>
        <w:spacing w:beforeLines="50" w:line="0" w:lineRule="atLeast"/>
        <w:jc w:val="center"/>
        <w:rPr>
          <w:rFonts w:ascii="Times New Roman" w:eastAsia="宋体"/>
          <w:b/>
          <w:color w:val="auto"/>
          <w:sz w:val="21"/>
          <w:szCs w:val="21"/>
        </w:rPr>
      </w:pPr>
      <w:r>
        <w:rPr>
          <w:rFonts w:ascii="Times New Roman" w:eastAsia="宋体"/>
          <w:b/>
          <w:color w:val="auto"/>
          <w:sz w:val="21"/>
          <w:szCs w:val="21"/>
        </w:rPr>
        <w:t>表</w:t>
      </w:r>
      <w:r>
        <w:rPr>
          <w:rFonts w:hint="eastAsia" w:ascii="Times New Roman" w:eastAsia="宋体"/>
          <w:b/>
          <w:color w:val="auto"/>
          <w:sz w:val="21"/>
          <w:szCs w:val="21"/>
        </w:rPr>
        <w:t>3.3-9</w:t>
      </w:r>
      <w:r>
        <w:rPr>
          <w:rFonts w:ascii="Times New Roman" w:eastAsia="宋体"/>
          <w:b/>
          <w:color w:val="auto"/>
          <w:sz w:val="21"/>
          <w:szCs w:val="21"/>
        </w:rPr>
        <w:t>食堂油烟废气产生及排放情况表</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0"/>
        <w:gridCol w:w="973"/>
        <w:gridCol w:w="1003"/>
        <w:gridCol w:w="868"/>
        <w:gridCol w:w="857"/>
        <w:gridCol w:w="701"/>
        <w:gridCol w:w="1023"/>
        <w:gridCol w:w="1038"/>
        <w:gridCol w:w="11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880" w:type="dxa"/>
            <w:vMerge w:val="restart"/>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污染源</w:t>
            </w:r>
          </w:p>
        </w:tc>
        <w:tc>
          <w:tcPr>
            <w:tcW w:w="973" w:type="dxa"/>
            <w:vMerge w:val="restart"/>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人数</w:t>
            </w:r>
          </w:p>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（人/d）</w:t>
            </w:r>
          </w:p>
        </w:tc>
        <w:tc>
          <w:tcPr>
            <w:tcW w:w="1003" w:type="dxa"/>
            <w:vMerge w:val="restart"/>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食用油耗量（kg/d）</w:t>
            </w:r>
          </w:p>
        </w:tc>
        <w:tc>
          <w:tcPr>
            <w:tcW w:w="1725" w:type="dxa"/>
            <w:gridSpan w:val="2"/>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油烟挥发量</w:t>
            </w:r>
          </w:p>
        </w:tc>
        <w:tc>
          <w:tcPr>
            <w:tcW w:w="701" w:type="dxa"/>
            <w:vMerge w:val="restart"/>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灶头数量</w:t>
            </w:r>
          </w:p>
        </w:tc>
        <w:tc>
          <w:tcPr>
            <w:tcW w:w="1023" w:type="dxa"/>
            <w:vMerge w:val="restart"/>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引风机风量</w:t>
            </w:r>
          </w:p>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（m</w:t>
            </w:r>
            <w:r>
              <w:rPr>
                <w:rFonts w:ascii="Times New Roman" w:eastAsia="宋体"/>
                <w:b/>
                <w:bCs/>
                <w:color w:val="auto"/>
                <w:sz w:val="21"/>
                <w:szCs w:val="21"/>
                <w:vertAlign w:val="superscript"/>
              </w:rPr>
              <w:t>3</w:t>
            </w:r>
            <w:r>
              <w:rPr>
                <w:rFonts w:ascii="Times New Roman" w:eastAsia="宋体"/>
                <w:b/>
                <w:bCs/>
                <w:color w:val="auto"/>
                <w:sz w:val="21"/>
                <w:szCs w:val="21"/>
              </w:rPr>
              <w:t>/h）</w:t>
            </w:r>
          </w:p>
        </w:tc>
        <w:tc>
          <w:tcPr>
            <w:tcW w:w="1038" w:type="dxa"/>
            <w:vMerge w:val="restart"/>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油烟产生量（t/a）</w:t>
            </w:r>
          </w:p>
        </w:tc>
        <w:tc>
          <w:tcPr>
            <w:tcW w:w="1173" w:type="dxa"/>
            <w:vMerge w:val="restart"/>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油烟产生浓度（mg/m</w:t>
            </w:r>
            <w:r>
              <w:rPr>
                <w:rFonts w:ascii="Times New Roman" w:eastAsia="宋体"/>
                <w:b/>
                <w:bCs/>
                <w:color w:val="auto"/>
                <w:sz w:val="21"/>
                <w:szCs w:val="21"/>
                <w:vertAlign w:val="superscript"/>
              </w:rPr>
              <w:t>3</w:t>
            </w:r>
            <w:r>
              <w:rPr>
                <w:rFonts w:ascii="Times New Roman" w:eastAsia="宋体"/>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80" w:type="dxa"/>
            <w:vMerge w:val="continue"/>
            <w:tcBorders>
              <w:tl2br w:val="nil"/>
              <w:tr2bl w:val="nil"/>
            </w:tcBorders>
            <w:vAlign w:val="center"/>
          </w:tcPr>
          <w:p>
            <w:pPr>
              <w:pStyle w:val="14"/>
              <w:spacing w:line="240" w:lineRule="auto"/>
              <w:ind w:firstLine="438"/>
              <w:rPr>
                <w:rFonts w:ascii="Times New Roman" w:eastAsia="宋体"/>
                <w:b/>
                <w:bCs/>
                <w:color w:val="auto"/>
                <w:sz w:val="21"/>
                <w:szCs w:val="21"/>
              </w:rPr>
            </w:pPr>
          </w:p>
        </w:tc>
        <w:tc>
          <w:tcPr>
            <w:tcW w:w="973" w:type="dxa"/>
            <w:vMerge w:val="continue"/>
            <w:tcBorders>
              <w:tl2br w:val="nil"/>
              <w:tr2bl w:val="nil"/>
            </w:tcBorders>
            <w:vAlign w:val="center"/>
          </w:tcPr>
          <w:p>
            <w:pPr>
              <w:pStyle w:val="14"/>
              <w:spacing w:line="240" w:lineRule="auto"/>
              <w:ind w:firstLine="438"/>
              <w:rPr>
                <w:rFonts w:ascii="Times New Roman" w:eastAsia="宋体"/>
                <w:b/>
                <w:bCs/>
                <w:color w:val="auto"/>
                <w:sz w:val="21"/>
                <w:szCs w:val="21"/>
              </w:rPr>
            </w:pPr>
          </w:p>
        </w:tc>
        <w:tc>
          <w:tcPr>
            <w:tcW w:w="1003" w:type="dxa"/>
            <w:vMerge w:val="continue"/>
            <w:tcBorders>
              <w:tl2br w:val="nil"/>
              <w:tr2bl w:val="nil"/>
            </w:tcBorders>
            <w:vAlign w:val="center"/>
          </w:tcPr>
          <w:p>
            <w:pPr>
              <w:pStyle w:val="14"/>
              <w:spacing w:line="240" w:lineRule="auto"/>
              <w:ind w:firstLine="438"/>
              <w:rPr>
                <w:rFonts w:ascii="Times New Roman" w:eastAsia="宋体"/>
                <w:b/>
                <w:bCs/>
                <w:color w:val="auto"/>
                <w:sz w:val="21"/>
                <w:szCs w:val="21"/>
              </w:rPr>
            </w:pPr>
          </w:p>
        </w:tc>
        <w:tc>
          <w:tcPr>
            <w:tcW w:w="868" w:type="dxa"/>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hint="eastAsia" w:ascii="Times New Roman" w:eastAsia="宋体"/>
                <w:b/>
                <w:bCs/>
                <w:color w:val="auto"/>
                <w:sz w:val="21"/>
                <w:szCs w:val="21"/>
              </w:rPr>
              <w:t>kg</w:t>
            </w:r>
            <w:r>
              <w:rPr>
                <w:rFonts w:ascii="Times New Roman" w:eastAsia="宋体"/>
                <w:b/>
                <w:bCs/>
                <w:color w:val="auto"/>
                <w:sz w:val="21"/>
                <w:szCs w:val="21"/>
              </w:rPr>
              <w:t>/d</w:t>
            </w:r>
          </w:p>
        </w:tc>
        <w:tc>
          <w:tcPr>
            <w:tcW w:w="857" w:type="dxa"/>
            <w:tcBorders>
              <w:tl2br w:val="nil"/>
              <w:tr2bl w:val="nil"/>
            </w:tcBorders>
            <w:vAlign w:val="center"/>
          </w:tcPr>
          <w:p>
            <w:pPr>
              <w:pStyle w:val="14"/>
              <w:spacing w:line="240" w:lineRule="auto"/>
              <w:ind w:firstLine="0" w:firstLineChars="0"/>
              <w:rPr>
                <w:rFonts w:ascii="Times New Roman" w:eastAsia="宋体"/>
                <w:b/>
                <w:bCs/>
                <w:color w:val="auto"/>
                <w:sz w:val="21"/>
                <w:szCs w:val="21"/>
              </w:rPr>
            </w:pPr>
            <w:r>
              <w:rPr>
                <w:rFonts w:ascii="Times New Roman" w:eastAsia="宋体"/>
                <w:b/>
                <w:bCs/>
                <w:color w:val="auto"/>
                <w:sz w:val="21"/>
                <w:szCs w:val="21"/>
              </w:rPr>
              <w:t>Kg/h</w:t>
            </w:r>
          </w:p>
        </w:tc>
        <w:tc>
          <w:tcPr>
            <w:tcW w:w="701" w:type="dxa"/>
            <w:vMerge w:val="continue"/>
            <w:tcBorders>
              <w:tl2br w:val="nil"/>
              <w:tr2bl w:val="nil"/>
            </w:tcBorders>
            <w:vAlign w:val="center"/>
          </w:tcPr>
          <w:p>
            <w:pPr>
              <w:pStyle w:val="14"/>
              <w:spacing w:line="240" w:lineRule="auto"/>
              <w:ind w:firstLine="438"/>
              <w:rPr>
                <w:rFonts w:ascii="Times New Roman" w:eastAsia="宋体"/>
                <w:b/>
                <w:bCs/>
                <w:color w:val="auto"/>
                <w:sz w:val="21"/>
                <w:szCs w:val="21"/>
              </w:rPr>
            </w:pPr>
          </w:p>
        </w:tc>
        <w:tc>
          <w:tcPr>
            <w:tcW w:w="1023" w:type="dxa"/>
            <w:vMerge w:val="continue"/>
            <w:tcBorders>
              <w:tl2br w:val="nil"/>
              <w:tr2bl w:val="nil"/>
            </w:tcBorders>
            <w:vAlign w:val="center"/>
          </w:tcPr>
          <w:p>
            <w:pPr>
              <w:pStyle w:val="14"/>
              <w:spacing w:line="240" w:lineRule="auto"/>
              <w:ind w:firstLine="438"/>
              <w:rPr>
                <w:rFonts w:ascii="Times New Roman" w:eastAsia="宋体"/>
                <w:b/>
                <w:bCs/>
                <w:color w:val="auto"/>
                <w:sz w:val="21"/>
                <w:szCs w:val="21"/>
              </w:rPr>
            </w:pPr>
          </w:p>
        </w:tc>
        <w:tc>
          <w:tcPr>
            <w:tcW w:w="1038" w:type="dxa"/>
            <w:vMerge w:val="continue"/>
            <w:tcBorders>
              <w:tl2br w:val="nil"/>
              <w:tr2bl w:val="nil"/>
            </w:tcBorders>
            <w:vAlign w:val="center"/>
          </w:tcPr>
          <w:p>
            <w:pPr>
              <w:pStyle w:val="14"/>
              <w:spacing w:line="240" w:lineRule="auto"/>
              <w:ind w:firstLine="438"/>
              <w:rPr>
                <w:rFonts w:ascii="Times New Roman" w:eastAsia="宋体"/>
                <w:b/>
                <w:bCs/>
                <w:color w:val="auto"/>
                <w:sz w:val="21"/>
                <w:szCs w:val="21"/>
              </w:rPr>
            </w:pPr>
          </w:p>
        </w:tc>
        <w:tc>
          <w:tcPr>
            <w:tcW w:w="1173" w:type="dxa"/>
            <w:vMerge w:val="continue"/>
            <w:tcBorders>
              <w:tl2br w:val="nil"/>
              <w:tr2bl w:val="nil"/>
            </w:tcBorders>
            <w:vAlign w:val="center"/>
          </w:tcPr>
          <w:p>
            <w:pPr>
              <w:pStyle w:val="14"/>
              <w:spacing w:line="240" w:lineRule="auto"/>
              <w:ind w:firstLine="438"/>
              <w:rPr>
                <w:rFonts w:ascii="Times New Roman" w:eastAsia="宋体"/>
                <w:b/>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880"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ascii="Times New Roman" w:eastAsia="宋体"/>
                <w:color w:val="auto"/>
                <w:sz w:val="21"/>
                <w:szCs w:val="21"/>
              </w:rPr>
              <w:t>食堂</w:t>
            </w:r>
          </w:p>
        </w:tc>
        <w:tc>
          <w:tcPr>
            <w:tcW w:w="973"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hint="eastAsia" w:ascii="Times New Roman" w:eastAsia="宋体"/>
                <w:color w:val="auto"/>
                <w:sz w:val="21"/>
                <w:szCs w:val="21"/>
              </w:rPr>
              <w:t>15</w:t>
            </w:r>
          </w:p>
        </w:tc>
        <w:tc>
          <w:tcPr>
            <w:tcW w:w="1003"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ascii="Times New Roman" w:eastAsia="宋体"/>
                <w:color w:val="auto"/>
                <w:sz w:val="21"/>
                <w:szCs w:val="21"/>
              </w:rPr>
              <w:t>0.</w:t>
            </w:r>
            <w:r>
              <w:rPr>
                <w:rFonts w:hint="eastAsia" w:ascii="Times New Roman" w:eastAsia="宋体"/>
                <w:color w:val="auto"/>
                <w:sz w:val="21"/>
                <w:szCs w:val="21"/>
              </w:rPr>
              <w:t>9</w:t>
            </w:r>
          </w:p>
        </w:tc>
        <w:tc>
          <w:tcPr>
            <w:tcW w:w="868"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ascii="Times New Roman" w:eastAsia="宋体"/>
                <w:color w:val="auto"/>
                <w:sz w:val="21"/>
                <w:szCs w:val="21"/>
              </w:rPr>
              <w:t>0.0</w:t>
            </w:r>
            <w:r>
              <w:rPr>
                <w:rFonts w:hint="eastAsia" w:ascii="Times New Roman" w:eastAsia="宋体"/>
                <w:color w:val="auto"/>
                <w:sz w:val="21"/>
                <w:szCs w:val="21"/>
              </w:rPr>
              <w:t>27</w:t>
            </w:r>
          </w:p>
        </w:tc>
        <w:tc>
          <w:tcPr>
            <w:tcW w:w="857"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hint="eastAsia" w:ascii="Times New Roman" w:eastAsia="宋体"/>
                <w:color w:val="auto"/>
                <w:sz w:val="21"/>
                <w:szCs w:val="21"/>
              </w:rPr>
              <w:t>0.0068</w:t>
            </w:r>
          </w:p>
        </w:tc>
        <w:tc>
          <w:tcPr>
            <w:tcW w:w="701"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hint="eastAsia" w:ascii="Times New Roman" w:eastAsia="宋体"/>
                <w:color w:val="auto"/>
                <w:sz w:val="21"/>
                <w:szCs w:val="21"/>
              </w:rPr>
              <w:t>1</w:t>
            </w:r>
          </w:p>
        </w:tc>
        <w:tc>
          <w:tcPr>
            <w:tcW w:w="1023"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hint="eastAsia" w:ascii="Times New Roman" w:eastAsia="宋体"/>
                <w:color w:val="auto"/>
                <w:sz w:val="21"/>
                <w:szCs w:val="21"/>
              </w:rPr>
              <w:t>2</w:t>
            </w:r>
            <w:r>
              <w:rPr>
                <w:rFonts w:ascii="Times New Roman" w:eastAsia="宋体"/>
                <w:color w:val="auto"/>
                <w:sz w:val="21"/>
                <w:szCs w:val="21"/>
              </w:rPr>
              <w:t>000</w:t>
            </w:r>
          </w:p>
        </w:tc>
        <w:tc>
          <w:tcPr>
            <w:tcW w:w="1038"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ascii="Times New Roman" w:eastAsia="宋体"/>
                <w:color w:val="auto"/>
                <w:sz w:val="21"/>
                <w:szCs w:val="21"/>
              </w:rPr>
              <w:t>0.00</w:t>
            </w:r>
            <w:r>
              <w:rPr>
                <w:rFonts w:hint="eastAsia" w:ascii="Times New Roman" w:eastAsia="宋体"/>
                <w:color w:val="auto"/>
                <w:sz w:val="21"/>
                <w:szCs w:val="21"/>
              </w:rPr>
              <w:t>86</w:t>
            </w:r>
          </w:p>
        </w:tc>
        <w:tc>
          <w:tcPr>
            <w:tcW w:w="1173" w:type="dxa"/>
            <w:tcBorders>
              <w:tl2br w:val="nil"/>
              <w:tr2bl w:val="nil"/>
            </w:tcBorders>
            <w:vAlign w:val="center"/>
          </w:tcPr>
          <w:p>
            <w:pPr>
              <w:pStyle w:val="14"/>
              <w:spacing w:line="240" w:lineRule="auto"/>
              <w:ind w:firstLine="0" w:firstLineChars="0"/>
              <w:rPr>
                <w:rFonts w:ascii="Times New Roman" w:eastAsia="宋体"/>
                <w:color w:val="auto"/>
                <w:sz w:val="21"/>
                <w:szCs w:val="21"/>
              </w:rPr>
            </w:pPr>
            <w:r>
              <w:rPr>
                <w:rFonts w:hint="eastAsia" w:ascii="Times New Roman" w:eastAsia="宋体"/>
                <w:color w:val="auto"/>
                <w:sz w:val="21"/>
                <w:szCs w:val="21"/>
              </w:rPr>
              <w:t>3.38</w:t>
            </w:r>
          </w:p>
        </w:tc>
      </w:tr>
    </w:tbl>
    <w:p>
      <w:pPr>
        <w:spacing w:line="360" w:lineRule="auto"/>
        <w:ind w:firstLine="496" w:firstLineChars="200"/>
        <w:rPr>
          <w:rFonts w:ascii="Times New Roman" w:eastAsia="宋体"/>
          <w:color w:val="auto"/>
        </w:rPr>
      </w:pPr>
      <w:r>
        <w:rPr>
          <w:rFonts w:ascii="Times New Roman" w:eastAsia="宋体"/>
          <w:color w:val="auto"/>
          <w:szCs w:val="24"/>
        </w:rPr>
        <w:t>由表</w:t>
      </w:r>
      <w:r>
        <w:rPr>
          <w:rFonts w:hint="eastAsia" w:ascii="Times New Roman" w:eastAsia="宋体"/>
          <w:color w:val="auto"/>
          <w:szCs w:val="24"/>
        </w:rPr>
        <w:t>3.3-9</w:t>
      </w:r>
      <w:r>
        <w:rPr>
          <w:rFonts w:ascii="Times New Roman" w:eastAsia="宋体"/>
          <w:color w:val="auto"/>
          <w:szCs w:val="24"/>
        </w:rPr>
        <w:t>可知，油烟产生量为0.00</w:t>
      </w:r>
      <w:r>
        <w:rPr>
          <w:rFonts w:hint="eastAsia" w:ascii="Times New Roman" w:eastAsia="宋体"/>
          <w:color w:val="auto"/>
          <w:szCs w:val="24"/>
        </w:rPr>
        <w:t>86</w:t>
      </w:r>
      <w:r>
        <w:rPr>
          <w:rFonts w:ascii="Times New Roman" w:eastAsia="宋体"/>
          <w:color w:val="auto"/>
          <w:szCs w:val="24"/>
        </w:rPr>
        <w:t>t/a，油烟产生浓度为</w:t>
      </w:r>
      <w:r>
        <w:rPr>
          <w:rFonts w:hint="eastAsia" w:ascii="Times New Roman" w:eastAsia="宋体"/>
          <w:color w:val="auto"/>
          <w:szCs w:val="24"/>
        </w:rPr>
        <w:t>3.38m</w:t>
      </w:r>
      <w:r>
        <w:rPr>
          <w:rFonts w:ascii="Times New Roman" w:eastAsia="宋体"/>
          <w:color w:val="auto"/>
          <w:szCs w:val="24"/>
        </w:rPr>
        <w:t>g/m</w:t>
      </w:r>
      <w:r>
        <w:rPr>
          <w:rFonts w:ascii="Times New Roman" w:eastAsia="宋体"/>
          <w:color w:val="auto"/>
          <w:szCs w:val="24"/>
          <w:vertAlign w:val="superscript"/>
        </w:rPr>
        <w:t>3</w:t>
      </w:r>
      <w:r>
        <w:rPr>
          <w:rFonts w:ascii="Times New Roman" w:eastAsia="宋体"/>
          <w:color w:val="auto"/>
          <w:szCs w:val="24"/>
        </w:rPr>
        <w:t>，经油烟净化装置处理后（净化效率为</w:t>
      </w:r>
      <w:r>
        <w:rPr>
          <w:rFonts w:hint="eastAsia" w:ascii="Times New Roman" w:eastAsia="宋体"/>
          <w:color w:val="auto"/>
          <w:szCs w:val="24"/>
        </w:rPr>
        <w:t>65</w:t>
      </w:r>
      <w:r>
        <w:rPr>
          <w:rFonts w:ascii="Times New Roman" w:eastAsia="宋体"/>
          <w:color w:val="auto"/>
          <w:szCs w:val="24"/>
        </w:rPr>
        <w:t>%）</w:t>
      </w:r>
      <w:r>
        <w:rPr>
          <w:rFonts w:hint="eastAsia" w:ascii="Times New Roman" w:eastAsia="宋体"/>
          <w:color w:val="auto"/>
          <w:szCs w:val="24"/>
        </w:rPr>
        <w:t>，</w:t>
      </w:r>
      <w:r>
        <w:rPr>
          <w:rFonts w:ascii="Times New Roman" w:eastAsia="宋体"/>
          <w:color w:val="auto"/>
          <w:szCs w:val="24"/>
        </w:rPr>
        <w:t>排放量为</w:t>
      </w:r>
      <w:r>
        <w:rPr>
          <w:rFonts w:hint="eastAsia" w:ascii="Times New Roman" w:eastAsia="宋体"/>
          <w:color w:val="auto"/>
          <w:szCs w:val="24"/>
        </w:rPr>
        <w:t>0.0024</w:t>
      </w:r>
      <w:r>
        <w:rPr>
          <w:rFonts w:ascii="Times New Roman" w:eastAsia="宋体"/>
          <w:color w:val="auto"/>
          <w:szCs w:val="24"/>
        </w:rPr>
        <w:t>t/a，排放浓度为1.</w:t>
      </w:r>
      <w:r>
        <w:rPr>
          <w:rFonts w:hint="eastAsia" w:ascii="Times New Roman" w:eastAsia="宋体"/>
          <w:color w:val="auto"/>
          <w:szCs w:val="24"/>
        </w:rPr>
        <w:t>18</w:t>
      </w:r>
      <w:r>
        <w:rPr>
          <w:rFonts w:ascii="Times New Roman" w:eastAsia="宋体"/>
          <w:color w:val="auto"/>
          <w:szCs w:val="24"/>
        </w:rPr>
        <w:t>mg/m</w:t>
      </w:r>
      <w:r>
        <w:rPr>
          <w:rFonts w:ascii="Times New Roman" w:eastAsia="宋体"/>
          <w:color w:val="auto"/>
          <w:szCs w:val="24"/>
          <w:vertAlign w:val="superscript"/>
        </w:rPr>
        <w:t>3</w:t>
      </w:r>
      <w:r>
        <w:rPr>
          <w:rFonts w:ascii="Times New Roman" w:eastAsia="宋体"/>
          <w:color w:val="auto"/>
          <w:szCs w:val="24"/>
        </w:rPr>
        <w:t>，符合《饮食业油烟排放标准（试行）》（GB18438-2001）中最高允许排放浓度2mg/m</w:t>
      </w:r>
      <w:r>
        <w:rPr>
          <w:rFonts w:ascii="Times New Roman" w:eastAsia="宋体"/>
          <w:color w:val="auto"/>
          <w:szCs w:val="24"/>
          <w:vertAlign w:val="superscript"/>
        </w:rPr>
        <w:t>3</w:t>
      </w:r>
      <w:r>
        <w:rPr>
          <w:rFonts w:ascii="Times New Roman" w:eastAsia="宋体"/>
          <w:color w:val="auto"/>
          <w:szCs w:val="24"/>
        </w:rPr>
        <w:t>的要求。</w:t>
      </w:r>
    </w:p>
    <w:p>
      <w:pPr>
        <w:spacing w:line="360" w:lineRule="auto"/>
        <w:ind w:firstLine="496" w:firstLineChars="200"/>
        <w:rPr>
          <w:rFonts w:ascii="Times New Roman" w:eastAsia="宋体"/>
          <w:color w:val="auto"/>
        </w:rPr>
      </w:pPr>
      <w:r>
        <w:rPr>
          <w:rFonts w:ascii="Times New Roman" w:eastAsia="宋体"/>
          <w:color w:val="auto"/>
          <w:szCs w:val="24"/>
        </w:rPr>
        <w:t>根据《饮食业环境保护技术规范》（HJ554-2010），饮食业单位所在建筑物高度小于等于15m时，油烟排放口应高出屋顶；建筑物高度大于15m时，油烟排放口高度应大于15m。本项目食堂高度约为4m，小于15m，故本项目食堂油烟经油烟净化设施处理之后由引风机通过排烟烟道引至屋顶排放。</w:t>
      </w:r>
    </w:p>
    <w:bookmarkEnd w:id="308"/>
    <w:p>
      <w:pPr>
        <w:spacing w:line="360" w:lineRule="auto"/>
        <w:ind w:firstLine="482"/>
        <w:rPr>
          <w:rFonts w:ascii="Times New Roman" w:eastAsia="宋体"/>
          <w:color w:val="auto"/>
          <w:szCs w:val="24"/>
        </w:rPr>
      </w:pPr>
      <w:bookmarkStart w:id="309" w:name="_Toc397698073"/>
      <w:r>
        <w:rPr>
          <w:rFonts w:hint="eastAsia" w:ascii="Times New Roman" w:eastAsia="宋体"/>
          <w:color w:val="auto"/>
          <w:szCs w:val="24"/>
        </w:rPr>
        <w:t>④备用发电机废气</w:t>
      </w:r>
    </w:p>
    <w:p>
      <w:pPr>
        <w:spacing w:line="360" w:lineRule="auto"/>
        <w:ind w:firstLine="482"/>
        <w:rPr>
          <w:rFonts w:ascii="Times New Roman" w:eastAsia="宋体"/>
          <w:color w:val="auto"/>
          <w:szCs w:val="24"/>
        </w:rPr>
      </w:pPr>
      <w:r>
        <w:rPr>
          <w:rFonts w:hint="eastAsia" w:ascii="Times New Roman" w:eastAsia="宋体"/>
          <w:color w:val="auto"/>
          <w:szCs w:val="24"/>
        </w:rPr>
        <w:t>项目拟设2台（0.25kg/kw·h）备用柴油发电机，当外电源停电时，柴油发电机自动起动向消防及重要负荷供电，备用柴油发电机位于项目专用发电机房内。当地的供电正常，因此备用发电机的启用次数不多，仅作备用，每月使用时间小于8小时。现按每月发电一次，每次按运行8小时，每年运行96小时。单位耗油量250g/kW·h计算，年耗油量约为12t/a，两台发电机年耗油量约为24t/a。参考《排放源统计调查产排污核算方法和系数手册》中的“工业锅炉（热力生产和供应行业)产污系数表一燃油工业锅炉”工业废气量产污系数为：17804标立方米/吨·原料，则项目柴油发电机废气总量为213648Nm</w:t>
      </w:r>
      <w:r>
        <w:rPr>
          <w:rFonts w:hint="eastAsia" w:ascii="Times New Roman" w:eastAsia="宋体"/>
          <w:color w:val="auto"/>
          <w:szCs w:val="24"/>
          <w:vertAlign w:val="superscript"/>
        </w:rPr>
        <w:t>3</w:t>
      </w:r>
      <w:r>
        <w:rPr>
          <w:rFonts w:hint="eastAsia" w:ascii="Times New Roman" w:eastAsia="宋体"/>
          <w:color w:val="auto"/>
          <w:szCs w:val="24"/>
        </w:rPr>
        <w:t>/a；二氧化硫产污系数为：19S千克/吨·原料，本项目柴油满足《普通柴油》(GB252-2015)的规定，含硫量取0.001%，则二氧化硫产生量为0.002t/a；氮氧化物产污系数为：3.03千克/吨·原料，则氮氧化物产生量为0.036t/a；颗粒物产污系数为：0.26千克/吨·原料，则颗粒物产生量为0.0031t/a。本项目备用发电机大气污染物排放量见下表。</w:t>
      </w:r>
    </w:p>
    <w:p>
      <w:pPr>
        <w:pStyle w:val="23"/>
        <w:jc w:val="center"/>
        <w:rPr>
          <w:rFonts w:ascii="Times New Roman" w:eastAsia="宋体"/>
          <w:b/>
          <w:color w:val="auto"/>
          <w:sz w:val="21"/>
          <w:szCs w:val="21"/>
        </w:rPr>
      </w:pPr>
      <w:r>
        <w:rPr>
          <w:rFonts w:hint="eastAsia" w:ascii="Times New Roman" w:eastAsia="宋体"/>
          <w:b/>
          <w:color w:val="auto"/>
          <w:sz w:val="21"/>
          <w:szCs w:val="21"/>
        </w:rPr>
        <w:t>表</w:t>
      </w:r>
      <w:r>
        <w:rPr>
          <w:rFonts w:ascii="Times New Roman" w:eastAsia="宋体"/>
          <w:b/>
          <w:color w:val="auto"/>
          <w:sz w:val="21"/>
          <w:szCs w:val="21"/>
        </w:rPr>
        <w:t>3.</w:t>
      </w:r>
      <w:r>
        <w:rPr>
          <w:rFonts w:hint="eastAsia" w:ascii="Times New Roman" w:eastAsia="宋体"/>
          <w:b/>
          <w:color w:val="auto"/>
          <w:sz w:val="21"/>
          <w:szCs w:val="21"/>
        </w:rPr>
        <w:t>3</w:t>
      </w:r>
      <w:r>
        <w:rPr>
          <w:rFonts w:ascii="Times New Roman" w:eastAsia="宋体"/>
          <w:b/>
          <w:color w:val="auto"/>
          <w:sz w:val="21"/>
          <w:szCs w:val="21"/>
        </w:rPr>
        <w:t>-</w:t>
      </w:r>
      <w:r>
        <w:rPr>
          <w:rFonts w:hint="eastAsia" w:ascii="Times New Roman" w:eastAsia="宋体"/>
          <w:b/>
          <w:color w:val="auto"/>
          <w:sz w:val="21"/>
          <w:szCs w:val="21"/>
        </w:rPr>
        <w:t>10单台发电机废气污染物产排情况</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1005"/>
        <w:gridCol w:w="1125"/>
        <w:gridCol w:w="936"/>
        <w:gridCol w:w="997"/>
        <w:gridCol w:w="1256"/>
        <w:gridCol w:w="997"/>
        <w:gridCol w:w="12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vMerge w:val="restart"/>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柴油用</w:t>
            </w:r>
          </w:p>
          <w:p>
            <w:pPr>
              <w:pStyle w:val="435"/>
              <w:widowControl/>
              <w:snapToGrid w:val="0"/>
              <w:rPr>
                <w:b/>
                <w:bCs/>
                <w:color w:val="auto"/>
                <w:sz w:val="21"/>
                <w:szCs w:val="21"/>
              </w:rPr>
            </w:pPr>
            <w:r>
              <w:rPr>
                <w:rFonts w:hint="eastAsia"/>
                <w:b/>
                <w:bCs/>
                <w:color w:val="auto"/>
                <w:sz w:val="21"/>
                <w:szCs w:val="21"/>
              </w:rPr>
              <w:t>量（</w:t>
            </w:r>
            <w:r>
              <w:rPr>
                <w:b/>
                <w:bCs/>
                <w:color w:val="auto"/>
                <w:sz w:val="21"/>
                <w:szCs w:val="21"/>
              </w:rPr>
              <w:t>t/a</w:t>
            </w:r>
            <w:r>
              <w:rPr>
                <w:rFonts w:hint="eastAsia"/>
                <w:b/>
                <w:bCs/>
                <w:color w:val="auto"/>
                <w:sz w:val="21"/>
                <w:szCs w:val="21"/>
              </w:rPr>
              <w:t>）</w:t>
            </w:r>
          </w:p>
        </w:tc>
        <w:tc>
          <w:tcPr>
            <w:tcW w:w="1005" w:type="dxa"/>
            <w:vMerge w:val="restart"/>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 xml:space="preserve">废气量（Nm </w:t>
            </w:r>
            <w:r>
              <w:rPr>
                <w:rFonts w:hint="eastAsia"/>
                <w:b/>
                <w:bCs/>
                <w:color w:val="auto"/>
                <w:sz w:val="21"/>
                <w:szCs w:val="21"/>
                <w:vertAlign w:val="superscript"/>
              </w:rPr>
              <w:t>3</w:t>
            </w:r>
            <w:r>
              <w:rPr>
                <w:rFonts w:hint="eastAsia"/>
                <w:b/>
                <w:bCs/>
                <w:color w:val="auto"/>
                <w:sz w:val="21"/>
                <w:szCs w:val="21"/>
              </w:rPr>
              <w:t>/a）</w:t>
            </w:r>
          </w:p>
        </w:tc>
        <w:tc>
          <w:tcPr>
            <w:tcW w:w="1125" w:type="dxa"/>
            <w:vMerge w:val="restart"/>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污染物</w:t>
            </w:r>
          </w:p>
          <w:p>
            <w:pPr>
              <w:pStyle w:val="435"/>
              <w:widowControl/>
              <w:snapToGrid w:val="0"/>
              <w:rPr>
                <w:b/>
                <w:bCs/>
                <w:color w:val="auto"/>
                <w:sz w:val="21"/>
                <w:szCs w:val="21"/>
              </w:rPr>
            </w:pPr>
          </w:p>
        </w:tc>
        <w:tc>
          <w:tcPr>
            <w:tcW w:w="3189" w:type="dxa"/>
            <w:gridSpan w:val="3"/>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污染物产生情况</w:t>
            </w:r>
          </w:p>
        </w:tc>
        <w:tc>
          <w:tcPr>
            <w:tcW w:w="2253" w:type="dxa"/>
            <w:gridSpan w:val="2"/>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vMerge w:val="continue"/>
            <w:tcBorders>
              <w:tl2br w:val="nil"/>
              <w:tr2bl w:val="nil"/>
            </w:tcBorders>
            <w:vAlign w:val="center"/>
          </w:tcPr>
          <w:p>
            <w:pPr>
              <w:pStyle w:val="435"/>
              <w:widowControl/>
              <w:snapToGrid w:val="0"/>
              <w:rPr>
                <w:b/>
                <w:bCs/>
                <w:color w:val="auto"/>
                <w:sz w:val="21"/>
                <w:szCs w:val="21"/>
              </w:rPr>
            </w:pPr>
          </w:p>
        </w:tc>
        <w:tc>
          <w:tcPr>
            <w:tcW w:w="1005" w:type="dxa"/>
            <w:vMerge w:val="continue"/>
            <w:tcBorders>
              <w:tl2br w:val="nil"/>
              <w:tr2bl w:val="nil"/>
            </w:tcBorders>
            <w:vAlign w:val="center"/>
          </w:tcPr>
          <w:p>
            <w:pPr>
              <w:pStyle w:val="435"/>
              <w:widowControl/>
              <w:snapToGrid w:val="0"/>
              <w:rPr>
                <w:b/>
                <w:bCs/>
                <w:color w:val="auto"/>
                <w:sz w:val="21"/>
                <w:szCs w:val="21"/>
              </w:rPr>
            </w:pPr>
          </w:p>
        </w:tc>
        <w:tc>
          <w:tcPr>
            <w:tcW w:w="1125" w:type="dxa"/>
            <w:vMerge w:val="continue"/>
            <w:tcBorders>
              <w:tl2br w:val="nil"/>
              <w:tr2bl w:val="nil"/>
            </w:tcBorders>
            <w:vAlign w:val="center"/>
          </w:tcPr>
          <w:p>
            <w:pPr>
              <w:pStyle w:val="435"/>
              <w:widowControl/>
              <w:snapToGrid w:val="0"/>
              <w:rPr>
                <w:b/>
                <w:bCs/>
                <w:color w:val="auto"/>
                <w:sz w:val="21"/>
                <w:szCs w:val="21"/>
              </w:rPr>
            </w:pPr>
          </w:p>
        </w:tc>
        <w:tc>
          <w:tcPr>
            <w:tcW w:w="936" w:type="dxa"/>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产排量</w:t>
            </w:r>
          </w:p>
          <w:p>
            <w:pPr>
              <w:pStyle w:val="435"/>
              <w:widowControl/>
              <w:snapToGrid w:val="0"/>
              <w:rPr>
                <w:b/>
                <w:bCs/>
                <w:color w:val="auto"/>
                <w:sz w:val="21"/>
                <w:szCs w:val="21"/>
              </w:rPr>
            </w:pPr>
            <w:r>
              <w:rPr>
                <w:rFonts w:hint="eastAsia"/>
                <w:b/>
                <w:bCs/>
                <w:color w:val="auto"/>
                <w:sz w:val="21"/>
                <w:szCs w:val="21"/>
              </w:rPr>
              <w:t>（</w:t>
            </w:r>
            <w:r>
              <w:rPr>
                <w:b/>
                <w:bCs/>
                <w:color w:val="auto"/>
                <w:sz w:val="21"/>
                <w:szCs w:val="21"/>
              </w:rPr>
              <w:t>t/a</w:t>
            </w:r>
            <w:r>
              <w:rPr>
                <w:rFonts w:hint="eastAsia"/>
                <w:b/>
                <w:bCs/>
                <w:color w:val="auto"/>
                <w:sz w:val="21"/>
                <w:szCs w:val="21"/>
              </w:rPr>
              <w:t>）</w:t>
            </w:r>
          </w:p>
        </w:tc>
        <w:tc>
          <w:tcPr>
            <w:tcW w:w="997" w:type="dxa"/>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产排速</w:t>
            </w:r>
          </w:p>
          <w:p>
            <w:pPr>
              <w:pStyle w:val="435"/>
              <w:widowControl/>
              <w:snapToGrid w:val="0"/>
              <w:rPr>
                <w:b/>
                <w:bCs/>
                <w:color w:val="auto"/>
                <w:sz w:val="21"/>
                <w:szCs w:val="21"/>
              </w:rPr>
            </w:pPr>
            <w:r>
              <w:rPr>
                <w:rFonts w:hint="eastAsia"/>
                <w:b/>
                <w:bCs/>
                <w:color w:val="auto"/>
                <w:sz w:val="21"/>
                <w:szCs w:val="21"/>
              </w:rPr>
              <w:t>率（</w:t>
            </w:r>
            <w:r>
              <w:rPr>
                <w:b/>
                <w:bCs/>
                <w:color w:val="auto"/>
                <w:sz w:val="21"/>
                <w:szCs w:val="21"/>
              </w:rPr>
              <w:t>k</w:t>
            </w:r>
          </w:p>
          <w:p>
            <w:pPr>
              <w:pStyle w:val="435"/>
              <w:widowControl/>
              <w:snapToGrid w:val="0"/>
              <w:rPr>
                <w:b/>
                <w:bCs/>
                <w:color w:val="auto"/>
                <w:sz w:val="21"/>
                <w:szCs w:val="21"/>
              </w:rPr>
            </w:pPr>
            <w:r>
              <w:rPr>
                <w:b/>
                <w:bCs/>
                <w:color w:val="auto"/>
                <w:sz w:val="21"/>
                <w:szCs w:val="21"/>
              </w:rPr>
              <w:t>g/h</w:t>
            </w:r>
            <w:r>
              <w:rPr>
                <w:rFonts w:hint="eastAsia"/>
                <w:b/>
                <w:bCs/>
                <w:color w:val="auto"/>
                <w:sz w:val="21"/>
                <w:szCs w:val="21"/>
              </w:rPr>
              <w:t>）</w:t>
            </w:r>
          </w:p>
        </w:tc>
        <w:tc>
          <w:tcPr>
            <w:tcW w:w="1256" w:type="dxa"/>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产排浓度</w:t>
            </w:r>
          </w:p>
          <w:p>
            <w:pPr>
              <w:pStyle w:val="435"/>
              <w:widowControl/>
              <w:snapToGrid w:val="0"/>
              <w:rPr>
                <w:b/>
                <w:bCs/>
                <w:color w:val="auto"/>
                <w:sz w:val="21"/>
                <w:szCs w:val="21"/>
              </w:rPr>
            </w:pPr>
            <w:r>
              <w:rPr>
                <w:rFonts w:hint="eastAsia"/>
                <w:b/>
                <w:bCs/>
                <w:color w:val="auto"/>
                <w:sz w:val="21"/>
                <w:szCs w:val="21"/>
              </w:rPr>
              <w:t>（</w:t>
            </w:r>
            <w:r>
              <w:rPr>
                <w:b/>
                <w:bCs/>
                <w:color w:val="auto"/>
                <w:sz w:val="21"/>
                <w:szCs w:val="21"/>
              </w:rPr>
              <w:t>mg/m3</w:t>
            </w:r>
            <w:r>
              <w:rPr>
                <w:rFonts w:hint="eastAsia"/>
                <w:b/>
                <w:bCs/>
                <w:color w:val="auto"/>
                <w:sz w:val="21"/>
                <w:szCs w:val="21"/>
              </w:rPr>
              <w:t>）</w:t>
            </w:r>
          </w:p>
        </w:tc>
        <w:tc>
          <w:tcPr>
            <w:tcW w:w="997" w:type="dxa"/>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排放速</w:t>
            </w:r>
          </w:p>
          <w:p>
            <w:pPr>
              <w:pStyle w:val="435"/>
              <w:widowControl/>
              <w:snapToGrid w:val="0"/>
              <w:rPr>
                <w:b/>
                <w:bCs/>
                <w:color w:val="auto"/>
                <w:sz w:val="21"/>
                <w:szCs w:val="21"/>
              </w:rPr>
            </w:pPr>
            <w:r>
              <w:rPr>
                <w:rFonts w:hint="eastAsia"/>
                <w:b/>
                <w:bCs/>
                <w:color w:val="auto"/>
                <w:sz w:val="21"/>
                <w:szCs w:val="21"/>
              </w:rPr>
              <w:t>率（</w:t>
            </w:r>
            <w:r>
              <w:rPr>
                <w:b/>
                <w:bCs/>
                <w:color w:val="auto"/>
                <w:sz w:val="21"/>
                <w:szCs w:val="21"/>
              </w:rPr>
              <w:t>k</w:t>
            </w:r>
          </w:p>
          <w:p>
            <w:pPr>
              <w:pStyle w:val="435"/>
              <w:widowControl/>
              <w:snapToGrid w:val="0"/>
              <w:rPr>
                <w:b/>
                <w:bCs/>
                <w:color w:val="auto"/>
                <w:sz w:val="21"/>
                <w:szCs w:val="21"/>
              </w:rPr>
            </w:pPr>
            <w:r>
              <w:rPr>
                <w:b/>
                <w:bCs/>
                <w:color w:val="auto"/>
                <w:sz w:val="21"/>
                <w:szCs w:val="21"/>
              </w:rPr>
              <w:t>g/h</w:t>
            </w:r>
            <w:r>
              <w:rPr>
                <w:rFonts w:hint="eastAsia"/>
                <w:b/>
                <w:bCs/>
                <w:color w:val="auto"/>
                <w:sz w:val="21"/>
                <w:szCs w:val="21"/>
              </w:rPr>
              <w:t>）</w:t>
            </w:r>
          </w:p>
        </w:tc>
        <w:tc>
          <w:tcPr>
            <w:tcW w:w="1256" w:type="dxa"/>
            <w:tcBorders>
              <w:tl2br w:val="nil"/>
              <w:tr2bl w:val="nil"/>
            </w:tcBorders>
            <w:vAlign w:val="center"/>
          </w:tcPr>
          <w:p>
            <w:pPr>
              <w:pStyle w:val="435"/>
              <w:widowControl/>
              <w:snapToGrid w:val="0"/>
              <w:rPr>
                <w:b/>
                <w:bCs/>
                <w:color w:val="auto"/>
                <w:sz w:val="21"/>
                <w:szCs w:val="21"/>
              </w:rPr>
            </w:pPr>
            <w:r>
              <w:rPr>
                <w:rFonts w:hint="eastAsia"/>
                <w:b/>
                <w:bCs/>
                <w:color w:val="auto"/>
                <w:sz w:val="21"/>
                <w:szCs w:val="21"/>
              </w:rPr>
              <w:t>排放浓度</w:t>
            </w:r>
          </w:p>
          <w:p>
            <w:pPr>
              <w:pStyle w:val="435"/>
              <w:widowControl/>
              <w:snapToGrid w:val="0"/>
              <w:rPr>
                <w:b/>
                <w:bCs/>
                <w:color w:val="auto"/>
                <w:sz w:val="21"/>
                <w:szCs w:val="21"/>
              </w:rPr>
            </w:pPr>
            <w:r>
              <w:rPr>
                <w:rFonts w:hint="eastAsia"/>
                <w:b/>
                <w:bCs/>
                <w:color w:val="auto"/>
                <w:sz w:val="21"/>
                <w:szCs w:val="21"/>
              </w:rPr>
              <w:t>（</w:t>
            </w:r>
            <w:r>
              <w:rPr>
                <w:b/>
                <w:bCs/>
                <w:color w:val="auto"/>
                <w:sz w:val="21"/>
                <w:szCs w:val="21"/>
              </w:rPr>
              <w:t>mg/m3</w:t>
            </w:r>
            <w:r>
              <w:rPr>
                <w:rFonts w:hint="eastAsia"/>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vMerge w:val="restart"/>
            <w:tcBorders>
              <w:tl2br w:val="nil"/>
              <w:tr2bl w:val="nil"/>
            </w:tcBorders>
            <w:vAlign w:val="center"/>
          </w:tcPr>
          <w:p>
            <w:pPr>
              <w:pStyle w:val="23"/>
              <w:rPr>
                <w:color w:val="auto"/>
                <w:sz w:val="21"/>
                <w:szCs w:val="16"/>
              </w:rPr>
            </w:pPr>
            <w:r>
              <w:rPr>
                <w:rFonts w:hint="eastAsia" w:ascii="Times New Roman" w:eastAsia="宋体"/>
                <w:color w:val="auto"/>
                <w:sz w:val="21"/>
                <w:szCs w:val="21"/>
              </w:rPr>
              <w:t>12</w:t>
            </w:r>
          </w:p>
        </w:tc>
        <w:tc>
          <w:tcPr>
            <w:tcW w:w="1005" w:type="dxa"/>
            <w:vMerge w:val="restart"/>
            <w:tcBorders>
              <w:tl2br w:val="nil"/>
              <w:tr2bl w:val="nil"/>
            </w:tcBorders>
            <w:vAlign w:val="center"/>
          </w:tcPr>
          <w:p>
            <w:pPr>
              <w:pStyle w:val="23"/>
              <w:rPr>
                <w:color w:val="auto"/>
                <w:sz w:val="21"/>
                <w:szCs w:val="16"/>
              </w:rPr>
            </w:pPr>
            <w:r>
              <w:rPr>
                <w:rFonts w:hint="eastAsia" w:ascii="Times New Roman" w:eastAsia="宋体"/>
                <w:color w:val="auto"/>
                <w:sz w:val="21"/>
                <w:szCs w:val="21"/>
              </w:rPr>
              <w:t>213648</w:t>
            </w:r>
          </w:p>
        </w:tc>
        <w:tc>
          <w:tcPr>
            <w:tcW w:w="1125"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SO</w:t>
            </w:r>
            <w:r>
              <w:rPr>
                <w:rFonts w:hint="eastAsia" w:ascii="Times New Roman" w:eastAsia="宋体"/>
                <w:color w:val="auto"/>
                <w:sz w:val="21"/>
                <w:szCs w:val="21"/>
                <w:vertAlign w:val="subscript"/>
              </w:rPr>
              <w:t>2</w:t>
            </w:r>
          </w:p>
        </w:tc>
        <w:tc>
          <w:tcPr>
            <w:tcW w:w="93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0.002</w:t>
            </w:r>
          </w:p>
        </w:tc>
        <w:tc>
          <w:tcPr>
            <w:tcW w:w="997"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0.0208</w:t>
            </w:r>
          </w:p>
        </w:tc>
        <w:tc>
          <w:tcPr>
            <w:tcW w:w="125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9.36</w:t>
            </w:r>
          </w:p>
        </w:tc>
        <w:tc>
          <w:tcPr>
            <w:tcW w:w="997"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w:t>
            </w:r>
          </w:p>
        </w:tc>
        <w:tc>
          <w:tcPr>
            <w:tcW w:w="125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550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vMerge w:val="continue"/>
            <w:tcBorders>
              <w:tl2br w:val="nil"/>
              <w:tr2bl w:val="nil"/>
            </w:tcBorders>
            <w:vAlign w:val="center"/>
          </w:tcPr>
          <w:p>
            <w:pPr>
              <w:pStyle w:val="23"/>
              <w:rPr>
                <w:color w:val="auto"/>
                <w:sz w:val="21"/>
                <w:szCs w:val="16"/>
              </w:rPr>
            </w:pPr>
          </w:p>
        </w:tc>
        <w:tc>
          <w:tcPr>
            <w:tcW w:w="1005" w:type="dxa"/>
            <w:vMerge w:val="continue"/>
            <w:tcBorders>
              <w:tl2br w:val="nil"/>
              <w:tr2bl w:val="nil"/>
            </w:tcBorders>
            <w:vAlign w:val="center"/>
          </w:tcPr>
          <w:p>
            <w:pPr>
              <w:pStyle w:val="23"/>
              <w:rPr>
                <w:color w:val="auto"/>
                <w:sz w:val="21"/>
                <w:szCs w:val="16"/>
              </w:rPr>
            </w:pPr>
          </w:p>
        </w:tc>
        <w:tc>
          <w:tcPr>
            <w:tcW w:w="1125"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NOx</w:t>
            </w:r>
          </w:p>
        </w:tc>
        <w:tc>
          <w:tcPr>
            <w:tcW w:w="93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0.036</w:t>
            </w:r>
          </w:p>
        </w:tc>
        <w:tc>
          <w:tcPr>
            <w:tcW w:w="997"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0.375</w:t>
            </w:r>
          </w:p>
        </w:tc>
        <w:tc>
          <w:tcPr>
            <w:tcW w:w="125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169</w:t>
            </w:r>
          </w:p>
        </w:tc>
        <w:tc>
          <w:tcPr>
            <w:tcW w:w="997"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w:t>
            </w:r>
          </w:p>
        </w:tc>
        <w:tc>
          <w:tcPr>
            <w:tcW w:w="125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240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vMerge w:val="continue"/>
            <w:tcBorders>
              <w:tl2br w:val="nil"/>
              <w:tr2bl w:val="nil"/>
            </w:tcBorders>
            <w:vAlign w:val="center"/>
          </w:tcPr>
          <w:p>
            <w:pPr>
              <w:pStyle w:val="23"/>
              <w:rPr>
                <w:color w:val="auto"/>
                <w:sz w:val="21"/>
                <w:szCs w:val="16"/>
              </w:rPr>
            </w:pPr>
          </w:p>
        </w:tc>
        <w:tc>
          <w:tcPr>
            <w:tcW w:w="1005" w:type="dxa"/>
            <w:vMerge w:val="continue"/>
            <w:tcBorders>
              <w:tl2br w:val="nil"/>
              <w:tr2bl w:val="nil"/>
            </w:tcBorders>
            <w:vAlign w:val="center"/>
          </w:tcPr>
          <w:p>
            <w:pPr>
              <w:pStyle w:val="23"/>
              <w:rPr>
                <w:color w:val="auto"/>
                <w:sz w:val="21"/>
                <w:szCs w:val="16"/>
              </w:rPr>
            </w:pPr>
          </w:p>
        </w:tc>
        <w:tc>
          <w:tcPr>
            <w:tcW w:w="1125" w:type="dxa"/>
            <w:tcBorders>
              <w:tl2br w:val="nil"/>
              <w:tr2bl w:val="nil"/>
            </w:tcBorders>
            <w:vAlign w:val="center"/>
          </w:tcPr>
          <w:p>
            <w:pPr>
              <w:pStyle w:val="23"/>
              <w:rPr>
                <w:rFonts w:hAnsi="宋体" w:eastAsia="宋体" w:cs="宋体"/>
                <w:color w:val="auto"/>
                <w:sz w:val="21"/>
                <w:szCs w:val="16"/>
              </w:rPr>
            </w:pPr>
            <w:r>
              <w:rPr>
                <w:rFonts w:hint="eastAsia" w:hAnsi="宋体" w:eastAsia="宋体" w:cs="宋体"/>
                <w:color w:val="auto"/>
                <w:sz w:val="21"/>
                <w:szCs w:val="16"/>
              </w:rPr>
              <w:t>颗粒物</w:t>
            </w:r>
          </w:p>
        </w:tc>
        <w:tc>
          <w:tcPr>
            <w:tcW w:w="93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0.0031</w:t>
            </w:r>
          </w:p>
        </w:tc>
        <w:tc>
          <w:tcPr>
            <w:tcW w:w="997"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0.0323</w:t>
            </w:r>
          </w:p>
        </w:tc>
        <w:tc>
          <w:tcPr>
            <w:tcW w:w="125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14.5</w:t>
            </w:r>
          </w:p>
        </w:tc>
        <w:tc>
          <w:tcPr>
            <w:tcW w:w="997"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w:t>
            </w:r>
          </w:p>
        </w:tc>
        <w:tc>
          <w:tcPr>
            <w:tcW w:w="1256" w:type="dxa"/>
            <w:tcBorders>
              <w:tl2br w:val="nil"/>
              <w:tr2bl w:val="nil"/>
            </w:tcBorders>
            <w:vAlign w:val="center"/>
          </w:tcPr>
          <w:p>
            <w:pPr>
              <w:pStyle w:val="23"/>
              <w:rPr>
                <w:rFonts w:ascii="Times New Roman" w:eastAsia="宋体"/>
                <w:color w:val="auto"/>
                <w:sz w:val="21"/>
                <w:szCs w:val="21"/>
              </w:rPr>
            </w:pPr>
            <w:r>
              <w:rPr>
                <w:rFonts w:hint="eastAsia" w:ascii="Times New Roman" w:eastAsia="宋体"/>
                <w:color w:val="auto"/>
                <w:sz w:val="21"/>
                <w:szCs w:val="21"/>
              </w:rPr>
              <w:t>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vMerge w:val="continue"/>
            <w:tcBorders>
              <w:tl2br w:val="nil"/>
              <w:tr2bl w:val="nil"/>
            </w:tcBorders>
            <w:vAlign w:val="center"/>
          </w:tcPr>
          <w:p>
            <w:pPr>
              <w:pStyle w:val="23"/>
              <w:rPr>
                <w:color w:val="auto"/>
                <w:sz w:val="21"/>
                <w:szCs w:val="16"/>
              </w:rPr>
            </w:pPr>
          </w:p>
        </w:tc>
        <w:tc>
          <w:tcPr>
            <w:tcW w:w="1005" w:type="dxa"/>
            <w:vMerge w:val="continue"/>
            <w:tcBorders>
              <w:tl2br w:val="nil"/>
              <w:tr2bl w:val="nil"/>
            </w:tcBorders>
            <w:vAlign w:val="center"/>
          </w:tcPr>
          <w:p>
            <w:pPr>
              <w:pStyle w:val="23"/>
              <w:rPr>
                <w:color w:val="auto"/>
                <w:sz w:val="21"/>
                <w:szCs w:val="16"/>
              </w:rPr>
            </w:pPr>
          </w:p>
        </w:tc>
        <w:tc>
          <w:tcPr>
            <w:tcW w:w="1125" w:type="dxa"/>
            <w:tcBorders>
              <w:tl2br w:val="nil"/>
              <w:tr2bl w:val="nil"/>
            </w:tcBorders>
            <w:vAlign w:val="center"/>
          </w:tcPr>
          <w:p>
            <w:pPr>
              <w:pStyle w:val="23"/>
              <w:rPr>
                <w:rFonts w:hAnsi="宋体" w:eastAsia="宋体" w:cs="宋体"/>
                <w:color w:val="auto"/>
                <w:sz w:val="21"/>
                <w:szCs w:val="16"/>
              </w:rPr>
            </w:pPr>
            <w:r>
              <w:rPr>
                <w:rFonts w:hint="eastAsia" w:hAnsi="宋体" w:eastAsia="宋体" w:cs="宋体"/>
                <w:color w:val="auto"/>
                <w:sz w:val="21"/>
                <w:szCs w:val="16"/>
              </w:rPr>
              <w:t>烟气黑度</w:t>
            </w:r>
          </w:p>
        </w:tc>
        <w:tc>
          <w:tcPr>
            <w:tcW w:w="936" w:type="dxa"/>
            <w:tcBorders>
              <w:tl2br w:val="nil"/>
              <w:tr2bl w:val="nil"/>
            </w:tcBorders>
            <w:vAlign w:val="center"/>
          </w:tcPr>
          <w:p>
            <w:pPr>
              <w:pStyle w:val="23"/>
              <w:rPr>
                <w:rFonts w:hint="default" w:hAnsi="宋体" w:eastAsia="宋体" w:cs="宋体"/>
                <w:color w:val="auto"/>
                <w:sz w:val="21"/>
                <w:szCs w:val="16"/>
                <w:lang w:val="en-US" w:eastAsia="zh-CN"/>
              </w:rPr>
            </w:pPr>
            <w:r>
              <w:rPr>
                <w:rFonts w:hint="eastAsia" w:hAnsi="宋体" w:eastAsia="宋体" w:cs="宋体"/>
                <w:color w:val="auto"/>
                <w:sz w:val="21"/>
                <w:szCs w:val="16"/>
                <w:lang w:val="en-US" w:eastAsia="zh-CN"/>
              </w:rPr>
              <w:t>/</w:t>
            </w:r>
          </w:p>
        </w:tc>
        <w:tc>
          <w:tcPr>
            <w:tcW w:w="997" w:type="dxa"/>
            <w:tcBorders>
              <w:tl2br w:val="nil"/>
              <w:tr2bl w:val="nil"/>
            </w:tcBorders>
            <w:vAlign w:val="center"/>
          </w:tcPr>
          <w:p>
            <w:pPr>
              <w:pStyle w:val="23"/>
              <w:rPr>
                <w:color w:val="auto"/>
                <w:sz w:val="21"/>
                <w:szCs w:val="16"/>
              </w:rPr>
            </w:pPr>
            <w:r>
              <w:rPr>
                <w:rFonts w:hint="eastAsia"/>
                <w:color w:val="auto"/>
                <w:sz w:val="21"/>
                <w:szCs w:val="16"/>
              </w:rPr>
              <w:t>/</w:t>
            </w:r>
          </w:p>
        </w:tc>
        <w:tc>
          <w:tcPr>
            <w:tcW w:w="1256" w:type="dxa"/>
            <w:tcBorders>
              <w:tl2br w:val="nil"/>
              <w:tr2bl w:val="nil"/>
            </w:tcBorders>
            <w:vAlign w:val="center"/>
          </w:tcPr>
          <w:p>
            <w:pPr>
              <w:rPr>
                <w:color w:val="auto"/>
                <w:sz w:val="21"/>
                <w:szCs w:val="16"/>
              </w:rPr>
            </w:pPr>
            <w:r>
              <w:rPr>
                <w:rFonts w:hint="eastAsia"/>
                <w:color w:val="auto"/>
                <w:sz w:val="21"/>
                <w:szCs w:val="16"/>
              </w:rPr>
              <w:t>/</w:t>
            </w:r>
          </w:p>
        </w:tc>
        <w:tc>
          <w:tcPr>
            <w:tcW w:w="997" w:type="dxa"/>
            <w:tcBorders>
              <w:tl2br w:val="nil"/>
              <w:tr2bl w:val="nil"/>
            </w:tcBorders>
            <w:vAlign w:val="center"/>
          </w:tcPr>
          <w:p>
            <w:pPr>
              <w:rPr>
                <w:color w:val="auto"/>
                <w:sz w:val="21"/>
                <w:szCs w:val="16"/>
              </w:rPr>
            </w:pPr>
            <w:r>
              <w:rPr>
                <w:rFonts w:hint="eastAsia"/>
                <w:color w:val="auto"/>
                <w:sz w:val="21"/>
                <w:szCs w:val="16"/>
              </w:rPr>
              <w:t>/</w:t>
            </w:r>
          </w:p>
        </w:tc>
        <w:tc>
          <w:tcPr>
            <w:tcW w:w="1256" w:type="dxa"/>
            <w:tcBorders>
              <w:tl2br w:val="nil"/>
              <w:tr2bl w:val="nil"/>
            </w:tcBorders>
            <w:vAlign w:val="center"/>
          </w:tcPr>
          <w:p>
            <w:pPr>
              <w:rPr>
                <w:color w:val="auto"/>
                <w:sz w:val="21"/>
                <w:szCs w:val="16"/>
              </w:rPr>
            </w:pPr>
            <w:r>
              <w:rPr>
                <w:rFonts w:hint="eastAsia" w:hAnsi="宋体" w:eastAsia="宋体" w:cs="宋体"/>
                <w:color w:val="auto"/>
                <w:sz w:val="21"/>
                <w:szCs w:val="16"/>
              </w:rPr>
              <w:t>＜1 级</w:t>
            </w:r>
          </w:p>
        </w:tc>
      </w:tr>
    </w:tbl>
    <w:p>
      <w:pPr>
        <w:spacing w:line="360" w:lineRule="auto"/>
        <w:ind w:firstLine="482"/>
        <w:rPr>
          <w:rFonts w:ascii="Times New Roman" w:eastAsia="宋体"/>
          <w:color w:val="auto"/>
          <w:szCs w:val="24"/>
        </w:rPr>
      </w:pPr>
      <w:r>
        <w:rPr>
          <w:rFonts w:hint="eastAsia" w:ascii="Times New Roman" w:eastAsia="宋体"/>
          <w:color w:val="auto"/>
          <w:szCs w:val="24"/>
        </w:rPr>
        <w:t>根据表 3.3-10，发电机废气排放可达到《大气污染物综合排放限值》（GB16297-1996）表2 污染物最高允许排放限值要求。</w:t>
      </w:r>
    </w:p>
    <w:p>
      <w:pPr>
        <w:spacing w:line="360" w:lineRule="auto"/>
        <w:ind w:firstLine="482"/>
        <w:rPr>
          <w:rFonts w:ascii="Times New Roman" w:eastAsia="宋体"/>
          <w:color w:val="auto"/>
          <w:szCs w:val="24"/>
        </w:rPr>
      </w:pPr>
      <w:r>
        <w:rPr>
          <w:rFonts w:hint="eastAsia" w:ascii="Times New Roman" w:eastAsia="宋体"/>
          <w:color w:val="auto"/>
          <w:szCs w:val="24"/>
        </w:rPr>
        <w:t>两台发电机废气污染物排放量为：SO</w:t>
      </w:r>
      <w:r>
        <w:rPr>
          <w:rFonts w:hint="eastAsia" w:ascii="Times New Roman" w:eastAsia="宋体"/>
          <w:color w:val="auto"/>
          <w:szCs w:val="24"/>
          <w:vertAlign w:val="subscript"/>
        </w:rPr>
        <w:t xml:space="preserve">2 </w:t>
      </w:r>
      <w:r>
        <w:rPr>
          <w:rFonts w:hint="eastAsia" w:ascii="Times New Roman" w:eastAsia="宋体"/>
          <w:color w:val="auto"/>
          <w:szCs w:val="24"/>
        </w:rPr>
        <w:t>0.004t/a，NO</w:t>
      </w:r>
      <w:r>
        <w:rPr>
          <w:rFonts w:hint="eastAsia" w:ascii="Times New Roman" w:eastAsia="宋体"/>
          <w:color w:val="auto"/>
          <w:szCs w:val="24"/>
          <w:vertAlign w:val="subscript"/>
        </w:rPr>
        <w:t xml:space="preserve">X </w:t>
      </w:r>
      <w:r>
        <w:rPr>
          <w:rFonts w:hint="eastAsia" w:ascii="Times New Roman" w:eastAsia="宋体"/>
          <w:color w:val="auto"/>
          <w:szCs w:val="24"/>
        </w:rPr>
        <w:t>0.072t/a，颗粒物 0.0062t/a。</w:t>
      </w:r>
    </w:p>
    <w:p>
      <w:pPr>
        <w:spacing w:line="360" w:lineRule="auto"/>
        <w:outlineLvl w:val="3"/>
        <w:rPr>
          <w:rFonts w:hint="eastAsia" w:ascii="Times New Roman" w:hAnsi="Times New Roman" w:eastAsia="宋体" w:cs="Times New Roman"/>
          <w:color w:val="auto"/>
          <w:kern w:val="2"/>
        </w:rPr>
      </w:pPr>
      <w:r>
        <w:rPr>
          <w:rFonts w:hint="eastAsia" w:ascii="Times New Roman" w:hAnsi="Times New Roman" w:eastAsia="宋体" w:cs="Times New Roman"/>
          <w:color w:val="auto"/>
          <w:kern w:val="2"/>
        </w:rPr>
        <w:t>（2）废水</w:t>
      </w:r>
    </w:p>
    <w:p>
      <w:pPr>
        <w:spacing w:line="360" w:lineRule="auto"/>
        <w:ind w:firstLine="482"/>
        <w:rPr>
          <w:rFonts w:ascii="Times New Roman" w:eastAsia="宋体"/>
          <w:color w:val="auto"/>
          <w:szCs w:val="22"/>
        </w:rPr>
      </w:pPr>
      <w:r>
        <w:rPr>
          <w:rFonts w:ascii="Times New Roman" w:eastAsia="宋体"/>
          <w:color w:val="auto"/>
          <w:szCs w:val="22"/>
        </w:rPr>
        <w:t>①废水排放情况</w:t>
      </w:r>
    </w:p>
    <w:p>
      <w:pPr>
        <w:spacing w:line="360" w:lineRule="auto"/>
        <w:ind w:firstLine="496" w:firstLineChars="200"/>
        <w:rPr>
          <w:rFonts w:ascii="Times New Roman" w:eastAsia="宋体"/>
          <w:color w:val="auto"/>
          <w:szCs w:val="24"/>
        </w:rPr>
      </w:pPr>
      <w:r>
        <w:rPr>
          <w:rFonts w:ascii="Times New Roman" w:eastAsia="宋体"/>
          <w:color w:val="auto"/>
          <w:szCs w:val="24"/>
        </w:rPr>
        <w:t>本项目废水主要包括鸡舍冲洗废水</w:t>
      </w:r>
      <w:r>
        <w:rPr>
          <w:rFonts w:hint="eastAsia" w:ascii="Times New Roman" w:eastAsia="宋体"/>
          <w:color w:val="auto"/>
          <w:szCs w:val="24"/>
        </w:rPr>
        <w:t>、水帘除臭废水、水帘降温废水、锅炉排水及</w:t>
      </w:r>
      <w:r>
        <w:rPr>
          <w:rFonts w:ascii="Times New Roman" w:eastAsia="宋体"/>
          <w:color w:val="auto"/>
          <w:szCs w:val="24"/>
        </w:rPr>
        <w:t>职工生活污水。本项目</w:t>
      </w:r>
      <w:r>
        <w:rPr>
          <w:rFonts w:hint="eastAsia" w:ascii="Times New Roman" w:eastAsia="宋体"/>
          <w:color w:val="auto"/>
          <w:szCs w:val="24"/>
        </w:rPr>
        <w:t>鸡舍</w:t>
      </w:r>
      <w:r>
        <w:rPr>
          <w:rFonts w:ascii="Times New Roman" w:eastAsia="宋体"/>
          <w:color w:val="auto"/>
          <w:szCs w:val="24"/>
        </w:rPr>
        <w:t>冲洗废水</w:t>
      </w:r>
      <w:r>
        <w:rPr>
          <w:rFonts w:hint="eastAsia" w:ascii="Times New Roman" w:eastAsia="宋体"/>
          <w:color w:val="auto"/>
          <w:szCs w:val="24"/>
        </w:rPr>
        <w:t>和水帘除臭废水</w:t>
      </w:r>
      <w:r>
        <w:rPr>
          <w:rFonts w:ascii="Times New Roman" w:eastAsia="宋体"/>
          <w:color w:val="auto"/>
          <w:szCs w:val="24"/>
        </w:rPr>
        <w:t>经鸡舍地下污水收集管道收集进入</w:t>
      </w:r>
      <w:r>
        <w:rPr>
          <w:rFonts w:hint="eastAsia" w:ascii="Times New Roman" w:eastAsia="宋体"/>
          <w:color w:val="auto"/>
          <w:szCs w:val="24"/>
        </w:rPr>
        <w:t>污水沉淀池</w:t>
      </w:r>
      <w:r>
        <w:rPr>
          <w:rFonts w:ascii="Times New Roman" w:eastAsia="宋体"/>
          <w:color w:val="auto"/>
          <w:szCs w:val="24"/>
        </w:rPr>
        <w:t>；生活污水</w:t>
      </w:r>
      <w:r>
        <w:rPr>
          <w:rFonts w:hint="eastAsia" w:ascii="Times New Roman" w:eastAsia="宋体"/>
          <w:color w:val="auto"/>
          <w:szCs w:val="24"/>
        </w:rPr>
        <w:t>经化粪池处理后，由</w:t>
      </w:r>
      <w:r>
        <w:rPr>
          <w:rFonts w:ascii="Times New Roman" w:eastAsia="宋体"/>
          <w:color w:val="auto"/>
          <w:szCs w:val="24"/>
        </w:rPr>
        <w:t>地下污水收集管道收集进入</w:t>
      </w:r>
      <w:r>
        <w:rPr>
          <w:rFonts w:hint="eastAsia" w:ascii="Times New Roman" w:eastAsia="宋体"/>
          <w:color w:val="auto"/>
          <w:szCs w:val="24"/>
        </w:rPr>
        <w:t>污水沉淀池</w:t>
      </w:r>
      <w:r>
        <w:rPr>
          <w:rFonts w:ascii="Times New Roman" w:eastAsia="宋体"/>
          <w:color w:val="auto"/>
          <w:szCs w:val="24"/>
        </w:rPr>
        <w:t>；锅炉</w:t>
      </w:r>
      <w:r>
        <w:rPr>
          <w:rFonts w:hint="eastAsia" w:ascii="Times New Roman" w:eastAsia="宋体"/>
          <w:color w:val="auto"/>
          <w:szCs w:val="24"/>
        </w:rPr>
        <w:t>用水循环使用，供暖结束后少量排污水</w:t>
      </w:r>
      <w:r>
        <w:rPr>
          <w:rFonts w:ascii="Times New Roman" w:eastAsia="宋体"/>
          <w:color w:val="auto"/>
          <w:szCs w:val="24"/>
        </w:rPr>
        <w:t>排水用于</w:t>
      </w:r>
      <w:r>
        <w:rPr>
          <w:rFonts w:hint="eastAsia" w:ascii="Times New Roman" w:eastAsia="宋体"/>
          <w:color w:val="auto"/>
          <w:szCs w:val="24"/>
        </w:rPr>
        <w:t>场区道路洒水抑尘，不外排；水帘降温用水循环使用不外排</w:t>
      </w:r>
      <w:r>
        <w:rPr>
          <w:rFonts w:ascii="Times New Roman" w:eastAsia="宋体"/>
          <w:color w:val="auto"/>
          <w:szCs w:val="24"/>
        </w:rPr>
        <w:t>。</w:t>
      </w:r>
    </w:p>
    <w:p>
      <w:pPr>
        <w:spacing w:line="360" w:lineRule="auto"/>
        <w:ind w:firstLine="496" w:firstLineChars="200"/>
        <w:rPr>
          <w:rFonts w:ascii="Times New Roman" w:eastAsia="宋体"/>
          <w:color w:val="auto"/>
          <w:szCs w:val="24"/>
        </w:rPr>
      </w:pPr>
      <w:r>
        <w:rPr>
          <w:rFonts w:ascii="Times New Roman" w:eastAsia="宋体"/>
          <w:color w:val="auto"/>
          <w:szCs w:val="24"/>
        </w:rPr>
        <w:t>A.鸡舍冲洗废水</w:t>
      </w:r>
    </w:p>
    <w:p>
      <w:pPr>
        <w:spacing w:line="360" w:lineRule="auto"/>
        <w:ind w:firstLine="496" w:firstLineChars="200"/>
        <w:rPr>
          <w:rFonts w:ascii="Times New Roman" w:eastAsia="宋体"/>
          <w:color w:val="auto"/>
          <w:szCs w:val="24"/>
        </w:rPr>
      </w:pPr>
      <w:r>
        <w:rPr>
          <w:rFonts w:ascii="Times New Roman" w:eastAsia="宋体"/>
          <w:color w:val="auto"/>
          <w:szCs w:val="24"/>
        </w:rPr>
        <w:t>本项目采用干清粪工艺，鸡舍粪便日产日清。肉鸡</w:t>
      </w:r>
      <w:r>
        <w:rPr>
          <w:rFonts w:hint="eastAsia" w:ascii="Times New Roman" w:eastAsia="宋体"/>
          <w:color w:val="auto"/>
          <w:szCs w:val="24"/>
        </w:rPr>
        <w:t>60</w:t>
      </w:r>
      <w:r>
        <w:rPr>
          <w:rFonts w:ascii="Times New Roman" w:eastAsia="宋体"/>
          <w:color w:val="auto"/>
          <w:szCs w:val="24"/>
        </w:rPr>
        <w:t>天育成出栏后对鸡舍进行冲洗，每年冲洗鸡舍</w:t>
      </w:r>
      <w:r>
        <w:rPr>
          <w:rFonts w:hint="eastAsia" w:ascii="Times New Roman" w:eastAsia="宋体"/>
          <w:color w:val="auto"/>
          <w:szCs w:val="24"/>
        </w:rPr>
        <w:t>4</w:t>
      </w:r>
      <w:r>
        <w:rPr>
          <w:rFonts w:ascii="Times New Roman" w:eastAsia="宋体"/>
          <w:color w:val="auto"/>
          <w:szCs w:val="24"/>
        </w:rPr>
        <w:t>次，每次冲洗</w:t>
      </w:r>
      <w:r>
        <w:rPr>
          <w:rFonts w:hint="eastAsia" w:ascii="Times New Roman" w:eastAsia="宋体"/>
          <w:color w:val="auto"/>
          <w:szCs w:val="24"/>
        </w:rPr>
        <w:t>1</w:t>
      </w:r>
      <w:r>
        <w:rPr>
          <w:rFonts w:ascii="Times New Roman" w:eastAsia="宋体"/>
          <w:color w:val="auto"/>
          <w:szCs w:val="24"/>
        </w:rPr>
        <w:t>天。依据《畜禽养殖业污染物排放标准》中干清粪工艺最高允许排水量0.</w:t>
      </w:r>
      <w:r>
        <w:rPr>
          <w:rFonts w:hint="eastAsia" w:ascii="Times New Roman" w:eastAsia="宋体"/>
          <w:color w:val="auto"/>
          <w:szCs w:val="24"/>
        </w:rPr>
        <w:t>6</w:t>
      </w:r>
      <w:r>
        <w:rPr>
          <w:rFonts w:ascii="Times New Roman" w:eastAsia="宋体"/>
          <w:color w:val="auto"/>
          <w:szCs w:val="24"/>
        </w:rPr>
        <w:t>t/d·千只（平均值）的要求，本项目鸡舍冲洗废水量为</w:t>
      </w:r>
      <w:r>
        <w:rPr>
          <w:rFonts w:hint="eastAsia" w:ascii="Times New Roman" w:eastAsia="宋体"/>
          <w:color w:val="auto"/>
        </w:rPr>
        <w:t>150t/次</w:t>
      </w:r>
      <w:r>
        <w:rPr>
          <w:rFonts w:ascii="Times New Roman" w:eastAsia="宋体"/>
          <w:color w:val="auto"/>
        </w:rPr>
        <w:t>，</w:t>
      </w:r>
      <w:r>
        <w:rPr>
          <w:rFonts w:hint="eastAsia" w:ascii="Times New Roman" w:eastAsia="宋体"/>
          <w:color w:val="auto"/>
        </w:rPr>
        <w:t>600</w:t>
      </w:r>
      <w:r>
        <w:rPr>
          <w:rFonts w:ascii="Times New Roman" w:eastAsia="宋体"/>
          <w:color w:val="auto"/>
        </w:rPr>
        <w:t>t/a</w:t>
      </w:r>
      <w:r>
        <w:rPr>
          <w:rFonts w:hint="eastAsia" w:ascii="Times New Roman" w:eastAsia="宋体"/>
          <w:color w:val="auto"/>
          <w:szCs w:val="24"/>
        </w:rPr>
        <w:t>。</w:t>
      </w:r>
    </w:p>
    <w:p>
      <w:pPr>
        <w:spacing w:line="360" w:lineRule="auto"/>
        <w:ind w:firstLine="496" w:firstLineChars="200"/>
        <w:rPr>
          <w:rFonts w:ascii="Times New Roman" w:eastAsia="宋体"/>
          <w:color w:val="auto"/>
          <w:szCs w:val="24"/>
        </w:rPr>
      </w:pPr>
      <w:r>
        <w:rPr>
          <w:rFonts w:ascii="Times New Roman" w:eastAsia="宋体"/>
          <w:color w:val="auto"/>
          <w:szCs w:val="24"/>
        </w:rPr>
        <w:t>根据《规模畜禽养殖场污染防治最佳可行技术指南（试行）》（HT-BAT-10）（环保部公告2013年第44号）表2中畜禽养殖主要水污染物产生量及其性质，养殖场废水中污染物浓度见表</w:t>
      </w:r>
      <w:r>
        <w:rPr>
          <w:rFonts w:hint="eastAsia" w:ascii="Times New Roman" w:eastAsia="宋体"/>
          <w:color w:val="auto"/>
          <w:szCs w:val="24"/>
        </w:rPr>
        <w:t>3.3-11</w:t>
      </w:r>
      <w:r>
        <w:rPr>
          <w:rFonts w:ascii="Times New Roman" w:eastAsia="宋体"/>
          <w:color w:val="auto"/>
          <w:szCs w:val="24"/>
        </w:rPr>
        <w:t>。</w:t>
      </w:r>
      <w:bookmarkStart w:id="310" w:name="_Ref486515755"/>
    </w:p>
    <w:p>
      <w:pPr>
        <w:pStyle w:val="424"/>
        <w:rPr>
          <w:rFonts w:ascii="Times New Roman" w:eastAsia="宋体" w:cs="宋体"/>
          <w:color w:val="auto"/>
        </w:rPr>
      </w:pPr>
      <w:r>
        <w:rPr>
          <w:rFonts w:hint="eastAsia" w:ascii="Times New Roman" w:eastAsia="宋体" w:cs="宋体"/>
          <w:color w:val="auto"/>
        </w:rPr>
        <w:t>表</w:t>
      </w:r>
      <w:bookmarkEnd w:id="310"/>
      <w:r>
        <w:rPr>
          <w:rFonts w:hint="eastAsia" w:ascii="Times New Roman" w:eastAsia="宋体" w:cs="宋体"/>
          <w:color w:val="auto"/>
        </w:rPr>
        <w:t>3.3-11 各类养殖场废水中污染物浓度单位：mg/L</w:t>
      </w:r>
    </w:p>
    <w:tbl>
      <w:tblPr>
        <w:tblStyle w:val="47"/>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115"/>
        <w:gridCol w:w="1496"/>
        <w:gridCol w:w="1206"/>
        <w:gridCol w:w="1207"/>
        <w:gridCol w:w="1207"/>
        <w:gridCol w:w="11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blHeader/>
        </w:trPr>
        <w:tc>
          <w:tcPr>
            <w:tcW w:w="1116" w:type="dxa"/>
            <w:tcBorders>
              <w:tl2br w:val="nil"/>
              <w:tr2bl w:val="nil"/>
            </w:tcBorders>
            <w:vAlign w:val="center"/>
          </w:tcPr>
          <w:p>
            <w:pPr>
              <w:pStyle w:val="373"/>
              <w:rPr>
                <w:color w:val="auto"/>
              </w:rPr>
            </w:pPr>
            <w:r>
              <w:rPr>
                <w:color w:val="auto"/>
              </w:rPr>
              <w:t>养殖种类</w:t>
            </w:r>
          </w:p>
        </w:tc>
        <w:tc>
          <w:tcPr>
            <w:tcW w:w="1115" w:type="dxa"/>
            <w:tcBorders>
              <w:tl2br w:val="nil"/>
              <w:tr2bl w:val="nil"/>
            </w:tcBorders>
            <w:vAlign w:val="center"/>
          </w:tcPr>
          <w:p>
            <w:pPr>
              <w:pStyle w:val="373"/>
              <w:rPr>
                <w:color w:val="auto"/>
              </w:rPr>
            </w:pPr>
            <w:r>
              <w:rPr>
                <w:color w:val="auto"/>
              </w:rPr>
              <w:t>清粪方式</w:t>
            </w:r>
          </w:p>
        </w:tc>
        <w:tc>
          <w:tcPr>
            <w:tcW w:w="1496" w:type="dxa"/>
            <w:tcBorders>
              <w:tl2br w:val="nil"/>
              <w:tr2bl w:val="nil"/>
            </w:tcBorders>
            <w:vAlign w:val="center"/>
          </w:tcPr>
          <w:p>
            <w:pPr>
              <w:pStyle w:val="373"/>
              <w:rPr>
                <w:color w:val="auto"/>
              </w:rPr>
            </w:pPr>
            <w:r>
              <w:rPr>
                <w:color w:val="auto"/>
              </w:rPr>
              <w:t>COD</w:t>
            </w:r>
            <w:r>
              <w:rPr>
                <w:color w:val="auto"/>
                <w:vertAlign w:val="subscript"/>
              </w:rPr>
              <w:t>cr</w:t>
            </w:r>
          </w:p>
        </w:tc>
        <w:tc>
          <w:tcPr>
            <w:tcW w:w="1206" w:type="dxa"/>
            <w:tcBorders>
              <w:tl2br w:val="nil"/>
              <w:tr2bl w:val="nil"/>
            </w:tcBorders>
            <w:vAlign w:val="center"/>
          </w:tcPr>
          <w:p>
            <w:pPr>
              <w:pStyle w:val="373"/>
              <w:rPr>
                <w:color w:val="auto"/>
              </w:rPr>
            </w:pPr>
            <w:r>
              <w:rPr>
                <w:color w:val="auto"/>
              </w:rPr>
              <w:t>NH</w:t>
            </w:r>
            <w:r>
              <w:rPr>
                <w:color w:val="auto"/>
                <w:vertAlign w:val="subscript"/>
              </w:rPr>
              <w:t>3</w:t>
            </w:r>
            <w:r>
              <w:rPr>
                <w:color w:val="auto"/>
              </w:rPr>
              <w:t>-N</w:t>
            </w:r>
          </w:p>
        </w:tc>
        <w:tc>
          <w:tcPr>
            <w:tcW w:w="1207" w:type="dxa"/>
            <w:tcBorders>
              <w:tl2br w:val="nil"/>
              <w:tr2bl w:val="nil"/>
            </w:tcBorders>
            <w:vAlign w:val="center"/>
          </w:tcPr>
          <w:p>
            <w:pPr>
              <w:pStyle w:val="373"/>
              <w:rPr>
                <w:color w:val="auto"/>
              </w:rPr>
            </w:pPr>
            <w:r>
              <w:rPr>
                <w:color w:val="auto"/>
              </w:rPr>
              <w:t>TN</w:t>
            </w:r>
          </w:p>
        </w:tc>
        <w:tc>
          <w:tcPr>
            <w:tcW w:w="1207" w:type="dxa"/>
            <w:tcBorders>
              <w:tl2br w:val="nil"/>
              <w:tr2bl w:val="nil"/>
            </w:tcBorders>
            <w:vAlign w:val="center"/>
          </w:tcPr>
          <w:p>
            <w:pPr>
              <w:pStyle w:val="373"/>
              <w:rPr>
                <w:color w:val="auto"/>
              </w:rPr>
            </w:pPr>
            <w:r>
              <w:rPr>
                <w:color w:val="auto"/>
              </w:rPr>
              <w:t>TP</w:t>
            </w:r>
          </w:p>
        </w:tc>
        <w:tc>
          <w:tcPr>
            <w:tcW w:w="1175" w:type="dxa"/>
            <w:tcBorders>
              <w:tl2br w:val="nil"/>
              <w:tr2bl w:val="nil"/>
            </w:tcBorders>
            <w:vAlign w:val="center"/>
          </w:tcPr>
          <w:p>
            <w:pPr>
              <w:pStyle w:val="373"/>
              <w:rPr>
                <w:color w:val="auto"/>
              </w:rPr>
            </w:pPr>
            <w:r>
              <w:rPr>
                <w:color w:val="auto"/>
              </w:rPr>
              <w:t>pH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116" w:type="dxa"/>
            <w:tcBorders>
              <w:tl2br w:val="nil"/>
              <w:tr2bl w:val="nil"/>
            </w:tcBorders>
            <w:vAlign w:val="center"/>
          </w:tcPr>
          <w:p>
            <w:pPr>
              <w:pStyle w:val="373"/>
              <w:rPr>
                <w:color w:val="auto"/>
              </w:rPr>
            </w:pPr>
            <w:r>
              <w:rPr>
                <w:color w:val="auto"/>
              </w:rPr>
              <w:t>鸡</w:t>
            </w:r>
          </w:p>
        </w:tc>
        <w:tc>
          <w:tcPr>
            <w:tcW w:w="1115" w:type="dxa"/>
            <w:tcBorders>
              <w:tl2br w:val="nil"/>
              <w:tr2bl w:val="nil"/>
            </w:tcBorders>
            <w:vAlign w:val="center"/>
          </w:tcPr>
          <w:p>
            <w:pPr>
              <w:pStyle w:val="373"/>
              <w:rPr>
                <w:color w:val="auto"/>
              </w:rPr>
            </w:pPr>
            <w:r>
              <w:rPr>
                <w:rFonts w:hint="eastAsia"/>
                <w:color w:val="auto"/>
              </w:rPr>
              <w:t>干清粪</w:t>
            </w:r>
          </w:p>
        </w:tc>
        <w:tc>
          <w:tcPr>
            <w:tcW w:w="1496" w:type="dxa"/>
            <w:tcBorders>
              <w:tl2br w:val="nil"/>
              <w:tr2bl w:val="nil"/>
            </w:tcBorders>
            <w:vAlign w:val="center"/>
          </w:tcPr>
          <w:p>
            <w:pPr>
              <w:pStyle w:val="373"/>
              <w:rPr>
                <w:color w:val="auto"/>
              </w:rPr>
            </w:pPr>
            <w:r>
              <w:rPr>
                <w:color w:val="auto"/>
              </w:rPr>
              <w:t>2740-10500</w:t>
            </w:r>
          </w:p>
          <w:p>
            <w:pPr>
              <w:pStyle w:val="373"/>
              <w:rPr>
                <w:color w:val="auto"/>
              </w:rPr>
            </w:pPr>
            <w:r>
              <w:rPr>
                <w:color w:val="auto"/>
              </w:rPr>
              <w:t>平均6060</w:t>
            </w:r>
          </w:p>
        </w:tc>
        <w:tc>
          <w:tcPr>
            <w:tcW w:w="1206" w:type="dxa"/>
            <w:tcBorders>
              <w:tl2br w:val="nil"/>
              <w:tr2bl w:val="nil"/>
            </w:tcBorders>
            <w:vAlign w:val="center"/>
          </w:tcPr>
          <w:p>
            <w:pPr>
              <w:pStyle w:val="373"/>
              <w:rPr>
                <w:color w:val="auto"/>
              </w:rPr>
            </w:pPr>
            <w:r>
              <w:rPr>
                <w:color w:val="auto"/>
              </w:rPr>
              <w:t>70-60</w:t>
            </w:r>
            <w:r>
              <w:rPr>
                <w:rFonts w:hint="eastAsia"/>
                <w:color w:val="auto"/>
              </w:rPr>
              <w:t>0</w:t>
            </w:r>
          </w:p>
          <w:p>
            <w:pPr>
              <w:pStyle w:val="373"/>
              <w:rPr>
                <w:color w:val="auto"/>
              </w:rPr>
            </w:pPr>
            <w:r>
              <w:rPr>
                <w:color w:val="auto"/>
              </w:rPr>
              <w:t>平均261</w:t>
            </w:r>
          </w:p>
        </w:tc>
        <w:tc>
          <w:tcPr>
            <w:tcW w:w="1207" w:type="dxa"/>
            <w:tcBorders>
              <w:tl2br w:val="nil"/>
              <w:tr2bl w:val="nil"/>
            </w:tcBorders>
            <w:vAlign w:val="center"/>
          </w:tcPr>
          <w:p>
            <w:pPr>
              <w:pStyle w:val="373"/>
              <w:rPr>
                <w:color w:val="auto"/>
              </w:rPr>
            </w:pPr>
            <w:r>
              <w:rPr>
                <w:rFonts w:hint="eastAsia"/>
                <w:color w:val="auto"/>
              </w:rPr>
              <w:t>100</w:t>
            </w:r>
            <w:r>
              <w:rPr>
                <w:color w:val="auto"/>
              </w:rPr>
              <w:t>-7</w:t>
            </w:r>
            <w:r>
              <w:rPr>
                <w:rFonts w:hint="eastAsia"/>
                <w:color w:val="auto"/>
              </w:rPr>
              <w:t>50</w:t>
            </w:r>
          </w:p>
          <w:p>
            <w:pPr>
              <w:pStyle w:val="373"/>
              <w:rPr>
                <w:color w:val="auto"/>
              </w:rPr>
            </w:pPr>
            <w:r>
              <w:rPr>
                <w:color w:val="auto"/>
              </w:rPr>
              <w:t>平均342</w:t>
            </w:r>
          </w:p>
        </w:tc>
        <w:tc>
          <w:tcPr>
            <w:tcW w:w="1207" w:type="dxa"/>
            <w:tcBorders>
              <w:tl2br w:val="nil"/>
              <w:tr2bl w:val="nil"/>
            </w:tcBorders>
            <w:vAlign w:val="center"/>
          </w:tcPr>
          <w:p>
            <w:pPr>
              <w:pStyle w:val="373"/>
              <w:rPr>
                <w:color w:val="auto"/>
              </w:rPr>
            </w:pPr>
            <w:r>
              <w:rPr>
                <w:color w:val="auto"/>
              </w:rPr>
              <w:t>1</w:t>
            </w:r>
            <w:r>
              <w:rPr>
                <w:rFonts w:hint="eastAsia"/>
                <w:color w:val="auto"/>
              </w:rPr>
              <w:t>3-60</w:t>
            </w:r>
          </w:p>
          <w:p>
            <w:pPr>
              <w:pStyle w:val="373"/>
              <w:rPr>
                <w:color w:val="auto"/>
              </w:rPr>
            </w:pPr>
            <w:r>
              <w:rPr>
                <w:color w:val="auto"/>
              </w:rPr>
              <w:t>平均31.4</w:t>
            </w:r>
          </w:p>
        </w:tc>
        <w:tc>
          <w:tcPr>
            <w:tcW w:w="1175" w:type="dxa"/>
            <w:tcBorders>
              <w:tl2br w:val="nil"/>
              <w:tr2bl w:val="nil"/>
            </w:tcBorders>
            <w:vAlign w:val="center"/>
          </w:tcPr>
          <w:p>
            <w:pPr>
              <w:pStyle w:val="373"/>
              <w:rPr>
                <w:color w:val="auto"/>
              </w:rPr>
            </w:pPr>
            <w:r>
              <w:rPr>
                <w:color w:val="auto"/>
              </w:rPr>
              <w:t>6.53-8.49</w:t>
            </w:r>
          </w:p>
        </w:tc>
      </w:tr>
    </w:tbl>
    <w:p>
      <w:pPr>
        <w:spacing w:line="360" w:lineRule="auto"/>
        <w:ind w:firstLine="496" w:firstLineChars="200"/>
        <w:rPr>
          <w:rFonts w:ascii="Times New Roman" w:eastAsia="宋体"/>
          <w:color w:val="auto"/>
          <w:szCs w:val="24"/>
        </w:rPr>
      </w:pPr>
      <w:r>
        <w:rPr>
          <w:rFonts w:ascii="Times New Roman" w:eastAsia="宋体"/>
          <w:color w:val="auto"/>
          <w:szCs w:val="24"/>
        </w:rPr>
        <w:t>冲洗废水在沉淀储存池中经过沉淀后，</w:t>
      </w:r>
      <w:r>
        <w:rPr>
          <w:rFonts w:hint="eastAsia" w:ascii="Times New Roman" w:eastAsia="宋体"/>
          <w:color w:val="auto"/>
          <w:szCs w:val="24"/>
        </w:rPr>
        <w:t>由密闭槽罐车运送至新华养殖场处理</w:t>
      </w:r>
      <w:r>
        <w:rPr>
          <w:rFonts w:ascii="Times New Roman" w:eastAsia="宋体"/>
          <w:color w:val="auto"/>
          <w:szCs w:val="24"/>
        </w:rPr>
        <w:t>。项目废水排放情况及各污染物产排情况见表</w:t>
      </w:r>
      <w:r>
        <w:rPr>
          <w:rFonts w:hint="eastAsia" w:ascii="Times New Roman" w:eastAsia="宋体"/>
          <w:color w:val="auto"/>
          <w:szCs w:val="24"/>
        </w:rPr>
        <w:t>3.3-12</w:t>
      </w:r>
      <w:r>
        <w:rPr>
          <w:rFonts w:ascii="Times New Roman" w:eastAsia="宋体"/>
          <w:color w:val="auto"/>
          <w:szCs w:val="24"/>
        </w:rPr>
        <w:t>。</w:t>
      </w:r>
      <w:bookmarkStart w:id="311" w:name="_Ref485806133"/>
    </w:p>
    <w:p>
      <w:pPr>
        <w:pStyle w:val="424"/>
        <w:rPr>
          <w:rFonts w:ascii="Times New Roman" w:eastAsia="宋体" w:cs="宋体"/>
          <w:color w:val="auto"/>
        </w:rPr>
      </w:pPr>
      <w:r>
        <w:rPr>
          <w:rFonts w:hint="eastAsia" w:ascii="Times New Roman" w:eastAsia="宋体" w:cs="宋体"/>
          <w:color w:val="auto"/>
        </w:rPr>
        <w:t>表</w:t>
      </w:r>
      <w:bookmarkEnd w:id="311"/>
      <w:r>
        <w:rPr>
          <w:rFonts w:hint="eastAsia" w:ascii="Times New Roman" w:eastAsia="宋体" w:cs="宋体"/>
          <w:color w:val="auto"/>
        </w:rPr>
        <w:t>3.3-12污水中各污染物产排情况一览表</w:t>
      </w:r>
    </w:p>
    <w:tbl>
      <w:tblPr>
        <w:tblStyle w:val="47"/>
        <w:tblW w:w="83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333"/>
        <w:gridCol w:w="1489"/>
        <w:gridCol w:w="1061"/>
        <w:gridCol w:w="1061"/>
        <w:gridCol w:w="24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952" w:type="dxa"/>
            <w:vMerge w:val="restart"/>
            <w:tcBorders>
              <w:tl2br w:val="nil"/>
              <w:tr2bl w:val="nil"/>
            </w:tcBorders>
            <w:vAlign w:val="center"/>
          </w:tcPr>
          <w:p>
            <w:pPr>
              <w:pStyle w:val="373"/>
              <w:rPr>
                <w:color w:val="auto"/>
              </w:rPr>
            </w:pPr>
            <w:r>
              <w:rPr>
                <w:color w:val="auto"/>
              </w:rPr>
              <w:t>废水类别</w:t>
            </w:r>
          </w:p>
        </w:tc>
        <w:tc>
          <w:tcPr>
            <w:tcW w:w="1333" w:type="dxa"/>
            <w:tcBorders>
              <w:tl2br w:val="nil"/>
              <w:tr2bl w:val="nil"/>
            </w:tcBorders>
            <w:vAlign w:val="center"/>
          </w:tcPr>
          <w:p>
            <w:pPr>
              <w:pStyle w:val="373"/>
              <w:rPr>
                <w:color w:val="auto"/>
              </w:rPr>
            </w:pPr>
            <w:r>
              <w:rPr>
                <w:color w:val="auto"/>
              </w:rPr>
              <w:t>产生量</w:t>
            </w:r>
          </w:p>
        </w:tc>
        <w:tc>
          <w:tcPr>
            <w:tcW w:w="1489" w:type="dxa"/>
            <w:vMerge w:val="restart"/>
            <w:tcBorders>
              <w:tl2br w:val="nil"/>
              <w:tr2bl w:val="nil"/>
            </w:tcBorders>
            <w:vAlign w:val="center"/>
          </w:tcPr>
          <w:p>
            <w:pPr>
              <w:pStyle w:val="373"/>
              <w:rPr>
                <w:color w:val="auto"/>
              </w:rPr>
            </w:pPr>
            <w:r>
              <w:rPr>
                <w:color w:val="auto"/>
              </w:rPr>
              <w:t>污染物</w:t>
            </w:r>
          </w:p>
        </w:tc>
        <w:tc>
          <w:tcPr>
            <w:tcW w:w="1061" w:type="dxa"/>
            <w:tcBorders>
              <w:tl2br w:val="nil"/>
              <w:tr2bl w:val="nil"/>
            </w:tcBorders>
            <w:vAlign w:val="center"/>
          </w:tcPr>
          <w:p>
            <w:pPr>
              <w:pStyle w:val="373"/>
              <w:rPr>
                <w:color w:val="auto"/>
              </w:rPr>
            </w:pPr>
            <w:r>
              <w:rPr>
                <w:color w:val="auto"/>
              </w:rPr>
              <w:t>产生浓度</w:t>
            </w:r>
          </w:p>
        </w:tc>
        <w:tc>
          <w:tcPr>
            <w:tcW w:w="1061" w:type="dxa"/>
            <w:tcBorders>
              <w:tl2br w:val="nil"/>
              <w:tr2bl w:val="nil"/>
            </w:tcBorders>
            <w:vAlign w:val="center"/>
          </w:tcPr>
          <w:p>
            <w:pPr>
              <w:pStyle w:val="373"/>
              <w:rPr>
                <w:color w:val="auto"/>
              </w:rPr>
            </w:pPr>
            <w:r>
              <w:rPr>
                <w:color w:val="auto"/>
              </w:rPr>
              <w:t>产生量</w:t>
            </w:r>
          </w:p>
        </w:tc>
        <w:tc>
          <w:tcPr>
            <w:tcW w:w="2421" w:type="dxa"/>
            <w:vMerge w:val="restart"/>
            <w:tcBorders>
              <w:tl2br w:val="nil"/>
              <w:tr2bl w:val="nil"/>
            </w:tcBorders>
            <w:vAlign w:val="center"/>
          </w:tcPr>
          <w:p>
            <w:pPr>
              <w:pStyle w:val="373"/>
              <w:rPr>
                <w:color w:val="auto"/>
              </w:rPr>
            </w:pPr>
            <w:r>
              <w:rPr>
                <w:color w:val="auto"/>
              </w:rPr>
              <w:t>排放去向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952" w:type="dxa"/>
            <w:vMerge w:val="continue"/>
            <w:tcBorders>
              <w:tl2br w:val="nil"/>
              <w:tr2bl w:val="nil"/>
            </w:tcBorders>
            <w:vAlign w:val="center"/>
          </w:tcPr>
          <w:p>
            <w:pPr>
              <w:pStyle w:val="373"/>
              <w:rPr>
                <w:color w:val="auto"/>
              </w:rPr>
            </w:pPr>
          </w:p>
        </w:tc>
        <w:tc>
          <w:tcPr>
            <w:tcW w:w="1333" w:type="dxa"/>
            <w:tcBorders>
              <w:tl2br w:val="nil"/>
              <w:tr2bl w:val="nil"/>
            </w:tcBorders>
            <w:vAlign w:val="center"/>
          </w:tcPr>
          <w:p>
            <w:pPr>
              <w:pStyle w:val="373"/>
              <w:rPr>
                <w:color w:val="auto"/>
              </w:rPr>
            </w:pPr>
            <w:r>
              <w:rPr>
                <w:color w:val="auto"/>
              </w:rPr>
              <w:t>m</w:t>
            </w:r>
            <w:r>
              <w:rPr>
                <w:color w:val="auto"/>
                <w:vertAlign w:val="superscript"/>
              </w:rPr>
              <w:t>3</w:t>
            </w:r>
            <w:r>
              <w:rPr>
                <w:color w:val="auto"/>
              </w:rPr>
              <w:t>/a</w:t>
            </w:r>
          </w:p>
        </w:tc>
        <w:tc>
          <w:tcPr>
            <w:tcW w:w="1489" w:type="dxa"/>
            <w:vMerge w:val="continue"/>
            <w:tcBorders>
              <w:tl2br w:val="nil"/>
              <w:tr2bl w:val="nil"/>
            </w:tcBorders>
            <w:vAlign w:val="center"/>
          </w:tcPr>
          <w:p>
            <w:pPr>
              <w:pStyle w:val="373"/>
              <w:rPr>
                <w:color w:val="auto"/>
              </w:rPr>
            </w:pPr>
          </w:p>
        </w:tc>
        <w:tc>
          <w:tcPr>
            <w:tcW w:w="1061" w:type="dxa"/>
            <w:tcBorders>
              <w:tl2br w:val="nil"/>
              <w:tr2bl w:val="nil"/>
            </w:tcBorders>
            <w:vAlign w:val="center"/>
          </w:tcPr>
          <w:p>
            <w:pPr>
              <w:pStyle w:val="373"/>
              <w:rPr>
                <w:color w:val="auto"/>
              </w:rPr>
            </w:pPr>
            <w:r>
              <w:rPr>
                <w:color w:val="auto"/>
              </w:rPr>
              <w:t>mg/L</w:t>
            </w:r>
          </w:p>
        </w:tc>
        <w:tc>
          <w:tcPr>
            <w:tcW w:w="1061" w:type="dxa"/>
            <w:tcBorders>
              <w:tl2br w:val="nil"/>
              <w:tr2bl w:val="nil"/>
            </w:tcBorders>
            <w:vAlign w:val="center"/>
          </w:tcPr>
          <w:p>
            <w:pPr>
              <w:pStyle w:val="373"/>
              <w:rPr>
                <w:color w:val="auto"/>
              </w:rPr>
            </w:pPr>
            <w:r>
              <w:rPr>
                <w:color w:val="auto"/>
              </w:rPr>
              <w:t>t/a</w:t>
            </w:r>
          </w:p>
        </w:tc>
        <w:tc>
          <w:tcPr>
            <w:tcW w:w="242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952" w:type="dxa"/>
            <w:vMerge w:val="restart"/>
            <w:tcBorders>
              <w:tl2br w:val="nil"/>
              <w:tr2bl w:val="nil"/>
            </w:tcBorders>
            <w:vAlign w:val="center"/>
          </w:tcPr>
          <w:p>
            <w:pPr>
              <w:pStyle w:val="373"/>
              <w:rPr>
                <w:color w:val="auto"/>
              </w:rPr>
            </w:pPr>
            <w:r>
              <w:rPr>
                <w:rFonts w:hint="eastAsia"/>
                <w:color w:val="auto"/>
              </w:rPr>
              <w:t>冲洗</w:t>
            </w:r>
            <w:r>
              <w:rPr>
                <w:color w:val="auto"/>
              </w:rPr>
              <w:t>废水</w:t>
            </w:r>
          </w:p>
        </w:tc>
        <w:tc>
          <w:tcPr>
            <w:tcW w:w="1333" w:type="dxa"/>
            <w:vMerge w:val="restart"/>
            <w:tcBorders>
              <w:tl2br w:val="nil"/>
              <w:tr2bl w:val="nil"/>
            </w:tcBorders>
            <w:vAlign w:val="center"/>
          </w:tcPr>
          <w:p>
            <w:pPr>
              <w:pStyle w:val="373"/>
              <w:rPr>
                <w:color w:val="auto"/>
              </w:rPr>
            </w:pPr>
            <w:r>
              <w:rPr>
                <w:rFonts w:hint="eastAsia"/>
                <w:color w:val="auto"/>
                <w:spacing w:val="6"/>
              </w:rPr>
              <w:t>600</w:t>
            </w:r>
          </w:p>
        </w:tc>
        <w:tc>
          <w:tcPr>
            <w:tcW w:w="1489" w:type="dxa"/>
            <w:tcBorders>
              <w:tl2br w:val="nil"/>
              <w:tr2bl w:val="nil"/>
            </w:tcBorders>
            <w:vAlign w:val="center"/>
          </w:tcPr>
          <w:p>
            <w:pPr>
              <w:pStyle w:val="373"/>
              <w:rPr>
                <w:color w:val="auto"/>
              </w:rPr>
            </w:pPr>
            <w:r>
              <w:rPr>
                <w:color w:val="auto"/>
              </w:rPr>
              <w:t>COD</w:t>
            </w:r>
          </w:p>
        </w:tc>
        <w:tc>
          <w:tcPr>
            <w:tcW w:w="1061"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6060</w:t>
            </w:r>
          </w:p>
        </w:tc>
        <w:tc>
          <w:tcPr>
            <w:tcW w:w="1061" w:type="dxa"/>
            <w:tcBorders>
              <w:tl2br w:val="nil"/>
              <w:tr2bl w:val="nil"/>
            </w:tcBorders>
            <w:vAlign w:val="center"/>
          </w:tcPr>
          <w:p>
            <w:pPr>
              <w:pStyle w:val="373"/>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3.636</w:t>
            </w:r>
          </w:p>
        </w:tc>
        <w:tc>
          <w:tcPr>
            <w:tcW w:w="2421" w:type="dxa"/>
            <w:vMerge w:val="restart"/>
            <w:tcBorders>
              <w:tl2br w:val="nil"/>
              <w:tr2bl w:val="nil"/>
            </w:tcBorders>
            <w:vAlign w:val="center"/>
          </w:tcPr>
          <w:p>
            <w:pPr>
              <w:pStyle w:val="373"/>
              <w:jc w:val="left"/>
              <w:rPr>
                <w:color w:val="auto"/>
              </w:rPr>
            </w:pPr>
            <w:r>
              <w:rPr>
                <w:color w:val="auto"/>
              </w:rPr>
              <w:t>冲洗废水在沉淀储存池中经过沉淀后，</w:t>
            </w:r>
            <w:r>
              <w:rPr>
                <w:rFonts w:hint="eastAsia"/>
                <w:color w:val="auto"/>
              </w:rPr>
              <w:t>委托湖南春雨生物科技有限公司用密闭槽罐车运送至新华养殖场处理</w:t>
            </w: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952" w:type="dxa"/>
            <w:vMerge w:val="continue"/>
            <w:tcBorders>
              <w:tl2br w:val="nil"/>
              <w:tr2bl w:val="nil"/>
            </w:tcBorders>
            <w:vAlign w:val="center"/>
          </w:tcPr>
          <w:p>
            <w:pPr>
              <w:pStyle w:val="373"/>
              <w:rPr>
                <w:color w:val="auto"/>
              </w:rPr>
            </w:pPr>
          </w:p>
        </w:tc>
        <w:tc>
          <w:tcPr>
            <w:tcW w:w="1333" w:type="dxa"/>
            <w:vMerge w:val="continue"/>
            <w:tcBorders>
              <w:tl2br w:val="nil"/>
              <w:tr2bl w:val="nil"/>
            </w:tcBorders>
            <w:vAlign w:val="center"/>
          </w:tcPr>
          <w:p>
            <w:pPr>
              <w:pStyle w:val="373"/>
              <w:rPr>
                <w:color w:val="auto"/>
                <w:highlight w:val="magenta"/>
              </w:rPr>
            </w:pPr>
          </w:p>
        </w:tc>
        <w:tc>
          <w:tcPr>
            <w:tcW w:w="1489" w:type="dxa"/>
            <w:tcBorders>
              <w:tl2br w:val="nil"/>
              <w:tr2bl w:val="nil"/>
            </w:tcBorders>
            <w:vAlign w:val="center"/>
          </w:tcPr>
          <w:p>
            <w:pPr>
              <w:pStyle w:val="373"/>
              <w:rPr>
                <w:color w:val="auto"/>
              </w:rPr>
            </w:pPr>
            <w:r>
              <w:rPr>
                <w:color w:val="auto"/>
              </w:rPr>
              <w:t>BOD</w:t>
            </w:r>
            <w:r>
              <w:rPr>
                <w:color w:val="auto"/>
                <w:vertAlign w:val="subscript"/>
              </w:rPr>
              <w:t>5</w:t>
            </w:r>
          </w:p>
        </w:tc>
        <w:tc>
          <w:tcPr>
            <w:tcW w:w="1061"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1515</w:t>
            </w:r>
          </w:p>
        </w:tc>
        <w:tc>
          <w:tcPr>
            <w:tcW w:w="1061" w:type="dxa"/>
            <w:tcBorders>
              <w:tl2br w:val="nil"/>
              <w:tr2bl w:val="nil"/>
            </w:tcBorders>
            <w:vAlign w:val="center"/>
          </w:tcPr>
          <w:p>
            <w:pPr>
              <w:pStyle w:val="373"/>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0.909</w:t>
            </w:r>
          </w:p>
        </w:tc>
        <w:tc>
          <w:tcPr>
            <w:tcW w:w="242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952" w:type="dxa"/>
            <w:vMerge w:val="continue"/>
            <w:tcBorders>
              <w:tl2br w:val="nil"/>
              <w:tr2bl w:val="nil"/>
            </w:tcBorders>
            <w:vAlign w:val="center"/>
          </w:tcPr>
          <w:p>
            <w:pPr>
              <w:pStyle w:val="373"/>
              <w:rPr>
                <w:color w:val="auto"/>
              </w:rPr>
            </w:pPr>
          </w:p>
        </w:tc>
        <w:tc>
          <w:tcPr>
            <w:tcW w:w="1333" w:type="dxa"/>
            <w:vMerge w:val="continue"/>
            <w:tcBorders>
              <w:tl2br w:val="nil"/>
              <w:tr2bl w:val="nil"/>
            </w:tcBorders>
            <w:vAlign w:val="center"/>
          </w:tcPr>
          <w:p>
            <w:pPr>
              <w:pStyle w:val="373"/>
              <w:rPr>
                <w:color w:val="auto"/>
                <w:highlight w:val="magenta"/>
              </w:rPr>
            </w:pPr>
          </w:p>
        </w:tc>
        <w:tc>
          <w:tcPr>
            <w:tcW w:w="1489" w:type="dxa"/>
            <w:tcBorders>
              <w:tl2br w:val="nil"/>
              <w:tr2bl w:val="nil"/>
            </w:tcBorders>
            <w:vAlign w:val="center"/>
          </w:tcPr>
          <w:p>
            <w:pPr>
              <w:pStyle w:val="373"/>
              <w:rPr>
                <w:color w:val="auto"/>
              </w:rPr>
            </w:pPr>
            <w:r>
              <w:rPr>
                <w:color w:val="auto"/>
              </w:rPr>
              <w:t>NH</w:t>
            </w:r>
            <w:r>
              <w:rPr>
                <w:color w:val="auto"/>
                <w:vertAlign w:val="subscript"/>
              </w:rPr>
              <w:t>3</w:t>
            </w:r>
            <w:r>
              <w:rPr>
                <w:color w:val="auto"/>
              </w:rPr>
              <w:t>-N</w:t>
            </w:r>
          </w:p>
        </w:tc>
        <w:tc>
          <w:tcPr>
            <w:tcW w:w="1061"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261</w:t>
            </w:r>
          </w:p>
        </w:tc>
        <w:tc>
          <w:tcPr>
            <w:tcW w:w="1061" w:type="dxa"/>
            <w:tcBorders>
              <w:tl2br w:val="nil"/>
              <w:tr2bl w:val="nil"/>
            </w:tcBorders>
            <w:vAlign w:val="center"/>
          </w:tcPr>
          <w:p>
            <w:pPr>
              <w:pStyle w:val="373"/>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0.1566</w:t>
            </w:r>
          </w:p>
        </w:tc>
        <w:tc>
          <w:tcPr>
            <w:tcW w:w="242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952" w:type="dxa"/>
            <w:vMerge w:val="continue"/>
            <w:tcBorders>
              <w:tl2br w:val="nil"/>
              <w:tr2bl w:val="nil"/>
            </w:tcBorders>
            <w:vAlign w:val="center"/>
          </w:tcPr>
          <w:p>
            <w:pPr>
              <w:pStyle w:val="373"/>
              <w:rPr>
                <w:color w:val="auto"/>
              </w:rPr>
            </w:pPr>
          </w:p>
        </w:tc>
        <w:tc>
          <w:tcPr>
            <w:tcW w:w="1333" w:type="dxa"/>
            <w:vMerge w:val="continue"/>
            <w:tcBorders>
              <w:tl2br w:val="nil"/>
              <w:tr2bl w:val="nil"/>
            </w:tcBorders>
            <w:vAlign w:val="center"/>
          </w:tcPr>
          <w:p>
            <w:pPr>
              <w:pStyle w:val="373"/>
              <w:rPr>
                <w:color w:val="auto"/>
                <w:highlight w:val="magenta"/>
              </w:rPr>
            </w:pPr>
          </w:p>
        </w:tc>
        <w:tc>
          <w:tcPr>
            <w:tcW w:w="1489" w:type="dxa"/>
            <w:tcBorders>
              <w:tl2br w:val="nil"/>
              <w:tr2bl w:val="nil"/>
            </w:tcBorders>
            <w:vAlign w:val="center"/>
          </w:tcPr>
          <w:p>
            <w:pPr>
              <w:pStyle w:val="373"/>
              <w:rPr>
                <w:color w:val="auto"/>
              </w:rPr>
            </w:pPr>
            <w:r>
              <w:rPr>
                <w:color w:val="auto"/>
              </w:rPr>
              <w:t>TN</w:t>
            </w:r>
          </w:p>
        </w:tc>
        <w:tc>
          <w:tcPr>
            <w:tcW w:w="1061"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342</w:t>
            </w:r>
          </w:p>
        </w:tc>
        <w:tc>
          <w:tcPr>
            <w:tcW w:w="1061" w:type="dxa"/>
            <w:tcBorders>
              <w:tl2br w:val="nil"/>
              <w:tr2bl w:val="nil"/>
            </w:tcBorders>
            <w:vAlign w:val="center"/>
          </w:tcPr>
          <w:p>
            <w:pPr>
              <w:pStyle w:val="373"/>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0.2052</w:t>
            </w:r>
          </w:p>
        </w:tc>
        <w:tc>
          <w:tcPr>
            <w:tcW w:w="242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952" w:type="dxa"/>
            <w:vMerge w:val="continue"/>
            <w:tcBorders>
              <w:tl2br w:val="nil"/>
              <w:tr2bl w:val="nil"/>
            </w:tcBorders>
            <w:vAlign w:val="center"/>
          </w:tcPr>
          <w:p>
            <w:pPr>
              <w:pStyle w:val="373"/>
              <w:rPr>
                <w:color w:val="auto"/>
              </w:rPr>
            </w:pPr>
          </w:p>
        </w:tc>
        <w:tc>
          <w:tcPr>
            <w:tcW w:w="1333" w:type="dxa"/>
            <w:vMerge w:val="continue"/>
            <w:tcBorders>
              <w:tl2br w:val="nil"/>
              <w:tr2bl w:val="nil"/>
            </w:tcBorders>
            <w:vAlign w:val="center"/>
          </w:tcPr>
          <w:p>
            <w:pPr>
              <w:pStyle w:val="373"/>
              <w:rPr>
                <w:color w:val="auto"/>
                <w:highlight w:val="magenta"/>
              </w:rPr>
            </w:pPr>
          </w:p>
        </w:tc>
        <w:tc>
          <w:tcPr>
            <w:tcW w:w="1489" w:type="dxa"/>
            <w:tcBorders>
              <w:tl2br w:val="nil"/>
              <w:tr2bl w:val="nil"/>
            </w:tcBorders>
            <w:vAlign w:val="center"/>
          </w:tcPr>
          <w:p>
            <w:pPr>
              <w:pStyle w:val="373"/>
              <w:rPr>
                <w:color w:val="auto"/>
              </w:rPr>
            </w:pPr>
            <w:r>
              <w:rPr>
                <w:color w:val="auto"/>
              </w:rPr>
              <w:t>TP</w:t>
            </w:r>
          </w:p>
        </w:tc>
        <w:tc>
          <w:tcPr>
            <w:tcW w:w="1061"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31.4</w:t>
            </w:r>
          </w:p>
        </w:tc>
        <w:tc>
          <w:tcPr>
            <w:tcW w:w="1061" w:type="dxa"/>
            <w:tcBorders>
              <w:tl2br w:val="nil"/>
              <w:tr2bl w:val="nil"/>
            </w:tcBorders>
            <w:vAlign w:val="center"/>
          </w:tcPr>
          <w:p>
            <w:pPr>
              <w:pStyle w:val="373"/>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0.0188</w:t>
            </w:r>
          </w:p>
        </w:tc>
        <w:tc>
          <w:tcPr>
            <w:tcW w:w="2421" w:type="dxa"/>
            <w:vMerge w:val="continue"/>
            <w:tcBorders>
              <w:tl2br w:val="nil"/>
              <w:tr2bl w:val="nil"/>
            </w:tcBorders>
            <w:vAlign w:val="center"/>
          </w:tcPr>
          <w:p>
            <w:pPr>
              <w:pStyle w:val="373"/>
              <w:rPr>
                <w:color w:val="auto"/>
              </w:rPr>
            </w:pPr>
          </w:p>
        </w:tc>
      </w:tr>
    </w:tbl>
    <w:p>
      <w:pPr>
        <w:spacing w:line="360" w:lineRule="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备注：</w:t>
      </w:r>
      <w:r>
        <w:rPr>
          <w:rFonts w:hint="eastAsia" w:ascii="仿宋" w:hAnsi="仿宋" w:eastAsia="仿宋" w:cs="仿宋"/>
          <w:color w:val="auto"/>
          <w:sz w:val="21"/>
          <w:szCs w:val="21"/>
        </w:rPr>
        <w:t>BOD5按CODcr的1/4计</w:t>
      </w:r>
      <w:r>
        <w:rPr>
          <w:rFonts w:hint="eastAsia" w:ascii="仿宋" w:hAnsi="仿宋" w:cs="仿宋"/>
          <w:color w:val="auto"/>
          <w:sz w:val="21"/>
          <w:szCs w:val="21"/>
          <w:lang w:eastAsia="zh-CN"/>
        </w:rPr>
        <w:t>。</w:t>
      </w:r>
    </w:p>
    <w:p>
      <w:pPr>
        <w:spacing w:line="360" w:lineRule="auto"/>
        <w:ind w:firstLine="496" w:firstLineChars="200"/>
        <w:rPr>
          <w:rFonts w:ascii="Times New Roman" w:eastAsia="宋体"/>
          <w:color w:val="auto"/>
          <w:szCs w:val="24"/>
        </w:rPr>
      </w:pPr>
      <w:r>
        <w:rPr>
          <w:rFonts w:ascii="Times New Roman" w:eastAsia="宋体"/>
          <w:color w:val="auto"/>
          <w:szCs w:val="24"/>
        </w:rPr>
        <w:t>B.生活污水</w:t>
      </w:r>
    </w:p>
    <w:p>
      <w:pPr>
        <w:spacing w:line="360" w:lineRule="auto"/>
        <w:ind w:firstLine="496" w:firstLineChars="200"/>
        <w:rPr>
          <w:rFonts w:ascii="Times New Roman" w:eastAsia="宋体"/>
          <w:color w:val="auto"/>
          <w:szCs w:val="24"/>
        </w:rPr>
      </w:pPr>
      <w:r>
        <w:rPr>
          <w:rFonts w:ascii="Times New Roman" w:eastAsia="宋体"/>
          <w:color w:val="auto"/>
          <w:szCs w:val="24"/>
        </w:rPr>
        <w:t>项目劳动定员1</w:t>
      </w:r>
      <w:r>
        <w:rPr>
          <w:rFonts w:hint="eastAsia" w:ascii="Times New Roman" w:eastAsia="宋体"/>
          <w:color w:val="auto"/>
          <w:szCs w:val="24"/>
        </w:rPr>
        <w:t>5</w:t>
      </w:r>
      <w:r>
        <w:rPr>
          <w:rFonts w:ascii="Times New Roman" w:eastAsia="宋体"/>
          <w:color w:val="auto"/>
          <w:szCs w:val="24"/>
        </w:rPr>
        <w:t>人，全年320天生产。本项目生活用水按1</w:t>
      </w:r>
      <w:r>
        <w:rPr>
          <w:rFonts w:hint="eastAsia" w:ascii="Times New Roman" w:eastAsia="宋体"/>
          <w:color w:val="auto"/>
          <w:szCs w:val="24"/>
        </w:rPr>
        <w:t>45</w:t>
      </w:r>
      <w:r>
        <w:rPr>
          <w:rFonts w:ascii="Times New Roman" w:eastAsia="宋体"/>
          <w:color w:val="auto"/>
          <w:szCs w:val="24"/>
        </w:rPr>
        <w:t>L/d人/计，</w:t>
      </w:r>
      <w:r>
        <w:rPr>
          <w:rFonts w:ascii="Times New Roman" w:eastAsia="宋体"/>
          <w:color w:val="auto"/>
        </w:rPr>
        <w:t>则生活用水量为</w:t>
      </w:r>
      <w:r>
        <w:rPr>
          <w:rFonts w:hint="eastAsia" w:ascii="Times New Roman" w:eastAsia="宋体"/>
          <w:color w:val="auto"/>
        </w:rPr>
        <w:t>2.18t</w:t>
      </w:r>
      <w:r>
        <w:rPr>
          <w:rFonts w:ascii="Times New Roman" w:eastAsia="宋体"/>
          <w:color w:val="auto"/>
        </w:rPr>
        <w:t>/d，</w:t>
      </w:r>
      <w:r>
        <w:rPr>
          <w:rFonts w:hint="eastAsia" w:ascii="Times New Roman" w:eastAsia="宋体"/>
          <w:color w:val="auto"/>
        </w:rPr>
        <w:t>696t</w:t>
      </w:r>
      <w:r>
        <w:rPr>
          <w:rFonts w:ascii="Times New Roman" w:eastAsia="宋体"/>
          <w:color w:val="auto"/>
        </w:rPr>
        <w:t>/a</w:t>
      </w:r>
      <w:r>
        <w:rPr>
          <w:rFonts w:ascii="Times New Roman" w:eastAsia="宋体"/>
          <w:color w:val="auto"/>
          <w:szCs w:val="24"/>
        </w:rPr>
        <w:t>，排水量约为</w:t>
      </w:r>
      <w:r>
        <w:rPr>
          <w:rFonts w:hint="eastAsia" w:ascii="Times New Roman" w:eastAsia="宋体"/>
          <w:color w:val="auto"/>
        </w:rPr>
        <w:t>1.74</w:t>
      </w:r>
      <w:r>
        <w:rPr>
          <w:rFonts w:ascii="Times New Roman" w:eastAsia="宋体"/>
          <w:color w:val="auto"/>
        </w:rPr>
        <w:t>m</w:t>
      </w:r>
      <w:r>
        <w:rPr>
          <w:rFonts w:ascii="Times New Roman" w:eastAsia="宋体"/>
          <w:color w:val="auto"/>
          <w:vertAlign w:val="superscript"/>
        </w:rPr>
        <w:t>3</w:t>
      </w:r>
      <w:r>
        <w:rPr>
          <w:rFonts w:ascii="Times New Roman" w:eastAsia="宋体"/>
          <w:color w:val="auto"/>
        </w:rPr>
        <w:t>/d，</w:t>
      </w:r>
      <w:r>
        <w:rPr>
          <w:rFonts w:hint="eastAsia" w:ascii="Times New Roman" w:eastAsia="宋体"/>
          <w:color w:val="auto"/>
        </w:rPr>
        <w:t>556.8t</w:t>
      </w:r>
      <w:r>
        <w:rPr>
          <w:rFonts w:ascii="Times New Roman" w:eastAsia="宋体"/>
          <w:color w:val="auto"/>
        </w:rPr>
        <w:t>/a</w:t>
      </w:r>
      <w:r>
        <w:rPr>
          <w:rFonts w:ascii="Times New Roman" w:eastAsia="宋体"/>
          <w:color w:val="auto"/>
          <w:szCs w:val="24"/>
        </w:rPr>
        <w:t>，</w:t>
      </w:r>
      <w:r>
        <w:rPr>
          <w:rFonts w:hint="eastAsia" w:ascii="Times New Roman" w:eastAsia="宋体"/>
          <w:color w:val="auto"/>
          <w:szCs w:val="24"/>
        </w:rPr>
        <w:t>场区</w:t>
      </w:r>
      <w:r>
        <w:rPr>
          <w:rFonts w:ascii="Times New Roman" w:eastAsia="宋体"/>
          <w:color w:val="auto"/>
          <w:szCs w:val="24"/>
        </w:rPr>
        <w:t>综合办公用房内置卫生间，职工生活污水</w:t>
      </w:r>
      <w:r>
        <w:rPr>
          <w:rFonts w:hint="eastAsia" w:ascii="Times New Roman" w:eastAsia="宋体"/>
          <w:color w:val="auto"/>
          <w:szCs w:val="24"/>
        </w:rPr>
        <w:t>经化粪池处理后排入沉淀池，后委托湖南春雨生物科技有限公司用密闭槽罐车运送至新华养殖场处理</w:t>
      </w:r>
      <w:r>
        <w:rPr>
          <w:rFonts w:ascii="Times New Roman" w:eastAsia="宋体"/>
          <w:color w:val="auto"/>
          <w:szCs w:val="24"/>
        </w:rPr>
        <w:t>。</w:t>
      </w:r>
      <w:r>
        <w:rPr>
          <w:rFonts w:hint="eastAsia" w:ascii="Times New Roman" w:eastAsia="宋体"/>
          <w:color w:val="auto"/>
          <w:szCs w:val="24"/>
        </w:rPr>
        <w:t>根据</w:t>
      </w:r>
      <w:r>
        <w:rPr>
          <w:rFonts w:ascii="Times New Roman" w:eastAsia="宋体"/>
          <w:color w:val="auto"/>
        </w:rPr>
        <w:t>《</w:t>
      </w:r>
      <w:r>
        <w:rPr>
          <w:rFonts w:hint="eastAsia" w:ascii="Times New Roman" w:eastAsia="宋体"/>
          <w:color w:val="auto"/>
        </w:rPr>
        <w:t>排放源统计调查产排污核算方法和系数手册</w:t>
      </w:r>
      <w:r>
        <w:rPr>
          <w:rFonts w:ascii="Times New Roman" w:eastAsia="宋体"/>
          <w:color w:val="auto"/>
        </w:rPr>
        <w:t>》</w:t>
      </w:r>
      <w:r>
        <w:rPr>
          <w:rFonts w:hint="eastAsia" w:ascii="Times New Roman" w:eastAsia="宋体"/>
          <w:color w:val="auto"/>
        </w:rPr>
        <w:t>，</w:t>
      </w:r>
      <w:r>
        <w:rPr>
          <w:rFonts w:ascii="Times New Roman" w:eastAsia="宋体"/>
          <w:color w:val="auto"/>
          <w:szCs w:val="24"/>
        </w:rPr>
        <w:t>生活污水中主要污染物及其浓度为：COD345mg/L、SS200mg/L、氨氮 26.2mg/L、TP4.26mg/L、总氮 36mg/L</w:t>
      </w:r>
      <w:r>
        <w:rPr>
          <w:rFonts w:hint="eastAsia" w:ascii="Times New Roman" w:eastAsia="宋体"/>
          <w:color w:val="auto"/>
          <w:szCs w:val="24"/>
        </w:rPr>
        <w:t>。</w:t>
      </w:r>
    </w:p>
    <w:p>
      <w:pPr>
        <w:spacing w:line="360" w:lineRule="auto"/>
        <w:ind w:firstLine="496" w:firstLineChars="200"/>
        <w:rPr>
          <w:rFonts w:ascii="Times New Roman" w:eastAsia="宋体"/>
          <w:color w:val="auto"/>
          <w:szCs w:val="24"/>
        </w:rPr>
      </w:pPr>
      <w:r>
        <w:rPr>
          <w:rFonts w:hint="eastAsia" w:ascii="Times New Roman" w:eastAsia="宋体"/>
          <w:color w:val="auto"/>
          <w:szCs w:val="24"/>
        </w:rPr>
        <w:t>C.</w:t>
      </w:r>
      <w:r>
        <w:rPr>
          <w:rFonts w:ascii="Times New Roman" w:eastAsia="宋体"/>
          <w:color w:val="auto"/>
          <w:szCs w:val="24"/>
        </w:rPr>
        <w:t>鸡舍</w:t>
      </w:r>
      <w:r>
        <w:rPr>
          <w:rFonts w:hint="eastAsia" w:ascii="Times New Roman" w:eastAsia="宋体"/>
          <w:color w:val="auto"/>
          <w:szCs w:val="24"/>
        </w:rPr>
        <w:t>除臭水帘</w:t>
      </w:r>
      <w:r>
        <w:rPr>
          <w:rFonts w:ascii="Times New Roman" w:eastAsia="宋体"/>
          <w:color w:val="auto"/>
          <w:szCs w:val="24"/>
        </w:rPr>
        <w:t>废水</w:t>
      </w:r>
    </w:p>
    <w:p>
      <w:pPr>
        <w:spacing w:line="360" w:lineRule="auto"/>
        <w:ind w:firstLine="496" w:firstLineChars="200"/>
        <w:rPr>
          <w:rFonts w:hint="eastAsia" w:hAnsi="宋体" w:eastAsia="宋体" w:cs="宋体"/>
          <w:color w:val="auto"/>
          <w:szCs w:val="24"/>
          <w:lang w:val="en-US" w:eastAsia="zh-CN"/>
        </w:rPr>
      </w:pPr>
      <w:r>
        <w:rPr>
          <w:rFonts w:ascii="Times New Roman" w:eastAsia="宋体"/>
          <w:color w:val="auto"/>
          <w:szCs w:val="24"/>
        </w:rPr>
        <w:t>鸡舍</w:t>
      </w:r>
      <w:r>
        <w:rPr>
          <w:rFonts w:hint="eastAsia" w:ascii="Times New Roman" w:eastAsia="宋体"/>
          <w:color w:val="auto"/>
          <w:szCs w:val="24"/>
        </w:rPr>
        <w:t>除臭水帘</w:t>
      </w:r>
      <w:r>
        <w:rPr>
          <w:rFonts w:ascii="Times New Roman" w:eastAsia="宋体"/>
          <w:color w:val="auto"/>
          <w:szCs w:val="24"/>
        </w:rPr>
        <w:t>废水排水量约为</w:t>
      </w:r>
      <w:r>
        <w:rPr>
          <w:rFonts w:hint="eastAsia" w:ascii="Times New Roman" w:eastAsia="宋体"/>
          <w:color w:val="auto"/>
        </w:rPr>
        <w:t>0.85</w:t>
      </w:r>
      <w:r>
        <w:rPr>
          <w:rFonts w:ascii="Times New Roman" w:eastAsia="宋体"/>
          <w:color w:val="auto"/>
        </w:rPr>
        <w:t>m</w:t>
      </w:r>
      <w:r>
        <w:rPr>
          <w:rFonts w:ascii="Times New Roman" w:eastAsia="宋体"/>
          <w:color w:val="auto"/>
          <w:vertAlign w:val="superscript"/>
        </w:rPr>
        <w:t>3</w:t>
      </w:r>
      <w:r>
        <w:rPr>
          <w:rFonts w:ascii="Times New Roman" w:eastAsia="宋体"/>
          <w:color w:val="auto"/>
        </w:rPr>
        <w:t>/d，</w:t>
      </w:r>
      <w:r>
        <w:rPr>
          <w:rFonts w:hint="eastAsia" w:ascii="Times New Roman" w:eastAsia="宋体"/>
          <w:color w:val="auto"/>
        </w:rPr>
        <w:t>204t</w:t>
      </w:r>
      <w:r>
        <w:rPr>
          <w:rFonts w:ascii="Times New Roman" w:eastAsia="宋体"/>
          <w:color w:val="auto"/>
        </w:rPr>
        <w:t>/a</w:t>
      </w:r>
      <w:r>
        <w:rPr>
          <w:rFonts w:ascii="Times New Roman" w:eastAsia="宋体"/>
          <w:color w:val="auto"/>
          <w:szCs w:val="24"/>
        </w:rPr>
        <w:t>，</w:t>
      </w:r>
      <w:r>
        <w:rPr>
          <w:rFonts w:hAnsi="宋体" w:eastAsia="宋体" w:cs="宋体"/>
          <w:color w:val="auto"/>
          <w:szCs w:val="24"/>
        </w:rPr>
        <w:t>主要污染因子</w:t>
      </w:r>
      <w:r>
        <w:rPr>
          <w:rFonts w:hint="eastAsia" w:hAnsi="宋体" w:eastAsia="宋体" w:cs="宋体"/>
          <w:color w:val="auto"/>
          <w:szCs w:val="24"/>
          <w:lang w:val="en-US" w:eastAsia="zh-CN"/>
        </w:rPr>
        <w:t>为</w:t>
      </w:r>
      <w:r>
        <w:rPr>
          <w:rFonts w:hAnsi="宋体" w:eastAsia="宋体" w:cs="宋体"/>
          <w:color w:val="auto"/>
          <w:szCs w:val="24"/>
        </w:rPr>
        <w:t>COD</w:t>
      </w:r>
      <w:r>
        <w:rPr>
          <w:rFonts w:hint="eastAsia" w:hAnsi="宋体" w:eastAsia="宋体" w:cs="宋体"/>
          <w:color w:val="auto"/>
          <w:szCs w:val="24"/>
          <w:lang w:eastAsia="zh-CN"/>
        </w:rPr>
        <w:t>、</w:t>
      </w:r>
      <w:r>
        <w:rPr>
          <w:rFonts w:hAnsi="宋体" w:eastAsia="宋体" w:cs="宋体"/>
          <w:color w:val="auto"/>
          <w:szCs w:val="24"/>
        </w:rPr>
        <w:t>NH</w:t>
      </w:r>
      <w:r>
        <w:rPr>
          <w:rFonts w:hAnsi="宋体" w:eastAsia="宋体" w:cs="宋体"/>
          <w:color w:val="auto"/>
          <w:szCs w:val="24"/>
          <w:vertAlign w:val="subscript"/>
        </w:rPr>
        <w:t>3</w:t>
      </w:r>
      <w:r>
        <w:rPr>
          <w:rFonts w:hAnsi="宋体" w:eastAsia="宋体" w:cs="宋体"/>
          <w:color w:val="auto"/>
          <w:szCs w:val="24"/>
        </w:rPr>
        <w:t>-N</w:t>
      </w:r>
      <w:r>
        <w:rPr>
          <w:rFonts w:hint="eastAsia" w:hAnsi="宋体" w:eastAsia="宋体" w:cs="宋体"/>
          <w:color w:val="auto"/>
          <w:szCs w:val="24"/>
          <w:lang w:val="en-US" w:eastAsia="zh-CN"/>
        </w:rPr>
        <w:t>和TN，根据对同类型项目前进养殖场除臭废水采样检测：</w:t>
      </w:r>
      <w:r>
        <w:rPr>
          <w:rFonts w:hAnsi="宋体" w:eastAsia="宋体" w:cs="宋体"/>
          <w:color w:val="auto"/>
          <w:szCs w:val="24"/>
        </w:rPr>
        <w:t xml:space="preserve"> COD</w:t>
      </w:r>
      <w:r>
        <w:rPr>
          <w:rFonts w:hint="eastAsia" w:hAnsi="宋体" w:eastAsia="宋体" w:cs="宋体"/>
          <w:color w:val="auto"/>
          <w:szCs w:val="24"/>
          <w:lang w:val="en-US" w:eastAsia="zh-CN"/>
        </w:rPr>
        <w:t xml:space="preserve"> 21</w:t>
      </w:r>
      <w:r>
        <w:rPr>
          <w:rFonts w:hAnsi="宋体" w:eastAsia="宋体" w:cs="宋体"/>
          <w:color w:val="auto"/>
          <w:szCs w:val="24"/>
        </w:rPr>
        <w:t>0mg/L、NH</w:t>
      </w:r>
      <w:r>
        <w:rPr>
          <w:rFonts w:hAnsi="宋体" w:eastAsia="宋体" w:cs="宋体"/>
          <w:color w:val="auto"/>
          <w:szCs w:val="24"/>
          <w:vertAlign w:val="subscript"/>
        </w:rPr>
        <w:t>3</w:t>
      </w:r>
      <w:r>
        <w:rPr>
          <w:rFonts w:hAnsi="宋体" w:eastAsia="宋体" w:cs="宋体"/>
          <w:color w:val="auto"/>
          <w:szCs w:val="24"/>
        </w:rPr>
        <w:t>-N</w:t>
      </w:r>
      <w:r>
        <w:rPr>
          <w:rFonts w:hint="eastAsia" w:hAnsi="宋体" w:eastAsia="宋体" w:cs="宋体"/>
          <w:color w:val="auto"/>
          <w:szCs w:val="24"/>
          <w:lang w:val="en-US" w:eastAsia="zh-CN"/>
        </w:rPr>
        <w:t xml:space="preserve"> 22.6</w:t>
      </w:r>
      <w:r>
        <w:rPr>
          <w:rFonts w:hAnsi="宋体" w:eastAsia="宋体" w:cs="宋体"/>
          <w:color w:val="auto"/>
          <w:szCs w:val="24"/>
        </w:rPr>
        <w:t>mg/L、TN</w:t>
      </w:r>
      <w:r>
        <w:rPr>
          <w:rFonts w:hint="eastAsia" w:hAnsi="宋体" w:eastAsia="宋体" w:cs="宋体"/>
          <w:color w:val="auto"/>
          <w:szCs w:val="24"/>
          <w:lang w:val="en-US" w:eastAsia="zh-CN"/>
        </w:rPr>
        <w:t xml:space="preserve"> 31.3</w:t>
      </w:r>
      <w:r>
        <w:rPr>
          <w:rFonts w:hAnsi="宋体" w:eastAsia="宋体" w:cs="宋体"/>
          <w:color w:val="auto"/>
          <w:szCs w:val="24"/>
        </w:rPr>
        <w:t>mg/L</w:t>
      </w:r>
      <w:r>
        <w:rPr>
          <w:rFonts w:hint="eastAsia" w:hAnsi="宋体" w:eastAsia="宋体" w:cs="宋体"/>
          <w:color w:val="auto"/>
          <w:szCs w:val="24"/>
        </w:rPr>
        <w:t>。</w:t>
      </w:r>
      <w:r>
        <w:rPr>
          <w:rFonts w:hint="eastAsia" w:hAnsi="宋体" w:eastAsia="宋体" w:cs="宋体"/>
          <w:color w:val="auto"/>
          <w:szCs w:val="24"/>
          <w:lang w:val="en-US" w:eastAsia="zh-CN"/>
        </w:rPr>
        <w:t>前进养殖场于本项目类比情况详见表3.3-13。</w:t>
      </w:r>
    </w:p>
    <w:p>
      <w:pPr>
        <w:pStyle w:val="424"/>
        <w:rPr>
          <w:rFonts w:hint="default" w:ascii="Times New Roman" w:eastAsia="宋体" w:cs="宋体"/>
          <w:color w:val="auto"/>
          <w:lang w:val="en-US" w:eastAsia="zh-CN"/>
        </w:rPr>
      </w:pPr>
      <w:r>
        <w:rPr>
          <w:rFonts w:hint="eastAsia" w:ascii="Times New Roman" w:eastAsia="宋体" w:cs="宋体"/>
          <w:color w:val="auto"/>
        </w:rPr>
        <w:t>表3.3-1</w:t>
      </w:r>
      <w:r>
        <w:rPr>
          <w:rFonts w:hint="eastAsia" w:ascii="Times New Roman" w:eastAsia="宋体" w:cs="宋体"/>
          <w:color w:val="auto"/>
          <w:lang w:val="en-US" w:eastAsia="zh-CN"/>
        </w:rPr>
        <w:t>3与前进养殖场类比情况</w:t>
      </w:r>
    </w:p>
    <w:tbl>
      <w:tblPr>
        <w:tblStyle w:val="47"/>
        <w:tblW w:w="83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333"/>
        <w:gridCol w:w="1489"/>
        <w:gridCol w:w="2959"/>
        <w:gridCol w:w="15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52"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项目名称</w:t>
            </w:r>
          </w:p>
        </w:tc>
        <w:tc>
          <w:tcPr>
            <w:tcW w:w="1333" w:type="dxa"/>
            <w:tcBorders>
              <w:tl2br w:val="nil"/>
              <w:tr2bl w:val="nil"/>
            </w:tcBorders>
            <w:vAlign w:val="center"/>
          </w:tcPr>
          <w:p>
            <w:pPr>
              <w:pStyle w:val="373"/>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项目类型</w:t>
            </w:r>
          </w:p>
        </w:tc>
        <w:tc>
          <w:tcPr>
            <w:tcW w:w="1489" w:type="dxa"/>
            <w:tcBorders>
              <w:tl2br w:val="nil"/>
              <w:tr2bl w:val="nil"/>
            </w:tcBorders>
            <w:vAlign w:val="center"/>
          </w:tcPr>
          <w:p>
            <w:pPr>
              <w:pStyle w:val="373"/>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产能</w:t>
            </w:r>
          </w:p>
        </w:tc>
        <w:tc>
          <w:tcPr>
            <w:tcW w:w="2959" w:type="dxa"/>
            <w:tcBorders>
              <w:tl2br w:val="nil"/>
              <w:tr2bl w:val="nil"/>
            </w:tcBorders>
            <w:vAlign w:val="center"/>
          </w:tcPr>
          <w:p>
            <w:pPr>
              <w:pStyle w:val="373"/>
              <w:rPr>
                <w:color w:val="auto"/>
              </w:rPr>
            </w:pPr>
            <w:r>
              <w:rPr>
                <w:rFonts w:hint="eastAsia"/>
                <w:color w:val="auto"/>
                <w:lang w:val="en-US" w:eastAsia="zh-CN"/>
              </w:rPr>
              <w:t>养殖方式</w:t>
            </w:r>
          </w:p>
        </w:tc>
        <w:tc>
          <w:tcPr>
            <w:tcW w:w="1584"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废气处理措施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62" w:hRule="atLeast"/>
        </w:trPr>
        <w:tc>
          <w:tcPr>
            <w:tcW w:w="952" w:type="dxa"/>
            <w:tcBorders>
              <w:tl2br w:val="nil"/>
              <w:tr2bl w:val="nil"/>
            </w:tcBorders>
            <w:vAlign w:val="center"/>
          </w:tcPr>
          <w:p>
            <w:pPr>
              <w:pStyle w:val="373"/>
              <w:rPr>
                <w:rFonts w:hint="eastAsia" w:eastAsia="宋体"/>
                <w:color w:val="auto"/>
                <w:lang w:val="en-US" w:eastAsia="zh-CN"/>
              </w:rPr>
            </w:pPr>
            <w:r>
              <w:rPr>
                <w:rFonts w:hint="eastAsia"/>
                <w:color w:val="auto"/>
                <w:lang w:val="en-US" w:eastAsia="zh-CN"/>
              </w:rPr>
              <w:t>桃源肉鸡养殖</w:t>
            </w:r>
          </w:p>
        </w:tc>
        <w:tc>
          <w:tcPr>
            <w:tcW w:w="1333" w:type="dxa"/>
            <w:tcBorders>
              <w:tl2br w:val="nil"/>
              <w:tr2bl w:val="nil"/>
            </w:tcBorders>
            <w:vAlign w:val="center"/>
          </w:tcPr>
          <w:p>
            <w:pPr>
              <w:pStyle w:val="373"/>
              <w:rPr>
                <w:rFonts w:hint="eastAsia" w:eastAsia="宋体"/>
                <w:color w:val="auto"/>
                <w:lang w:val="en-US" w:eastAsia="zh-CN"/>
              </w:rPr>
            </w:pPr>
            <w:r>
              <w:rPr>
                <w:rFonts w:hint="eastAsia" w:eastAsia="宋体"/>
                <w:color w:val="auto"/>
                <w:lang w:val="en-US" w:eastAsia="zh-CN"/>
              </w:rPr>
              <w:t>标准化家禽养殖场</w:t>
            </w:r>
            <w:r>
              <w:rPr>
                <w:rFonts w:hint="eastAsia"/>
                <w:color w:val="auto"/>
                <w:lang w:val="en-US" w:eastAsia="zh-CN"/>
              </w:rPr>
              <w:t>（肉鸡养殖）</w:t>
            </w:r>
          </w:p>
        </w:tc>
        <w:tc>
          <w:tcPr>
            <w:tcW w:w="1489" w:type="dxa"/>
            <w:tcBorders>
              <w:tl2br w:val="nil"/>
              <w:tr2bl w:val="nil"/>
            </w:tcBorders>
            <w:vAlign w:val="center"/>
          </w:tcPr>
          <w:p>
            <w:pPr>
              <w:pStyle w:val="373"/>
              <w:rPr>
                <w:color w:val="auto"/>
              </w:rPr>
            </w:pPr>
            <w:r>
              <w:rPr>
                <w:rFonts w:hint="eastAsia"/>
                <w:color w:val="auto"/>
                <w:lang w:val="en-US" w:eastAsia="zh-CN"/>
              </w:rPr>
              <w:t>10个鸡舍，年产100万羽</w:t>
            </w:r>
          </w:p>
        </w:tc>
        <w:tc>
          <w:tcPr>
            <w:tcW w:w="2959" w:type="dxa"/>
            <w:tcBorders>
              <w:tl2br w:val="nil"/>
              <w:tr2bl w:val="nil"/>
            </w:tcBorders>
            <w:vAlign w:val="center"/>
          </w:tcPr>
          <w:p>
            <w:pPr>
              <w:pStyle w:val="373"/>
              <w:rPr>
                <w:rFonts w:hint="default" w:ascii="Times New Roman" w:hAnsi="Times New Roman" w:eastAsia="宋体" w:cs="Times New Roman"/>
                <w:color w:val="auto"/>
                <w:lang w:val="en-US"/>
              </w:rPr>
            </w:pPr>
            <w:r>
              <w:rPr>
                <w:rFonts w:hint="eastAsia"/>
                <w:color w:val="auto"/>
                <w:lang w:val="en-US" w:eastAsia="zh-CN"/>
              </w:rPr>
              <w:t>饲料源自台创园饲料，干清粪，鸡舍笼养，喷洒除臭剂</w:t>
            </w:r>
          </w:p>
        </w:tc>
        <w:tc>
          <w:tcPr>
            <w:tcW w:w="1584" w:type="dxa"/>
            <w:tcBorders>
              <w:tl2br w:val="nil"/>
              <w:tr2bl w:val="nil"/>
            </w:tcBorders>
            <w:vAlign w:val="center"/>
          </w:tcPr>
          <w:p>
            <w:pPr>
              <w:pStyle w:val="373"/>
              <w:jc w:val="left"/>
              <w:rPr>
                <w:rFonts w:hint="default" w:eastAsia="宋体"/>
                <w:color w:val="auto"/>
                <w:lang w:val="en-US" w:eastAsia="zh-CN"/>
              </w:rPr>
            </w:pPr>
            <w:r>
              <w:rPr>
                <w:rFonts w:hint="eastAsia"/>
                <w:color w:val="auto"/>
                <w:lang w:val="en-US" w:eastAsia="zh-CN"/>
              </w:rPr>
              <w:t>鸡舍微负压，引风至水雾除臭水帘处理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952"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前进肉鸡养殖</w:t>
            </w:r>
          </w:p>
        </w:tc>
        <w:tc>
          <w:tcPr>
            <w:tcW w:w="1333" w:type="dxa"/>
            <w:tcBorders>
              <w:tl2br w:val="nil"/>
              <w:tr2bl w:val="nil"/>
            </w:tcBorders>
            <w:vAlign w:val="center"/>
          </w:tcPr>
          <w:p>
            <w:pPr>
              <w:pStyle w:val="373"/>
              <w:rPr>
                <w:color w:val="auto"/>
                <w:highlight w:val="magenta"/>
              </w:rPr>
            </w:pPr>
            <w:r>
              <w:rPr>
                <w:rFonts w:hint="eastAsia" w:eastAsia="宋体"/>
                <w:color w:val="auto"/>
                <w:lang w:val="en-US" w:eastAsia="zh-CN"/>
              </w:rPr>
              <w:t>标准化家禽养殖场</w:t>
            </w:r>
            <w:r>
              <w:rPr>
                <w:rFonts w:hint="eastAsia"/>
                <w:color w:val="auto"/>
                <w:lang w:val="en-US" w:eastAsia="zh-CN"/>
              </w:rPr>
              <w:t>（肉鸡养殖）</w:t>
            </w:r>
          </w:p>
        </w:tc>
        <w:tc>
          <w:tcPr>
            <w:tcW w:w="1489" w:type="dxa"/>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9栋鸡舍，年产100万羽</w:t>
            </w:r>
          </w:p>
        </w:tc>
        <w:tc>
          <w:tcPr>
            <w:tcW w:w="2959" w:type="dxa"/>
            <w:tcBorders>
              <w:tl2br w:val="nil"/>
              <w:tr2bl w:val="nil"/>
            </w:tcBorders>
            <w:vAlign w:val="center"/>
          </w:tcPr>
          <w:p>
            <w:pPr>
              <w:pStyle w:val="373"/>
              <w:rPr>
                <w:rFonts w:ascii="Times New Roman" w:hAnsi="Times New Roman" w:eastAsia="宋体" w:cs="Times New Roman"/>
                <w:color w:val="auto"/>
              </w:rPr>
            </w:pPr>
            <w:r>
              <w:rPr>
                <w:rFonts w:hint="eastAsia"/>
                <w:color w:val="auto"/>
                <w:lang w:val="en-US" w:eastAsia="zh-CN"/>
              </w:rPr>
              <w:t>饲料源自台创园饲料，干清粪，平养，喷洒除臭剂</w:t>
            </w:r>
          </w:p>
        </w:tc>
        <w:tc>
          <w:tcPr>
            <w:tcW w:w="1584" w:type="dxa"/>
            <w:tcBorders>
              <w:tl2br w:val="nil"/>
              <w:tr2bl w:val="nil"/>
            </w:tcBorders>
            <w:vAlign w:val="center"/>
          </w:tcPr>
          <w:p>
            <w:pPr>
              <w:pStyle w:val="373"/>
              <w:rPr>
                <w:color w:val="auto"/>
              </w:rPr>
            </w:pPr>
            <w:r>
              <w:rPr>
                <w:rFonts w:hint="eastAsia"/>
                <w:color w:val="auto"/>
                <w:lang w:val="en-US" w:eastAsia="zh-CN"/>
              </w:rPr>
              <w:t>鸡舍微负压，引风至水雾除臭水帘处理</w:t>
            </w:r>
          </w:p>
        </w:tc>
      </w:tr>
    </w:tbl>
    <w:p>
      <w:pPr>
        <w:spacing w:line="360" w:lineRule="auto"/>
        <w:ind w:firstLine="496" w:firstLineChars="200"/>
        <w:rPr>
          <w:rFonts w:ascii="Times New Roman" w:eastAsia="宋体"/>
          <w:color w:val="auto"/>
          <w:szCs w:val="24"/>
        </w:rPr>
      </w:pPr>
      <w:r>
        <w:rPr>
          <w:rFonts w:hint="eastAsia" w:ascii="Times New Roman" w:eastAsia="宋体"/>
          <w:color w:val="auto"/>
          <w:szCs w:val="24"/>
          <w:lang w:val="en-US" w:eastAsia="zh-CN"/>
        </w:rPr>
        <w:t>由上表确定类比可行，因此本项目</w:t>
      </w:r>
      <w:r>
        <w:rPr>
          <w:rFonts w:hint="eastAsia" w:ascii="Times New Roman" w:eastAsia="宋体"/>
          <w:color w:val="auto"/>
          <w:szCs w:val="24"/>
        </w:rPr>
        <w:t>除臭水帘</w:t>
      </w:r>
      <w:r>
        <w:rPr>
          <w:rFonts w:ascii="Times New Roman" w:eastAsia="宋体"/>
          <w:color w:val="auto"/>
          <w:szCs w:val="24"/>
        </w:rPr>
        <w:t>废水</w:t>
      </w:r>
      <w:r>
        <w:rPr>
          <w:rFonts w:hint="eastAsia" w:ascii="Times New Roman" w:eastAsia="宋体"/>
          <w:color w:val="auto"/>
          <w:szCs w:val="24"/>
          <w:lang w:val="en-US" w:eastAsia="zh-CN"/>
        </w:rPr>
        <w:t>水</w:t>
      </w:r>
      <w:r>
        <w:rPr>
          <w:rFonts w:hint="eastAsia" w:ascii="Times New Roman" w:eastAsia="宋体"/>
          <w:color w:val="auto"/>
          <w:szCs w:val="24"/>
          <w:highlight w:val="none"/>
          <w:lang w:val="en-US" w:eastAsia="zh-CN"/>
        </w:rPr>
        <w:t>质为：COD 210mg/L、NH3-N 22.6mg/L、TN 31.3mg/L。废水进地下管道收集流向沉</w:t>
      </w:r>
      <w:r>
        <w:rPr>
          <w:rFonts w:hint="eastAsia" w:ascii="Times New Roman" w:eastAsia="宋体"/>
          <w:color w:val="auto"/>
          <w:szCs w:val="24"/>
          <w:lang w:val="en-US" w:eastAsia="zh-CN"/>
        </w:rPr>
        <w:t>淀池，后</w:t>
      </w:r>
      <w:r>
        <w:rPr>
          <w:rFonts w:hint="eastAsia" w:ascii="Times New Roman" w:eastAsia="宋体"/>
          <w:color w:val="auto"/>
          <w:szCs w:val="24"/>
        </w:rPr>
        <w:t>经过沉淀后，</w:t>
      </w:r>
      <w:r>
        <w:rPr>
          <w:rFonts w:hint="eastAsia" w:ascii="Times New Roman" w:eastAsia="宋体"/>
          <w:color w:val="auto"/>
          <w:szCs w:val="24"/>
          <w:lang w:val="en-US" w:eastAsia="zh-CN"/>
        </w:rPr>
        <w:t>定期</w:t>
      </w:r>
      <w:r>
        <w:rPr>
          <w:rFonts w:hint="eastAsia" w:ascii="Times New Roman" w:eastAsia="宋体"/>
          <w:color w:val="auto"/>
          <w:szCs w:val="24"/>
        </w:rPr>
        <w:t>委托湖南春雨生物科技有限公司用密闭槽罐车运送至新华养殖场处理。</w:t>
      </w:r>
    </w:p>
    <w:p>
      <w:pPr>
        <w:pStyle w:val="23"/>
        <w:spacing w:line="360" w:lineRule="auto"/>
        <w:ind w:firstLine="420"/>
        <w:rPr>
          <w:rFonts w:ascii="Times New Roman" w:eastAsia="宋体"/>
          <w:color w:val="auto"/>
        </w:rPr>
        <w:sectPr>
          <w:footerReference r:id="rId6" w:type="default"/>
          <w:pgSz w:w="11906" w:h="16838"/>
          <w:pgMar w:top="1440" w:right="1803" w:bottom="1440" w:left="1803" w:header="850" w:footer="992" w:gutter="0"/>
          <w:pgNumType w:fmt="decimal"/>
          <w:cols w:space="720" w:num="1"/>
          <w:docGrid w:type="linesAndChars" w:linePitch="319" w:charSpace="1724"/>
        </w:sectPr>
      </w:pPr>
      <w:r>
        <w:rPr>
          <w:rFonts w:hint="eastAsia" w:ascii="Times New Roman" w:eastAsia="宋体"/>
          <w:color w:val="auto"/>
        </w:rPr>
        <w:t>项目废水产生排放情况详见表3.3-13</w:t>
      </w:r>
    </w:p>
    <w:p>
      <w:pPr>
        <w:pStyle w:val="418"/>
        <w:snapToGrid w:val="0"/>
        <w:spacing w:after="0"/>
        <w:rPr>
          <w:rFonts w:ascii="Times New Roman" w:hAnsi="Times New Roman" w:eastAsia="宋体"/>
          <w:color w:val="auto"/>
          <w:sz w:val="21"/>
          <w:szCs w:val="21"/>
        </w:rPr>
      </w:pPr>
      <w:r>
        <w:rPr>
          <w:rFonts w:ascii="Times New Roman" w:hAnsi="Times New Roman" w:eastAsia="宋体"/>
          <w:b/>
          <w:bCs/>
          <w:color w:val="auto"/>
          <w:sz w:val="21"/>
          <w:szCs w:val="21"/>
        </w:rPr>
        <w:t>表</w:t>
      </w:r>
      <w:r>
        <w:rPr>
          <w:rFonts w:hint="eastAsia" w:ascii="Times New Roman" w:hAnsi="Times New Roman" w:eastAsia="宋体"/>
          <w:b/>
          <w:bCs/>
          <w:color w:val="auto"/>
          <w:sz w:val="21"/>
          <w:szCs w:val="21"/>
        </w:rPr>
        <w:t>3.3-13</w:t>
      </w:r>
      <w:r>
        <w:rPr>
          <w:rFonts w:ascii="Times New Roman" w:hAnsi="Times New Roman" w:eastAsia="宋体"/>
          <w:b/>
          <w:bCs/>
          <w:color w:val="auto"/>
          <w:sz w:val="21"/>
          <w:szCs w:val="21"/>
        </w:rPr>
        <w:t>项目废水</w:t>
      </w:r>
      <w:r>
        <w:rPr>
          <w:rFonts w:hint="eastAsia" w:ascii="Times New Roman" w:hAnsi="Times New Roman" w:eastAsia="宋体"/>
          <w:b/>
          <w:bCs/>
          <w:color w:val="auto"/>
          <w:sz w:val="21"/>
          <w:szCs w:val="21"/>
        </w:rPr>
        <w:t>产生排放情况</w:t>
      </w:r>
      <w:r>
        <w:rPr>
          <w:rFonts w:ascii="Times New Roman" w:hAnsi="Times New Roman" w:eastAsia="宋体"/>
          <w:b/>
          <w:bCs/>
          <w:color w:val="auto"/>
          <w:sz w:val="21"/>
          <w:szCs w:val="21"/>
        </w:rPr>
        <w:t>一览表</w:t>
      </w:r>
    </w:p>
    <w:tbl>
      <w:tblPr>
        <w:tblStyle w:val="47"/>
        <w:tblW w:w="13597" w:type="dxa"/>
        <w:tblInd w:w="93"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66"/>
        <w:gridCol w:w="1212"/>
        <w:gridCol w:w="1534"/>
        <w:gridCol w:w="1304"/>
        <w:gridCol w:w="1601"/>
        <w:gridCol w:w="1652"/>
        <w:gridCol w:w="3102"/>
        <w:gridCol w:w="1014"/>
        <w:gridCol w:w="131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5" w:hRule="atLeast"/>
        </w:trPr>
        <w:tc>
          <w:tcPr>
            <w:tcW w:w="866" w:type="dxa"/>
            <w:vMerge w:val="restart"/>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序号</w:t>
            </w:r>
          </w:p>
        </w:tc>
        <w:tc>
          <w:tcPr>
            <w:tcW w:w="1212" w:type="dxa"/>
            <w:vMerge w:val="restart"/>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废水种类</w:t>
            </w:r>
          </w:p>
        </w:tc>
        <w:tc>
          <w:tcPr>
            <w:tcW w:w="1534" w:type="dxa"/>
            <w:vMerge w:val="restart"/>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污染物</w:t>
            </w:r>
          </w:p>
        </w:tc>
        <w:tc>
          <w:tcPr>
            <w:tcW w:w="4557" w:type="dxa"/>
            <w:gridSpan w:val="3"/>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污染物产生情况</w:t>
            </w:r>
          </w:p>
        </w:tc>
        <w:tc>
          <w:tcPr>
            <w:tcW w:w="3102" w:type="dxa"/>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治理措施</w:t>
            </w:r>
          </w:p>
        </w:tc>
        <w:tc>
          <w:tcPr>
            <w:tcW w:w="1014" w:type="dxa"/>
            <w:vMerge w:val="restart"/>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去向</w:t>
            </w:r>
          </w:p>
        </w:tc>
        <w:tc>
          <w:tcPr>
            <w:tcW w:w="1312" w:type="dxa"/>
            <w:vMerge w:val="restart"/>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产生规律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40" w:hRule="atLeast"/>
        </w:trPr>
        <w:tc>
          <w:tcPr>
            <w:tcW w:w="866" w:type="dxa"/>
            <w:vMerge w:val="continue"/>
            <w:tcBorders>
              <w:tl2br w:val="nil"/>
              <w:tr2bl w:val="nil"/>
            </w:tcBorders>
            <w:shd w:val="clear" w:color="auto" w:fill="auto"/>
            <w:vAlign w:val="center"/>
          </w:tcPr>
          <w:p>
            <w:pPr>
              <w:jc w:val="center"/>
              <w:rPr>
                <w:rFonts w:hAnsi="宋体" w:eastAsia="宋体" w:cs="宋体"/>
                <w:b/>
                <w:bCs/>
                <w:color w:val="auto"/>
                <w:sz w:val="21"/>
                <w:szCs w:val="21"/>
              </w:rPr>
            </w:pPr>
          </w:p>
        </w:tc>
        <w:tc>
          <w:tcPr>
            <w:tcW w:w="1212" w:type="dxa"/>
            <w:vMerge w:val="continue"/>
            <w:tcBorders>
              <w:tl2br w:val="nil"/>
              <w:tr2bl w:val="nil"/>
            </w:tcBorders>
            <w:shd w:val="clear" w:color="auto" w:fill="auto"/>
            <w:vAlign w:val="center"/>
          </w:tcPr>
          <w:p>
            <w:pPr>
              <w:jc w:val="center"/>
              <w:rPr>
                <w:rFonts w:hAnsi="宋体" w:eastAsia="宋体" w:cs="宋体"/>
                <w:b/>
                <w:bCs/>
                <w:color w:val="auto"/>
                <w:sz w:val="21"/>
                <w:szCs w:val="21"/>
              </w:rPr>
            </w:pPr>
          </w:p>
        </w:tc>
        <w:tc>
          <w:tcPr>
            <w:tcW w:w="1534" w:type="dxa"/>
            <w:vMerge w:val="continue"/>
            <w:tcBorders>
              <w:tl2br w:val="nil"/>
              <w:tr2bl w:val="nil"/>
            </w:tcBorders>
            <w:shd w:val="clear" w:color="auto" w:fill="auto"/>
            <w:vAlign w:val="center"/>
          </w:tcPr>
          <w:p>
            <w:pPr>
              <w:jc w:val="center"/>
              <w:rPr>
                <w:rFonts w:hAnsi="宋体" w:eastAsia="宋体" w:cs="宋体"/>
                <w:b/>
                <w:bCs/>
                <w:color w:val="auto"/>
                <w:sz w:val="21"/>
                <w:szCs w:val="21"/>
              </w:rPr>
            </w:pPr>
          </w:p>
        </w:tc>
        <w:tc>
          <w:tcPr>
            <w:tcW w:w="1304" w:type="dxa"/>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废水量</w:t>
            </w:r>
            <w:r>
              <w:rPr>
                <w:rStyle w:val="432"/>
                <w:rFonts w:eastAsia="宋体"/>
                <w:color w:val="auto"/>
              </w:rPr>
              <w:t>m</w:t>
            </w:r>
            <w:r>
              <w:rPr>
                <w:rStyle w:val="433"/>
                <w:rFonts w:eastAsia="宋体"/>
                <w:color w:val="auto"/>
              </w:rPr>
              <w:t>3</w:t>
            </w:r>
            <w:r>
              <w:rPr>
                <w:rStyle w:val="432"/>
                <w:rFonts w:eastAsia="宋体"/>
                <w:color w:val="auto"/>
              </w:rPr>
              <w:t>/a</w:t>
            </w:r>
          </w:p>
        </w:tc>
        <w:tc>
          <w:tcPr>
            <w:tcW w:w="1601" w:type="dxa"/>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产生浓度（</w:t>
            </w:r>
            <w:r>
              <w:rPr>
                <w:rStyle w:val="432"/>
                <w:rFonts w:eastAsia="宋体"/>
                <w:color w:val="auto"/>
              </w:rPr>
              <w:t>mg/L</w:t>
            </w:r>
            <w:r>
              <w:rPr>
                <w:rStyle w:val="431"/>
                <w:rFonts w:hint="default"/>
                <w:color w:val="auto"/>
              </w:rPr>
              <w:t>）</w:t>
            </w:r>
          </w:p>
        </w:tc>
        <w:tc>
          <w:tcPr>
            <w:tcW w:w="1652" w:type="dxa"/>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产生量（</w:t>
            </w:r>
            <w:r>
              <w:rPr>
                <w:rStyle w:val="432"/>
                <w:rFonts w:eastAsia="宋体"/>
                <w:color w:val="auto"/>
              </w:rPr>
              <w:t>t/a</w:t>
            </w:r>
            <w:r>
              <w:rPr>
                <w:rStyle w:val="431"/>
                <w:rFonts w:hint="default"/>
                <w:color w:val="auto"/>
              </w:rPr>
              <w:t>）</w:t>
            </w:r>
          </w:p>
        </w:tc>
        <w:tc>
          <w:tcPr>
            <w:tcW w:w="3102" w:type="dxa"/>
            <w:tcBorders>
              <w:tl2br w:val="nil"/>
              <w:tr2bl w:val="nil"/>
            </w:tcBorders>
            <w:shd w:val="clear" w:color="auto" w:fill="auto"/>
            <w:vAlign w:val="center"/>
          </w:tcPr>
          <w:p>
            <w:pPr>
              <w:widowControl/>
              <w:jc w:val="center"/>
              <w:textAlignment w:val="center"/>
              <w:rPr>
                <w:rFonts w:hAnsi="宋体" w:eastAsia="宋体" w:cs="宋体"/>
                <w:b/>
                <w:bCs/>
                <w:color w:val="auto"/>
                <w:sz w:val="21"/>
                <w:szCs w:val="21"/>
              </w:rPr>
            </w:pPr>
            <w:r>
              <w:rPr>
                <w:rStyle w:val="431"/>
                <w:rFonts w:hint="default"/>
                <w:color w:val="auto"/>
              </w:rPr>
              <w:t>工艺</w:t>
            </w:r>
          </w:p>
        </w:tc>
        <w:tc>
          <w:tcPr>
            <w:tcW w:w="1014" w:type="dxa"/>
            <w:vMerge w:val="continue"/>
            <w:tcBorders>
              <w:tl2br w:val="nil"/>
              <w:tr2bl w:val="nil"/>
            </w:tcBorders>
            <w:shd w:val="clear" w:color="auto" w:fill="auto"/>
            <w:vAlign w:val="center"/>
          </w:tcPr>
          <w:p>
            <w:pPr>
              <w:jc w:val="center"/>
              <w:rPr>
                <w:rFonts w:hAnsi="宋体" w:eastAsia="宋体" w:cs="宋体"/>
                <w:b/>
                <w:bCs/>
                <w:color w:val="auto"/>
                <w:sz w:val="21"/>
                <w:szCs w:val="21"/>
              </w:rPr>
            </w:pPr>
          </w:p>
        </w:tc>
        <w:tc>
          <w:tcPr>
            <w:tcW w:w="1312" w:type="dxa"/>
            <w:vMerge w:val="continue"/>
            <w:tcBorders>
              <w:tl2br w:val="nil"/>
              <w:tr2bl w:val="nil"/>
            </w:tcBorders>
            <w:shd w:val="clear" w:color="auto" w:fill="auto"/>
            <w:vAlign w:val="center"/>
          </w:tcPr>
          <w:p>
            <w:pPr>
              <w:jc w:val="center"/>
              <w:rPr>
                <w:rFonts w:hAnsi="宋体" w:eastAsia="宋体" w:cs="宋体"/>
                <w:b/>
                <w:bCs/>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restart"/>
            <w:tcBorders>
              <w:tl2br w:val="nil"/>
              <w:tr2bl w:val="nil"/>
            </w:tcBorders>
            <w:shd w:val="clear" w:color="auto" w:fill="auto"/>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1</w:t>
            </w:r>
          </w:p>
        </w:tc>
        <w:tc>
          <w:tcPr>
            <w:tcW w:w="1212" w:type="dxa"/>
            <w:vMerge w:val="restart"/>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r>
              <w:rPr>
                <w:rFonts w:hint="eastAsia" w:hAnsi="宋体" w:eastAsia="宋体" w:cs="宋体"/>
                <w:color w:val="auto"/>
                <w:sz w:val="21"/>
                <w:szCs w:val="21"/>
              </w:rPr>
              <w:t>鸡舍冲洗废水</w:t>
            </w: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COD</w:t>
            </w:r>
          </w:p>
        </w:tc>
        <w:tc>
          <w:tcPr>
            <w:tcW w:w="1304" w:type="dxa"/>
            <w:vMerge w:val="restart"/>
            <w:tcBorders>
              <w:tl2br w:val="nil"/>
              <w:tr2bl w:val="nil"/>
            </w:tcBorders>
            <w:shd w:val="clear" w:color="auto" w:fill="auto"/>
            <w:noWrap/>
            <w:vAlign w:val="center"/>
          </w:tcPr>
          <w:p>
            <w:pPr>
              <w:jc w:val="center"/>
              <w:rPr>
                <w:rFonts w:hAnsi="宋体" w:eastAsia="宋体" w:cs="宋体"/>
                <w:color w:val="auto"/>
                <w:sz w:val="21"/>
                <w:szCs w:val="21"/>
              </w:rPr>
            </w:pPr>
            <w:r>
              <w:rPr>
                <w:rFonts w:hint="eastAsia" w:ascii="Times New Roman"/>
                <w:color w:val="auto"/>
                <w:spacing w:val="6"/>
                <w:sz w:val="21"/>
                <w:szCs w:val="21"/>
              </w:rPr>
              <w:t>600</w:t>
            </w:r>
          </w:p>
        </w:tc>
        <w:tc>
          <w:tcPr>
            <w:tcW w:w="1601" w:type="dxa"/>
            <w:tcBorders>
              <w:tl2br w:val="nil"/>
              <w:tr2bl w:val="nil"/>
            </w:tcBorders>
            <w:shd w:val="clear" w:color="auto" w:fill="auto"/>
            <w:noWrap/>
            <w:vAlign w:val="center"/>
          </w:tcPr>
          <w:p>
            <w:pPr>
              <w:pStyle w:val="373"/>
              <w:rPr>
                <w:rFonts w:ascii="宋体" w:hAnsi="宋体" w:cs="宋体"/>
                <w:color w:val="auto"/>
              </w:rPr>
            </w:pPr>
            <w:r>
              <w:rPr>
                <w:rFonts w:hint="eastAsia"/>
                <w:color w:val="auto"/>
                <w:lang w:val="en-US" w:eastAsia="zh-CN"/>
              </w:rPr>
              <w:t>6060</w:t>
            </w:r>
          </w:p>
        </w:tc>
        <w:tc>
          <w:tcPr>
            <w:tcW w:w="1652" w:type="dxa"/>
            <w:tcBorders>
              <w:tl2br w:val="nil"/>
              <w:tr2bl w:val="nil"/>
            </w:tcBorders>
            <w:shd w:val="clear" w:color="auto" w:fill="auto"/>
            <w:noWrap/>
            <w:vAlign w:val="center"/>
          </w:tcPr>
          <w:p>
            <w:pPr>
              <w:pStyle w:val="373"/>
              <w:rPr>
                <w:rFonts w:hAnsi="宋体" w:eastAsia="宋体" w:cs="宋体"/>
                <w:color w:val="auto"/>
                <w:sz w:val="21"/>
                <w:szCs w:val="21"/>
              </w:rPr>
            </w:pPr>
            <w:r>
              <w:rPr>
                <w:rFonts w:hint="eastAsia" w:ascii="Times New Roman" w:hAnsi="Times New Roman" w:eastAsia="宋体" w:cs="Times New Roman"/>
                <w:color w:val="auto"/>
                <w:lang w:val="en-US" w:eastAsia="zh-CN"/>
              </w:rPr>
              <w:t>3.636</w:t>
            </w:r>
          </w:p>
        </w:tc>
        <w:tc>
          <w:tcPr>
            <w:tcW w:w="3102" w:type="dxa"/>
            <w:vMerge w:val="restart"/>
            <w:tcBorders>
              <w:tl2br w:val="nil"/>
              <w:tr2bl w:val="nil"/>
            </w:tcBorders>
            <w:shd w:val="clear" w:color="auto" w:fill="auto"/>
            <w:noWrap/>
            <w:vAlign w:val="center"/>
          </w:tcPr>
          <w:p>
            <w:pPr>
              <w:jc w:val="left"/>
              <w:rPr>
                <w:rFonts w:hAnsi="宋体" w:eastAsia="宋体" w:cs="宋体"/>
                <w:color w:val="auto"/>
                <w:sz w:val="21"/>
                <w:szCs w:val="21"/>
              </w:rPr>
            </w:pPr>
            <w:r>
              <w:rPr>
                <w:rFonts w:hint="eastAsia" w:hAnsi="宋体" w:eastAsia="宋体" w:cs="宋体"/>
                <w:color w:val="auto"/>
                <w:sz w:val="21"/>
                <w:szCs w:val="21"/>
              </w:rPr>
              <w:t>沉淀池沉淀后送至新华养殖场污水站处理（沉淀—水解—接触氧化-沉淀-消毒）</w:t>
            </w:r>
          </w:p>
        </w:tc>
        <w:tc>
          <w:tcPr>
            <w:tcW w:w="1014" w:type="dxa"/>
            <w:vMerge w:val="restart"/>
            <w:tcBorders>
              <w:tl2br w:val="nil"/>
              <w:tr2bl w:val="nil"/>
            </w:tcBorders>
            <w:shd w:val="clear" w:color="auto" w:fill="auto"/>
            <w:noWrap/>
            <w:vAlign w:val="center"/>
          </w:tcPr>
          <w:p>
            <w:pPr>
              <w:rPr>
                <w:rFonts w:hint="eastAsia" w:hAnsi="宋体" w:eastAsia="宋体" w:cs="宋体"/>
                <w:color w:val="auto"/>
                <w:sz w:val="21"/>
                <w:szCs w:val="21"/>
                <w:lang w:eastAsia="zh-CN"/>
              </w:rPr>
            </w:pPr>
            <w:r>
              <w:rPr>
                <w:rFonts w:hint="eastAsia" w:hAnsi="宋体" w:eastAsia="宋体" w:cs="宋体"/>
                <w:color w:val="auto"/>
                <w:sz w:val="21"/>
                <w:szCs w:val="21"/>
                <w:lang w:eastAsia="zh-CN"/>
              </w:rPr>
              <w:t>农林施肥</w:t>
            </w:r>
          </w:p>
        </w:tc>
        <w:tc>
          <w:tcPr>
            <w:tcW w:w="1312" w:type="dxa"/>
            <w:vMerge w:val="restart"/>
            <w:tcBorders>
              <w:tl2br w:val="nil"/>
              <w:tr2bl w:val="nil"/>
            </w:tcBorders>
            <w:shd w:val="clear" w:color="auto" w:fill="auto"/>
            <w:noWrap/>
            <w:vAlign w:val="center"/>
          </w:tcPr>
          <w:p>
            <w:pPr>
              <w:rPr>
                <w:rFonts w:hAnsi="宋体" w:eastAsia="宋体" w:cs="宋体"/>
                <w:color w:val="auto"/>
                <w:sz w:val="21"/>
                <w:szCs w:val="21"/>
              </w:rPr>
            </w:pPr>
            <w:r>
              <w:rPr>
                <w:rFonts w:hint="eastAsia" w:hAnsi="宋体" w:eastAsia="宋体" w:cs="宋体"/>
                <w:color w:val="auto"/>
                <w:sz w:val="21"/>
                <w:szCs w:val="21"/>
              </w:rPr>
              <w:t>间歇排放，每年4次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widowControl/>
              <w:jc w:val="center"/>
              <w:textAlignment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BOD</w:t>
            </w:r>
            <w:r>
              <w:rPr>
                <w:color w:val="auto"/>
                <w:vertAlign w:val="subscript"/>
              </w:rPr>
              <w:t>5</w:t>
            </w:r>
          </w:p>
        </w:tc>
        <w:tc>
          <w:tcPr>
            <w:tcW w:w="1304" w:type="dxa"/>
            <w:vMerge w:val="continue"/>
            <w:tcBorders>
              <w:tl2br w:val="nil"/>
              <w:tr2bl w:val="nil"/>
            </w:tcBorders>
            <w:shd w:val="clear" w:color="auto" w:fill="auto"/>
            <w:noWrap/>
            <w:vAlign w:val="center"/>
          </w:tcPr>
          <w:p>
            <w:pPr>
              <w:jc w:val="center"/>
              <w:rPr>
                <w:rFonts w:hAnsi="宋体" w:eastAsia="宋体" w:cs="宋体"/>
                <w:color w:val="auto"/>
                <w:sz w:val="21"/>
                <w:szCs w:val="21"/>
              </w:rPr>
            </w:pPr>
          </w:p>
        </w:tc>
        <w:tc>
          <w:tcPr>
            <w:tcW w:w="1601" w:type="dxa"/>
            <w:tcBorders>
              <w:tl2br w:val="nil"/>
              <w:tr2bl w:val="nil"/>
            </w:tcBorders>
            <w:shd w:val="clear" w:color="auto" w:fill="auto"/>
            <w:noWrap/>
            <w:vAlign w:val="center"/>
          </w:tcPr>
          <w:p>
            <w:pPr>
              <w:pStyle w:val="373"/>
              <w:rPr>
                <w:rFonts w:ascii="宋体" w:hAnsi="宋体" w:cs="宋体"/>
                <w:color w:val="auto"/>
              </w:rPr>
            </w:pPr>
            <w:r>
              <w:rPr>
                <w:rFonts w:hint="eastAsia"/>
                <w:color w:val="auto"/>
                <w:lang w:val="en-US" w:eastAsia="zh-CN"/>
              </w:rPr>
              <w:t>1515</w:t>
            </w:r>
          </w:p>
        </w:tc>
        <w:tc>
          <w:tcPr>
            <w:tcW w:w="1652" w:type="dxa"/>
            <w:tcBorders>
              <w:tl2br w:val="nil"/>
              <w:tr2bl w:val="nil"/>
            </w:tcBorders>
            <w:shd w:val="clear" w:color="auto" w:fill="auto"/>
            <w:noWrap/>
            <w:vAlign w:val="center"/>
          </w:tcPr>
          <w:p>
            <w:pPr>
              <w:pStyle w:val="373"/>
              <w:rPr>
                <w:rFonts w:hAnsi="宋体" w:eastAsia="宋体" w:cs="宋体"/>
                <w:color w:val="auto"/>
                <w:sz w:val="21"/>
                <w:szCs w:val="21"/>
              </w:rPr>
            </w:pPr>
            <w:r>
              <w:rPr>
                <w:rFonts w:hint="eastAsia" w:ascii="Times New Roman" w:hAnsi="Times New Roman" w:eastAsia="宋体" w:cs="Times New Roman"/>
                <w:color w:val="auto"/>
                <w:lang w:val="en-US" w:eastAsia="zh-CN"/>
              </w:rPr>
              <w:t>0.909</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widowControl/>
              <w:jc w:val="center"/>
              <w:textAlignment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NH</w:t>
            </w:r>
            <w:r>
              <w:rPr>
                <w:color w:val="auto"/>
                <w:vertAlign w:val="subscript"/>
              </w:rPr>
              <w:t>3</w:t>
            </w:r>
            <w:r>
              <w:rPr>
                <w:color w:val="auto"/>
              </w:rPr>
              <w:t>-N</w:t>
            </w:r>
          </w:p>
        </w:tc>
        <w:tc>
          <w:tcPr>
            <w:tcW w:w="1304" w:type="dxa"/>
            <w:vMerge w:val="continue"/>
            <w:tcBorders>
              <w:tl2br w:val="nil"/>
              <w:tr2bl w:val="nil"/>
            </w:tcBorders>
            <w:shd w:val="clear" w:color="auto" w:fill="auto"/>
            <w:noWrap/>
            <w:vAlign w:val="center"/>
          </w:tcPr>
          <w:p>
            <w:pPr>
              <w:jc w:val="center"/>
              <w:rPr>
                <w:rFonts w:hAnsi="宋体" w:eastAsia="宋体" w:cs="宋体"/>
                <w:color w:val="auto"/>
                <w:sz w:val="21"/>
                <w:szCs w:val="21"/>
              </w:rPr>
            </w:pPr>
          </w:p>
        </w:tc>
        <w:tc>
          <w:tcPr>
            <w:tcW w:w="1601" w:type="dxa"/>
            <w:tcBorders>
              <w:tl2br w:val="nil"/>
              <w:tr2bl w:val="nil"/>
            </w:tcBorders>
            <w:shd w:val="clear" w:color="auto" w:fill="auto"/>
            <w:noWrap/>
            <w:vAlign w:val="center"/>
          </w:tcPr>
          <w:p>
            <w:pPr>
              <w:pStyle w:val="373"/>
              <w:rPr>
                <w:rFonts w:ascii="宋体" w:hAnsi="宋体" w:cs="宋体"/>
                <w:color w:val="auto"/>
              </w:rPr>
            </w:pPr>
            <w:r>
              <w:rPr>
                <w:rFonts w:hint="eastAsia"/>
                <w:color w:val="auto"/>
                <w:lang w:val="en-US" w:eastAsia="zh-CN"/>
              </w:rPr>
              <w:t>261</w:t>
            </w:r>
          </w:p>
        </w:tc>
        <w:tc>
          <w:tcPr>
            <w:tcW w:w="1652" w:type="dxa"/>
            <w:tcBorders>
              <w:tl2br w:val="nil"/>
              <w:tr2bl w:val="nil"/>
            </w:tcBorders>
            <w:shd w:val="clear" w:color="auto" w:fill="auto"/>
            <w:noWrap/>
            <w:vAlign w:val="center"/>
          </w:tcPr>
          <w:p>
            <w:pPr>
              <w:pStyle w:val="373"/>
              <w:rPr>
                <w:rFonts w:hAnsi="宋体" w:eastAsia="宋体" w:cs="宋体"/>
                <w:color w:val="auto"/>
                <w:sz w:val="21"/>
                <w:szCs w:val="21"/>
              </w:rPr>
            </w:pPr>
            <w:r>
              <w:rPr>
                <w:rFonts w:hint="eastAsia" w:ascii="Times New Roman" w:hAnsi="Times New Roman" w:eastAsia="宋体" w:cs="Times New Roman"/>
                <w:color w:val="auto"/>
                <w:lang w:val="en-US" w:eastAsia="zh-CN"/>
              </w:rPr>
              <w:t>0.1566</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widowControl/>
              <w:jc w:val="center"/>
              <w:textAlignment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TN</w:t>
            </w:r>
          </w:p>
        </w:tc>
        <w:tc>
          <w:tcPr>
            <w:tcW w:w="1304" w:type="dxa"/>
            <w:vMerge w:val="continue"/>
            <w:tcBorders>
              <w:tl2br w:val="nil"/>
              <w:tr2bl w:val="nil"/>
            </w:tcBorders>
            <w:shd w:val="clear" w:color="auto" w:fill="auto"/>
            <w:noWrap/>
            <w:vAlign w:val="center"/>
          </w:tcPr>
          <w:p>
            <w:pPr>
              <w:jc w:val="center"/>
              <w:rPr>
                <w:rFonts w:hAnsi="宋体" w:eastAsia="宋体" w:cs="宋体"/>
                <w:color w:val="auto"/>
                <w:sz w:val="21"/>
                <w:szCs w:val="21"/>
              </w:rPr>
            </w:pPr>
          </w:p>
        </w:tc>
        <w:tc>
          <w:tcPr>
            <w:tcW w:w="1601" w:type="dxa"/>
            <w:tcBorders>
              <w:tl2br w:val="nil"/>
              <w:tr2bl w:val="nil"/>
            </w:tcBorders>
            <w:shd w:val="clear" w:color="auto" w:fill="auto"/>
            <w:noWrap/>
            <w:vAlign w:val="center"/>
          </w:tcPr>
          <w:p>
            <w:pPr>
              <w:pStyle w:val="373"/>
              <w:rPr>
                <w:rFonts w:ascii="宋体" w:hAnsi="宋体" w:cs="宋体"/>
                <w:color w:val="auto"/>
              </w:rPr>
            </w:pPr>
            <w:r>
              <w:rPr>
                <w:rFonts w:hint="eastAsia"/>
                <w:color w:val="auto"/>
                <w:lang w:val="en-US" w:eastAsia="zh-CN"/>
              </w:rPr>
              <w:t>342</w:t>
            </w:r>
          </w:p>
        </w:tc>
        <w:tc>
          <w:tcPr>
            <w:tcW w:w="1652" w:type="dxa"/>
            <w:tcBorders>
              <w:tl2br w:val="nil"/>
              <w:tr2bl w:val="nil"/>
            </w:tcBorders>
            <w:shd w:val="clear" w:color="auto" w:fill="auto"/>
            <w:noWrap/>
            <w:vAlign w:val="center"/>
          </w:tcPr>
          <w:p>
            <w:pPr>
              <w:pStyle w:val="373"/>
              <w:rPr>
                <w:rFonts w:hAnsi="宋体" w:eastAsia="宋体" w:cs="宋体"/>
                <w:color w:val="auto"/>
                <w:sz w:val="21"/>
                <w:szCs w:val="21"/>
              </w:rPr>
            </w:pPr>
            <w:r>
              <w:rPr>
                <w:rFonts w:hint="eastAsia" w:ascii="Times New Roman" w:hAnsi="Times New Roman" w:eastAsia="宋体" w:cs="Times New Roman"/>
                <w:color w:val="auto"/>
                <w:lang w:val="en-US" w:eastAsia="zh-CN"/>
              </w:rPr>
              <w:t>0.2052</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widowControl/>
              <w:jc w:val="center"/>
              <w:textAlignment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TP</w:t>
            </w:r>
          </w:p>
        </w:tc>
        <w:tc>
          <w:tcPr>
            <w:tcW w:w="1304" w:type="dxa"/>
            <w:vMerge w:val="continue"/>
            <w:tcBorders>
              <w:tl2br w:val="nil"/>
              <w:tr2bl w:val="nil"/>
            </w:tcBorders>
            <w:shd w:val="clear" w:color="auto" w:fill="auto"/>
            <w:noWrap/>
            <w:vAlign w:val="center"/>
          </w:tcPr>
          <w:p>
            <w:pPr>
              <w:jc w:val="center"/>
              <w:rPr>
                <w:rFonts w:hAnsi="宋体" w:eastAsia="宋体" w:cs="宋体"/>
                <w:color w:val="auto"/>
                <w:sz w:val="21"/>
                <w:szCs w:val="21"/>
              </w:rPr>
            </w:pPr>
          </w:p>
        </w:tc>
        <w:tc>
          <w:tcPr>
            <w:tcW w:w="1601" w:type="dxa"/>
            <w:tcBorders>
              <w:tl2br w:val="nil"/>
              <w:tr2bl w:val="nil"/>
            </w:tcBorders>
            <w:shd w:val="clear" w:color="auto" w:fill="auto"/>
            <w:noWrap/>
            <w:vAlign w:val="center"/>
          </w:tcPr>
          <w:p>
            <w:pPr>
              <w:pStyle w:val="373"/>
              <w:rPr>
                <w:rFonts w:ascii="宋体" w:hAnsi="宋体" w:cs="宋体"/>
                <w:color w:val="auto"/>
              </w:rPr>
            </w:pPr>
            <w:r>
              <w:rPr>
                <w:rFonts w:hint="eastAsia"/>
                <w:color w:val="auto"/>
                <w:lang w:val="en-US" w:eastAsia="zh-CN"/>
              </w:rPr>
              <w:t>31.4</w:t>
            </w:r>
          </w:p>
        </w:tc>
        <w:tc>
          <w:tcPr>
            <w:tcW w:w="1652" w:type="dxa"/>
            <w:tcBorders>
              <w:tl2br w:val="nil"/>
              <w:tr2bl w:val="nil"/>
            </w:tcBorders>
            <w:shd w:val="clear" w:color="auto" w:fill="auto"/>
            <w:noWrap/>
            <w:vAlign w:val="center"/>
          </w:tcPr>
          <w:p>
            <w:pPr>
              <w:pStyle w:val="373"/>
              <w:rPr>
                <w:rFonts w:hAnsi="宋体" w:eastAsia="宋体" w:cs="宋体"/>
                <w:color w:val="auto"/>
                <w:sz w:val="21"/>
                <w:szCs w:val="21"/>
              </w:rPr>
            </w:pPr>
            <w:r>
              <w:rPr>
                <w:rFonts w:hint="eastAsia" w:ascii="Times New Roman" w:hAnsi="Times New Roman" w:eastAsia="宋体" w:cs="Times New Roman"/>
                <w:color w:val="auto"/>
                <w:lang w:val="en-US" w:eastAsia="zh-CN"/>
              </w:rPr>
              <w:t>0.0188</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widowControl/>
              <w:jc w:val="center"/>
              <w:textAlignment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SS</w:t>
            </w:r>
          </w:p>
        </w:tc>
        <w:tc>
          <w:tcPr>
            <w:tcW w:w="1304" w:type="dxa"/>
            <w:vMerge w:val="continue"/>
            <w:tcBorders>
              <w:tl2br w:val="nil"/>
              <w:tr2bl w:val="nil"/>
            </w:tcBorders>
            <w:shd w:val="clear" w:color="auto" w:fill="auto"/>
            <w:noWrap/>
            <w:vAlign w:val="center"/>
          </w:tcPr>
          <w:p>
            <w:pPr>
              <w:jc w:val="center"/>
              <w:rPr>
                <w:rFonts w:hAnsi="宋体" w:eastAsia="宋体" w:cs="宋体"/>
                <w:color w:val="auto"/>
                <w:sz w:val="21"/>
                <w:szCs w:val="21"/>
              </w:rPr>
            </w:pPr>
          </w:p>
        </w:tc>
        <w:tc>
          <w:tcPr>
            <w:tcW w:w="1601" w:type="dxa"/>
            <w:tcBorders>
              <w:tl2br w:val="nil"/>
              <w:tr2bl w:val="nil"/>
            </w:tcBorders>
            <w:shd w:val="clear" w:color="auto" w:fill="auto"/>
            <w:noWrap/>
            <w:vAlign w:val="center"/>
          </w:tcPr>
          <w:p>
            <w:pPr>
              <w:pStyle w:val="373"/>
              <w:rPr>
                <w:rFonts w:ascii="宋体" w:hAnsi="宋体" w:cs="宋体"/>
                <w:color w:val="auto"/>
              </w:rPr>
            </w:pPr>
            <w:r>
              <w:rPr>
                <w:color w:val="auto"/>
              </w:rPr>
              <w:t>400</w:t>
            </w:r>
          </w:p>
        </w:tc>
        <w:tc>
          <w:tcPr>
            <w:tcW w:w="1652" w:type="dxa"/>
            <w:tcBorders>
              <w:tl2br w:val="nil"/>
              <w:tr2bl w:val="nil"/>
            </w:tcBorders>
            <w:shd w:val="clear" w:color="auto" w:fill="auto"/>
            <w:noWrap/>
            <w:vAlign w:val="center"/>
          </w:tcPr>
          <w:p>
            <w:pPr>
              <w:pStyle w:val="373"/>
              <w:rPr>
                <w:rFonts w:hAnsi="宋体" w:eastAsia="宋体" w:cs="宋体"/>
                <w:color w:val="auto"/>
                <w:sz w:val="21"/>
                <w:szCs w:val="21"/>
              </w:rPr>
            </w:pPr>
            <w:r>
              <w:rPr>
                <w:rFonts w:hint="eastAsia" w:ascii="Times New Roman" w:hAnsi="Times New Roman" w:eastAsia="宋体" w:cs="Times New Roman"/>
                <w:color w:val="auto"/>
                <w:lang w:val="en-US" w:eastAsia="zh-CN"/>
              </w:rPr>
              <w:t>0.48</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restart"/>
            <w:tcBorders>
              <w:tl2br w:val="nil"/>
              <w:tr2bl w:val="nil"/>
            </w:tcBorders>
            <w:shd w:val="clear" w:color="auto" w:fill="auto"/>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2</w:t>
            </w:r>
          </w:p>
        </w:tc>
        <w:tc>
          <w:tcPr>
            <w:tcW w:w="1212" w:type="dxa"/>
            <w:vMerge w:val="restart"/>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r>
              <w:rPr>
                <w:rFonts w:hint="eastAsia" w:hAnsi="宋体" w:eastAsia="宋体" w:cs="宋体"/>
                <w:color w:val="auto"/>
                <w:sz w:val="21"/>
                <w:szCs w:val="21"/>
              </w:rPr>
              <w:t>生活污水</w:t>
            </w:r>
          </w:p>
        </w:tc>
        <w:tc>
          <w:tcPr>
            <w:tcW w:w="1534" w:type="dxa"/>
            <w:tcBorders>
              <w:tl2br w:val="nil"/>
              <w:tr2bl w:val="nil"/>
            </w:tcBorders>
            <w:shd w:val="clear" w:color="auto" w:fill="auto"/>
            <w:noWrap/>
            <w:vAlign w:val="center"/>
          </w:tcPr>
          <w:p>
            <w:pPr>
              <w:jc w:val="center"/>
              <w:rPr>
                <w:rFonts w:hAnsi="宋体" w:eastAsia="宋体" w:cs="宋体"/>
                <w:color w:val="auto"/>
                <w:sz w:val="21"/>
                <w:szCs w:val="21"/>
              </w:rPr>
            </w:pPr>
            <w:r>
              <w:rPr>
                <w:rFonts w:ascii="Times New Roman" w:eastAsia="宋体"/>
                <w:color w:val="auto"/>
                <w:sz w:val="21"/>
                <w:szCs w:val="21"/>
              </w:rPr>
              <w:t>COD</w:t>
            </w:r>
          </w:p>
        </w:tc>
        <w:tc>
          <w:tcPr>
            <w:tcW w:w="1304" w:type="dxa"/>
            <w:vMerge w:val="restart"/>
            <w:tcBorders>
              <w:tl2br w:val="nil"/>
              <w:tr2bl w:val="nil"/>
            </w:tcBorders>
            <w:shd w:val="clear" w:color="auto" w:fill="auto"/>
            <w:noWrap/>
            <w:vAlign w:val="center"/>
          </w:tcPr>
          <w:p>
            <w:pPr>
              <w:jc w:val="center"/>
              <w:rPr>
                <w:rFonts w:hAnsi="宋体" w:eastAsia="宋体" w:cs="宋体"/>
                <w:color w:val="auto"/>
                <w:sz w:val="21"/>
                <w:szCs w:val="21"/>
              </w:rPr>
            </w:pPr>
            <w:r>
              <w:rPr>
                <w:rFonts w:hint="eastAsia" w:ascii="Times New Roman" w:eastAsia="宋体"/>
                <w:color w:val="auto"/>
                <w:sz w:val="21"/>
                <w:szCs w:val="21"/>
              </w:rPr>
              <w:t>556.8</w:t>
            </w: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ascii="Times New Roman" w:eastAsia="宋体"/>
                <w:color w:val="auto"/>
                <w:sz w:val="21"/>
                <w:szCs w:val="21"/>
              </w:rPr>
              <w:t>345</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0.192</w:t>
            </w:r>
          </w:p>
        </w:tc>
        <w:tc>
          <w:tcPr>
            <w:tcW w:w="3102" w:type="dxa"/>
            <w:vMerge w:val="restart"/>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r>
              <w:rPr>
                <w:rFonts w:hAnsi="宋体" w:eastAsia="宋体" w:cs="宋体"/>
                <w:color w:val="auto"/>
                <w:sz w:val="21"/>
                <w:szCs w:val="21"/>
              </w:rPr>
              <w:t>污水</w:t>
            </w:r>
            <w:r>
              <w:rPr>
                <w:rFonts w:hint="eastAsia" w:hAnsi="宋体" w:eastAsia="宋体" w:cs="宋体"/>
                <w:color w:val="auto"/>
                <w:sz w:val="21"/>
                <w:szCs w:val="21"/>
              </w:rPr>
              <w:t>经化粪池处理后排入沉淀池，后送至新华养殖场污水站处理</w:t>
            </w:r>
          </w:p>
        </w:tc>
        <w:tc>
          <w:tcPr>
            <w:tcW w:w="1014" w:type="dxa"/>
            <w:vMerge w:val="restart"/>
            <w:tcBorders>
              <w:tl2br w:val="nil"/>
              <w:tr2bl w:val="nil"/>
            </w:tcBorders>
            <w:shd w:val="clear" w:color="auto" w:fill="auto"/>
            <w:noWrap/>
            <w:vAlign w:val="center"/>
          </w:tcPr>
          <w:p>
            <w:pPr>
              <w:rPr>
                <w:rFonts w:hint="eastAsia" w:hAnsi="宋体" w:eastAsia="宋体" w:cs="宋体"/>
                <w:color w:val="auto"/>
                <w:sz w:val="21"/>
                <w:szCs w:val="21"/>
                <w:lang w:eastAsia="zh-CN"/>
              </w:rPr>
            </w:pPr>
            <w:r>
              <w:rPr>
                <w:rFonts w:hint="eastAsia" w:hAnsi="宋体" w:eastAsia="宋体" w:cs="宋体"/>
                <w:color w:val="auto"/>
                <w:sz w:val="21"/>
                <w:szCs w:val="21"/>
                <w:lang w:eastAsia="zh-CN"/>
              </w:rPr>
              <w:t>农林施肥</w:t>
            </w:r>
          </w:p>
        </w:tc>
        <w:tc>
          <w:tcPr>
            <w:tcW w:w="1312" w:type="dxa"/>
            <w:vMerge w:val="restart"/>
            <w:tcBorders>
              <w:tl2br w:val="nil"/>
              <w:tr2bl w:val="nil"/>
            </w:tcBorders>
            <w:shd w:val="clear" w:color="auto" w:fill="auto"/>
            <w:noWrap/>
            <w:vAlign w:val="center"/>
          </w:tcPr>
          <w:p>
            <w:pPr>
              <w:rPr>
                <w:rFonts w:hAnsi="宋体" w:eastAsia="宋体" w:cs="宋体"/>
                <w:color w:val="auto"/>
                <w:sz w:val="21"/>
                <w:szCs w:val="21"/>
              </w:rPr>
            </w:pPr>
            <w:r>
              <w:rPr>
                <w:rFonts w:hint="eastAsia" w:hAnsi="宋体" w:eastAsia="宋体" w:cs="宋体"/>
                <w:color w:val="auto"/>
                <w:sz w:val="21"/>
                <w:szCs w:val="21"/>
              </w:rPr>
              <w:t>连续排放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SS</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ascii="Times New Roman" w:eastAsia="宋体"/>
                <w:color w:val="auto"/>
                <w:sz w:val="21"/>
                <w:szCs w:val="21"/>
              </w:rPr>
              <w:t>200</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0.111</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hAnsi="宋体" w:eastAsia="宋体" w:cs="宋体"/>
                <w:color w:val="auto"/>
                <w:sz w:val="21"/>
                <w:szCs w:val="21"/>
              </w:rPr>
              <w:t>氨氮</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26.2</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0.015</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TP</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4.26</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0.002</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TN</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36</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0.020</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restart"/>
            <w:tcBorders>
              <w:tl2br w:val="nil"/>
              <w:tr2bl w:val="nil"/>
            </w:tcBorders>
            <w:shd w:val="clear" w:color="auto" w:fill="auto"/>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3</w:t>
            </w:r>
          </w:p>
        </w:tc>
        <w:tc>
          <w:tcPr>
            <w:tcW w:w="1212" w:type="dxa"/>
            <w:vMerge w:val="restart"/>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r>
              <w:rPr>
                <w:rFonts w:hint="eastAsia" w:hAnsi="宋体" w:eastAsia="宋体" w:cs="宋体"/>
                <w:color w:val="auto"/>
                <w:sz w:val="21"/>
                <w:szCs w:val="21"/>
              </w:rPr>
              <w:t>除臭水帘水</w:t>
            </w:r>
          </w:p>
        </w:tc>
        <w:tc>
          <w:tcPr>
            <w:tcW w:w="1534" w:type="dxa"/>
            <w:tcBorders>
              <w:tl2br w:val="nil"/>
              <w:tr2bl w:val="nil"/>
            </w:tcBorders>
            <w:shd w:val="clear" w:color="auto" w:fill="auto"/>
            <w:noWrap/>
            <w:vAlign w:val="center"/>
          </w:tcPr>
          <w:p>
            <w:pPr>
              <w:jc w:val="center"/>
              <w:rPr>
                <w:rFonts w:hAnsi="宋体" w:eastAsia="宋体" w:cs="宋体"/>
                <w:color w:val="auto"/>
                <w:sz w:val="21"/>
                <w:szCs w:val="21"/>
              </w:rPr>
            </w:pPr>
            <w:r>
              <w:rPr>
                <w:rFonts w:ascii="Times New Roman" w:eastAsia="宋体"/>
                <w:color w:val="auto"/>
                <w:sz w:val="21"/>
                <w:szCs w:val="21"/>
              </w:rPr>
              <w:t>COD</w:t>
            </w:r>
          </w:p>
        </w:tc>
        <w:tc>
          <w:tcPr>
            <w:tcW w:w="1304" w:type="dxa"/>
            <w:vMerge w:val="restart"/>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204</w:t>
            </w:r>
          </w:p>
        </w:tc>
        <w:tc>
          <w:tcPr>
            <w:tcW w:w="1601" w:type="dxa"/>
            <w:tcBorders>
              <w:tl2br w:val="nil"/>
              <w:tr2bl w:val="nil"/>
            </w:tcBorders>
            <w:shd w:val="clear" w:color="auto" w:fill="auto"/>
            <w:noWrap/>
            <w:vAlign w:val="center"/>
          </w:tcPr>
          <w:p>
            <w:pPr>
              <w:jc w:val="center"/>
              <w:rPr>
                <w:rFonts w:hint="eastAsia" w:ascii="Times New Roman" w:eastAsia="宋体"/>
                <w:color w:val="auto"/>
                <w:sz w:val="21"/>
                <w:szCs w:val="21"/>
                <w:lang w:val="en-US" w:eastAsia="zh-CN"/>
              </w:rPr>
            </w:pPr>
            <w:r>
              <w:rPr>
                <w:rFonts w:hint="eastAsia" w:ascii="Times New Roman" w:eastAsia="宋体"/>
                <w:color w:val="auto"/>
                <w:sz w:val="21"/>
                <w:szCs w:val="21"/>
              </w:rPr>
              <w:t>21</w:t>
            </w:r>
            <w:r>
              <w:rPr>
                <w:rFonts w:hint="eastAsia" w:ascii="Times New Roman" w:eastAsia="宋体"/>
                <w:color w:val="auto"/>
                <w:sz w:val="21"/>
                <w:szCs w:val="21"/>
                <w:lang w:val="en-US" w:eastAsia="zh-CN"/>
              </w:rPr>
              <w:t>0</w:t>
            </w:r>
          </w:p>
        </w:tc>
        <w:tc>
          <w:tcPr>
            <w:tcW w:w="1652"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0.0428</w:t>
            </w:r>
          </w:p>
        </w:tc>
        <w:tc>
          <w:tcPr>
            <w:tcW w:w="3102" w:type="dxa"/>
            <w:vMerge w:val="restart"/>
            <w:tcBorders>
              <w:tl2br w:val="nil"/>
              <w:tr2bl w:val="nil"/>
            </w:tcBorders>
            <w:shd w:val="clear" w:color="auto" w:fill="auto"/>
            <w:noWrap/>
            <w:vAlign w:val="center"/>
          </w:tcPr>
          <w:p>
            <w:pPr>
              <w:rPr>
                <w:rFonts w:hAnsi="宋体" w:eastAsia="宋体" w:cs="宋体"/>
                <w:color w:val="auto"/>
                <w:sz w:val="21"/>
                <w:szCs w:val="21"/>
              </w:rPr>
            </w:pPr>
            <w:r>
              <w:rPr>
                <w:rFonts w:hint="eastAsia" w:hAnsi="宋体" w:eastAsia="宋体" w:cs="宋体"/>
                <w:color w:val="auto"/>
                <w:sz w:val="21"/>
                <w:szCs w:val="21"/>
              </w:rPr>
              <w:t>同鸡舍冲洗废水</w:t>
            </w:r>
          </w:p>
        </w:tc>
        <w:tc>
          <w:tcPr>
            <w:tcW w:w="1014" w:type="dxa"/>
            <w:vMerge w:val="restart"/>
            <w:tcBorders>
              <w:tl2br w:val="nil"/>
              <w:tr2bl w:val="nil"/>
            </w:tcBorders>
            <w:shd w:val="clear" w:color="auto" w:fill="auto"/>
            <w:noWrap/>
            <w:vAlign w:val="center"/>
          </w:tcPr>
          <w:p>
            <w:pPr>
              <w:rPr>
                <w:rFonts w:hint="eastAsia" w:hAnsi="宋体" w:eastAsia="宋体" w:cs="宋体"/>
                <w:color w:val="auto"/>
                <w:sz w:val="21"/>
                <w:szCs w:val="21"/>
                <w:lang w:eastAsia="zh-CN"/>
              </w:rPr>
            </w:pPr>
            <w:r>
              <w:rPr>
                <w:rFonts w:hint="eastAsia" w:hAnsi="宋体" w:eastAsia="宋体" w:cs="宋体"/>
                <w:color w:val="auto"/>
                <w:sz w:val="21"/>
                <w:szCs w:val="21"/>
                <w:lang w:eastAsia="zh-CN"/>
              </w:rPr>
              <w:t>农林施肥</w:t>
            </w:r>
          </w:p>
        </w:tc>
        <w:tc>
          <w:tcPr>
            <w:tcW w:w="1312" w:type="dxa"/>
            <w:vMerge w:val="restart"/>
            <w:tcBorders>
              <w:tl2br w:val="nil"/>
              <w:tr2bl w:val="nil"/>
            </w:tcBorders>
            <w:shd w:val="clear" w:color="auto" w:fill="auto"/>
            <w:noWrap/>
            <w:vAlign w:val="center"/>
          </w:tcPr>
          <w:p>
            <w:pPr>
              <w:rPr>
                <w:rFonts w:hAnsi="宋体" w:eastAsia="宋体" w:cs="宋体"/>
                <w:color w:val="auto"/>
                <w:sz w:val="21"/>
                <w:szCs w:val="21"/>
              </w:rPr>
            </w:pPr>
            <w:r>
              <w:rPr>
                <w:rFonts w:hint="eastAsia" w:hAnsi="宋体" w:eastAsia="宋体" w:cs="宋体"/>
                <w:color w:val="auto"/>
                <w:sz w:val="21"/>
                <w:szCs w:val="21"/>
              </w:rPr>
              <w:t>连续排放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hAnsi="宋体" w:eastAsia="宋体" w:cs="宋体"/>
                <w:color w:val="auto"/>
                <w:sz w:val="21"/>
                <w:szCs w:val="21"/>
              </w:rPr>
              <w:t>氨氮</w:t>
            </w:r>
          </w:p>
        </w:tc>
        <w:tc>
          <w:tcPr>
            <w:tcW w:w="1304" w:type="dxa"/>
            <w:vMerge w:val="continue"/>
            <w:tcBorders>
              <w:tl2br w:val="nil"/>
              <w:tr2bl w:val="nil"/>
            </w:tcBorders>
            <w:shd w:val="clear" w:color="auto" w:fill="auto"/>
            <w:noWrap/>
            <w:vAlign w:val="center"/>
          </w:tcPr>
          <w:p>
            <w:pPr>
              <w:jc w:val="center"/>
              <w:rPr>
                <w:rFonts w:ascii="Times New Roman" w:eastAsia="宋体"/>
                <w:color w:val="auto"/>
                <w:sz w:val="21"/>
                <w:szCs w:val="21"/>
              </w:rPr>
            </w:pPr>
          </w:p>
        </w:tc>
        <w:tc>
          <w:tcPr>
            <w:tcW w:w="1601"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22.6</w:t>
            </w:r>
          </w:p>
        </w:tc>
        <w:tc>
          <w:tcPr>
            <w:tcW w:w="1652"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0.0046</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TP</w:t>
            </w:r>
          </w:p>
        </w:tc>
        <w:tc>
          <w:tcPr>
            <w:tcW w:w="1304" w:type="dxa"/>
            <w:vMerge w:val="continue"/>
            <w:tcBorders>
              <w:tl2br w:val="nil"/>
              <w:tr2bl w:val="nil"/>
            </w:tcBorders>
            <w:shd w:val="clear" w:color="auto" w:fill="auto"/>
            <w:noWrap/>
            <w:vAlign w:val="center"/>
          </w:tcPr>
          <w:p>
            <w:pPr>
              <w:jc w:val="center"/>
              <w:rPr>
                <w:rFonts w:ascii="Times New Roman" w:eastAsia="宋体"/>
                <w:color w:val="auto"/>
                <w:sz w:val="21"/>
                <w:szCs w:val="21"/>
              </w:rPr>
            </w:pPr>
          </w:p>
        </w:tc>
        <w:tc>
          <w:tcPr>
            <w:tcW w:w="1601"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31.3</w:t>
            </w:r>
          </w:p>
        </w:tc>
        <w:tc>
          <w:tcPr>
            <w:tcW w:w="1652"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0.0064</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restart"/>
            <w:tcBorders>
              <w:tl2br w:val="nil"/>
              <w:tr2bl w:val="nil"/>
            </w:tcBorders>
            <w:shd w:val="clear" w:color="auto" w:fill="auto"/>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5</w:t>
            </w:r>
          </w:p>
        </w:tc>
        <w:tc>
          <w:tcPr>
            <w:tcW w:w="1212" w:type="dxa"/>
            <w:vMerge w:val="restart"/>
            <w:tcBorders>
              <w:tl2br w:val="nil"/>
              <w:tr2bl w:val="nil"/>
            </w:tcBorders>
            <w:shd w:val="clear" w:color="auto" w:fill="auto"/>
            <w:noWrap/>
            <w:vAlign w:val="center"/>
          </w:tcPr>
          <w:p>
            <w:pPr>
              <w:widowControl/>
              <w:jc w:val="left"/>
              <w:textAlignment w:val="center"/>
              <w:rPr>
                <w:rFonts w:hAnsi="宋体" w:eastAsia="宋体" w:cs="宋体"/>
                <w:color w:val="auto"/>
                <w:sz w:val="21"/>
                <w:szCs w:val="21"/>
              </w:rPr>
            </w:pPr>
            <w:r>
              <w:rPr>
                <w:rFonts w:hint="eastAsia" w:hAnsi="宋体" w:eastAsia="宋体" w:cs="宋体"/>
                <w:color w:val="auto"/>
                <w:sz w:val="21"/>
                <w:szCs w:val="21"/>
              </w:rPr>
              <w:t>全厂废水合计</w:t>
            </w: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COD</w:t>
            </w:r>
          </w:p>
        </w:tc>
        <w:tc>
          <w:tcPr>
            <w:tcW w:w="1304" w:type="dxa"/>
            <w:vMerge w:val="restart"/>
            <w:tcBorders>
              <w:tl2br w:val="nil"/>
              <w:tr2bl w:val="nil"/>
            </w:tcBorders>
            <w:shd w:val="clear" w:color="auto" w:fill="auto"/>
            <w:noWrap/>
            <w:vAlign w:val="center"/>
          </w:tcPr>
          <w:p>
            <w:pPr>
              <w:rPr>
                <w:rFonts w:hAnsi="宋体" w:eastAsia="宋体" w:cs="宋体"/>
                <w:color w:val="auto"/>
                <w:sz w:val="21"/>
                <w:szCs w:val="21"/>
              </w:rPr>
            </w:pPr>
            <w:r>
              <w:rPr>
                <w:rFonts w:hint="eastAsia" w:hAnsi="宋体" w:eastAsia="宋体" w:cs="宋体"/>
                <w:color w:val="auto"/>
                <w:sz w:val="21"/>
                <w:szCs w:val="21"/>
              </w:rPr>
              <w:t>1360.8</w:t>
            </w:r>
          </w:p>
        </w:tc>
        <w:tc>
          <w:tcPr>
            <w:tcW w:w="1601"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rPr>
              <w:t xml:space="preserve"> </w:t>
            </w:r>
            <w:r>
              <w:rPr>
                <w:rFonts w:hint="eastAsia" w:ascii="Times New Roman" w:eastAsia="宋体"/>
                <w:color w:val="auto"/>
                <w:sz w:val="21"/>
                <w:szCs w:val="21"/>
                <w:lang w:val="en-US" w:eastAsia="zh-CN"/>
              </w:rPr>
              <w:t>2844</w:t>
            </w:r>
          </w:p>
        </w:tc>
        <w:tc>
          <w:tcPr>
            <w:tcW w:w="1652"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3.871</w:t>
            </w:r>
          </w:p>
        </w:tc>
        <w:tc>
          <w:tcPr>
            <w:tcW w:w="3102" w:type="dxa"/>
            <w:vMerge w:val="restart"/>
            <w:tcBorders>
              <w:tl2br w:val="nil"/>
              <w:tr2bl w:val="nil"/>
            </w:tcBorders>
            <w:shd w:val="clear" w:color="auto" w:fill="auto"/>
            <w:noWrap/>
            <w:vAlign w:val="center"/>
          </w:tcPr>
          <w:p>
            <w:pPr>
              <w:rPr>
                <w:rFonts w:hAnsi="宋体" w:eastAsia="宋体" w:cs="宋体"/>
                <w:color w:val="auto"/>
                <w:sz w:val="21"/>
                <w:szCs w:val="21"/>
              </w:rPr>
            </w:pPr>
            <w:r>
              <w:rPr>
                <w:rFonts w:hint="eastAsia" w:hAnsi="宋体" w:eastAsia="宋体" w:cs="宋体"/>
                <w:color w:val="auto"/>
                <w:sz w:val="21"/>
                <w:szCs w:val="21"/>
              </w:rPr>
              <w:t>送至新华养殖场污水站处理（沉淀—水解—接触氧化-沉淀-消毒）</w:t>
            </w:r>
          </w:p>
        </w:tc>
        <w:tc>
          <w:tcPr>
            <w:tcW w:w="1014" w:type="dxa"/>
            <w:vMerge w:val="restart"/>
            <w:tcBorders>
              <w:tl2br w:val="nil"/>
              <w:tr2bl w:val="nil"/>
            </w:tcBorders>
            <w:shd w:val="clear" w:color="auto" w:fill="auto"/>
            <w:noWrap/>
            <w:vAlign w:val="center"/>
          </w:tcPr>
          <w:p>
            <w:pPr>
              <w:rPr>
                <w:rFonts w:hint="eastAsia" w:hAnsi="宋体" w:eastAsia="宋体" w:cs="宋体"/>
                <w:color w:val="auto"/>
                <w:sz w:val="21"/>
                <w:szCs w:val="21"/>
                <w:lang w:eastAsia="zh-CN"/>
              </w:rPr>
            </w:pPr>
            <w:r>
              <w:rPr>
                <w:rFonts w:hint="eastAsia" w:hAnsi="宋体" w:eastAsia="宋体" w:cs="宋体"/>
                <w:color w:val="auto"/>
                <w:sz w:val="21"/>
                <w:szCs w:val="21"/>
                <w:lang w:eastAsia="zh-CN"/>
              </w:rPr>
              <w:t>农林施肥</w:t>
            </w:r>
          </w:p>
        </w:tc>
        <w:tc>
          <w:tcPr>
            <w:tcW w:w="1312" w:type="dxa"/>
            <w:vMerge w:val="restart"/>
            <w:tcBorders>
              <w:tl2br w:val="nil"/>
              <w:tr2bl w:val="nil"/>
            </w:tcBorders>
            <w:shd w:val="clear" w:color="auto" w:fill="auto"/>
            <w:noWrap/>
            <w:vAlign w:val="center"/>
          </w:tcPr>
          <w:p>
            <w:pPr>
              <w:rPr>
                <w:rFonts w:hAnsi="宋体" w:eastAsia="宋体" w:cs="宋体"/>
                <w:color w:val="auto"/>
                <w:sz w:val="21"/>
                <w:szCs w:val="21"/>
              </w:rPr>
            </w:pPr>
            <w:r>
              <w:rPr>
                <w:rFonts w:hint="eastAsia" w:hAnsi="宋体" w:eastAsia="宋体" w:cs="宋体"/>
                <w:color w:val="auto"/>
                <w:sz w:val="21"/>
                <w:szCs w:val="21"/>
              </w:rPr>
              <w:t>每年清运4次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BOD</w:t>
            </w:r>
            <w:r>
              <w:rPr>
                <w:color w:val="auto"/>
                <w:vertAlign w:val="subscript"/>
              </w:rPr>
              <w:t>5</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333.99 </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0.455 </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NH</w:t>
            </w:r>
            <w:r>
              <w:rPr>
                <w:color w:val="auto"/>
                <w:vertAlign w:val="subscript"/>
              </w:rPr>
              <w:t>3</w:t>
            </w:r>
            <w:r>
              <w:rPr>
                <w:color w:val="auto"/>
              </w:rPr>
              <w:t>-N</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83.1</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0.113 </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TN</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90.4</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0.123 </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TP</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26.01 </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0.035 </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5" w:hRule="atLeast"/>
        </w:trPr>
        <w:tc>
          <w:tcPr>
            <w:tcW w:w="866" w:type="dxa"/>
            <w:vMerge w:val="continue"/>
            <w:tcBorders>
              <w:tl2br w:val="nil"/>
              <w:tr2bl w:val="nil"/>
            </w:tcBorders>
            <w:shd w:val="clear" w:color="auto" w:fill="auto"/>
            <w:vAlign w:val="center"/>
          </w:tcPr>
          <w:p>
            <w:pPr>
              <w:jc w:val="center"/>
              <w:rPr>
                <w:rFonts w:ascii="Times New Roman" w:eastAsia="宋体"/>
                <w:color w:val="auto"/>
                <w:sz w:val="21"/>
                <w:szCs w:val="21"/>
              </w:rPr>
            </w:pPr>
          </w:p>
        </w:tc>
        <w:tc>
          <w:tcPr>
            <w:tcW w:w="121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534" w:type="dxa"/>
            <w:tcBorders>
              <w:tl2br w:val="nil"/>
              <w:tr2bl w:val="nil"/>
            </w:tcBorders>
            <w:shd w:val="clear" w:color="auto" w:fill="auto"/>
            <w:noWrap/>
            <w:vAlign w:val="center"/>
          </w:tcPr>
          <w:p>
            <w:pPr>
              <w:pStyle w:val="373"/>
              <w:rPr>
                <w:rFonts w:ascii="宋体" w:hAnsi="宋体" w:cs="宋体"/>
                <w:color w:val="auto"/>
              </w:rPr>
            </w:pPr>
            <w:r>
              <w:rPr>
                <w:color w:val="auto"/>
              </w:rPr>
              <w:t>SS</w:t>
            </w:r>
          </w:p>
        </w:tc>
        <w:tc>
          <w:tcPr>
            <w:tcW w:w="130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601"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257.94 </w:t>
            </w:r>
          </w:p>
        </w:tc>
        <w:tc>
          <w:tcPr>
            <w:tcW w:w="1652" w:type="dxa"/>
            <w:tcBorders>
              <w:tl2br w:val="nil"/>
              <w:tr2bl w:val="nil"/>
            </w:tcBorders>
            <w:shd w:val="clear" w:color="auto" w:fill="auto"/>
            <w:noWrap/>
            <w:vAlign w:val="center"/>
          </w:tcPr>
          <w:p>
            <w:pPr>
              <w:jc w:val="center"/>
              <w:rPr>
                <w:rFonts w:ascii="Times New Roman" w:eastAsia="宋体"/>
                <w:color w:val="auto"/>
                <w:sz w:val="21"/>
                <w:szCs w:val="21"/>
              </w:rPr>
            </w:pPr>
            <w:r>
              <w:rPr>
                <w:rFonts w:hint="eastAsia" w:ascii="Times New Roman" w:eastAsia="宋体"/>
                <w:color w:val="auto"/>
                <w:sz w:val="21"/>
                <w:szCs w:val="21"/>
              </w:rPr>
              <w:t xml:space="preserve">0.351 </w:t>
            </w:r>
          </w:p>
        </w:tc>
        <w:tc>
          <w:tcPr>
            <w:tcW w:w="3102"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014" w:type="dxa"/>
            <w:vMerge w:val="continue"/>
            <w:tcBorders>
              <w:tl2br w:val="nil"/>
              <w:tr2bl w:val="nil"/>
            </w:tcBorders>
            <w:shd w:val="clear" w:color="auto" w:fill="auto"/>
            <w:noWrap/>
            <w:vAlign w:val="center"/>
          </w:tcPr>
          <w:p>
            <w:pPr>
              <w:rPr>
                <w:rFonts w:hAnsi="宋体" w:eastAsia="宋体" w:cs="宋体"/>
                <w:color w:val="auto"/>
                <w:sz w:val="21"/>
                <w:szCs w:val="21"/>
              </w:rPr>
            </w:pPr>
          </w:p>
        </w:tc>
        <w:tc>
          <w:tcPr>
            <w:tcW w:w="1312" w:type="dxa"/>
            <w:vMerge w:val="continue"/>
            <w:tcBorders>
              <w:tl2br w:val="nil"/>
              <w:tr2bl w:val="nil"/>
            </w:tcBorders>
            <w:shd w:val="clear" w:color="auto" w:fill="auto"/>
            <w:noWrap/>
            <w:vAlign w:val="center"/>
          </w:tcPr>
          <w:p>
            <w:pPr>
              <w:rPr>
                <w:rFonts w:hAnsi="宋体" w:eastAsia="宋体" w:cs="宋体"/>
                <w:color w:val="auto"/>
                <w:sz w:val="21"/>
                <w:szCs w:val="21"/>
              </w:rPr>
            </w:pPr>
          </w:p>
        </w:tc>
      </w:tr>
    </w:tbl>
    <w:p>
      <w:pPr>
        <w:pStyle w:val="358"/>
        <w:rPr>
          <w:rFonts w:ascii="Times New Roman" w:hAnsi="Times New Roman" w:cs="Times New Roman"/>
          <w:color w:val="auto"/>
        </w:rPr>
        <w:sectPr>
          <w:pgSz w:w="16838" w:h="11906" w:orient="landscape"/>
          <w:pgMar w:top="1803" w:right="1440" w:bottom="1803" w:left="1440" w:header="850" w:footer="992" w:gutter="0"/>
          <w:pgNumType w:fmt="decimal"/>
          <w:cols w:space="720" w:num="1"/>
          <w:docGrid w:type="linesAndChars" w:linePitch="319" w:charSpace="1724"/>
        </w:sectPr>
      </w:pPr>
    </w:p>
    <w:bookmarkEnd w:id="309"/>
    <w:p>
      <w:pPr>
        <w:spacing w:line="360" w:lineRule="auto"/>
        <w:outlineLvl w:val="3"/>
        <w:rPr>
          <w:rFonts w:hint="eastAsia" w:ascii="Times New Roman" w:hAnsi="Times New Roman" w:eastAsia="宋体" w:cs="Times New Roman"/>
          <w:color w:val="auto"/>
          <w:kern w:val="2"/>
        </w:rPr>
      </w:pPr>
      <w:r>
        <w:rPr>
          <w:rFonts w:hint="eastAsia" w:ascii="Times New Roman" w:hAnsi="Times New Roman" w:eastAsia="宋体" w:cs="Times New Roman"/>
          <w:color w:val="auto"/>
          <w:kern w:val="2"/>
        </w:rPr>
        <w:t>（3）噪声</w:t>
      </w:r>
    </w:p>
    <w:p>
      <w:pPr>
        <w:widowControl/>
        <w:spacing w:line="360" w:lineRule="auto"/>
        <w:ind w:firstLine="496" w:firstLineChars="200"/>
        <w:rPr>
          <w:rFonts w:ascii="Times New Roman" w:eastAsia="宋体"/>
          <w:color w:val="auto"/>
        </w:rPr>
      </w:pPr>
      <w:r>
        <w:rPr>
          <w:rFonts w:ascii="Times New Roman" w:eastAsia="宋体"/>
          <w:color w:val="auto"/>
        </w:rPr>
        <w:t>本项目噪声污染源主要是鸡叫声，泵类、风机等设备运转噪声。噪声源强在60~90dB（A）之间。项目主要噪声源分布情况见表</w:t>
      </w:r>
      <w:r>
        <w:rPr>
          <w:rFonts w:hint="eastAsia" w:ascii="Times New Roman" w:eastAsia="宋体"/>
          <w:color w:val="auto"/>
        </w:rPr>
        <w:t>3.3-</w:t>
      </w:r>
      <w:r>
        <w:rPr>
          <w:rFonts w:ascii="Times New Roman" w:eastAsia="宋体"/>
          <w:color w:val="auto"/>
        </w:rPr>
        <w:t>1</w:t>
      </w:r>
      <w:r>
        <w:rPr>
          <w:rFonts w:hint="eastAsia" w:ascii="Times New Roman" w:eastAsia="宋体"/>
          <w:color w:val="auto"/>
        </w:rPr>
        <w:t>4</w:t>
      </w:r>
      <w:r>
        <w:rPr>
          <w:rFonts w:ascii="Times New Roman" w:eastAsia="宋体"/>
          <w:color w:val="auto"/>
        </w:rPr>
        <w:t>。</w:t>
      </w:r>
    </w:p>
    <w:p>
      <w:pPr>
        <w:pStyle w:val="358"/>
        <w:spacing w:beforeLines="50"/>
        <w:jc w:val="center"/>
        <w:rPr>
          <w:rFonts w:ascii="Times New Roman" w:hAnsi="Times New Roman" w:eastAsia="宋体" w:cs="Times New Roman"/>
          <w:b/>
          <w:bCs/>
          <w:color w:val="auto"/>
        </w:rPr>
      </w:pPr>
      <w:bookmarkStart w:id="312" w:name="_Ref485806876"/>
      <w:r>
        <w:rPr>
          <w:rFonts w:ascii="Times New Roman" w:hAnsi="Times New Roman" w:eastAsia="宋体" w:cs="Times New Roman"/>
          <w:b/>
          <w:bCs/>
          <w:color w:val="auto"/>
        </w:rPr>
        <w:t>表</w:t>
      </w:r>
      <w:bookmarkEnd w:id="312"/>
      <w:r>
        <w:rPr>
          <w:rFonts w:hint="eastAsia" w:ascii="Times New Roman" w:hAnsi="Times New Roman" w:eastAsia="宋体" w:cs="Times New Roman"/>
          <w:b/>
          <w:bCs/>
          <w:color w:val="auto"/>
        </w:rPr>
        <w:t>3.3-</w:t>
      </w:r>
      <w:r>
        <w:rPr>
          <w:rFonts w:ascii="Times New Roman" w:hAnsi="Times New Roman" w:eastAsia="宋体" w:cs="Times New Roman"/>
          <w:b/>
          <w:bCs/>
          <w:color w:val="auto"/>
        </w:rPr>
        <w:t>1</w:t>
      </w:r>
      <w:r>
        <w:rPr>
          <w:rFonts w:hint="eastAsia" w:ascii="Times New Roman" w:hAnsi="Times New Roman" w:eastAsia="宋体" w:cs="Times New Roman"/>
          <w:b/>
          <w:bCs/>
          <w:color w:val="auto"/>
        </w:rPr>
        <w:t>4</w:t>
      </w:r>
      <w:r>
        <w:rPr>
          <w:rFonts w:ascii="Times New Roman" w:hAnsi="Times New Roman" w:eastAsia="宋体" w:cs="Times New Roman"/>
          <w:b/>
          <w:bCs/>
          <w:color w:val="auto"/>
        </w:rPr>
        <w:t>噪声源分布情况一览表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84"/>
        <w:gridCol w:w="1748"/>
        <w:gridCol w:w="770"/>
        <w:gridCol w:w="1139"/>
        <w:gridCol w:w="2601"/>
        <w:gridCol w:w="137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884"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噪声源</w:t>
            </w:r>
          </w:p>
        </w:tc>
        <w:tc>
          <w:tcPr>
            <w:tcW w:w="1748"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主要噪声设备</w:t>
            </w:r>
          </w:p>
        </w:tc>
        <w:tc>
          <w:tcPr>
            <w:tcW w:w="770" w:type="dxa"/>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hint="eastAsia" w:ascii="Times New Roman" w:eastAsia="宋体"/>
                <w:b/>
                <w:bCs/>
                <w:color w:val="auto"/>
                <w:sz w:val="21"/>
                <w:szCs w:val="21"/>
              </w:rPr>
              <w:t>数量</w:t>
            </w:r>
          </w:p>
        </w:tc>
        <w:tc>
          <w:tcPr>
            <w:tcW w:w="1139" w:type="dxa"/>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ascii="Times New Roman" w:eastAsia="宋体"/>
                <w:b/>
                <w:bCs/>
                <w:color w:val="auto"/>
                <w:sz w:val="21"/>
                <w:szCs w:val="21"/>
              </w:rPr>
              <w:t>声压级dB(A)</w:t>
            </w:r>
          </w:p>
        </w:tc>
        <w:tc>
          <w:tcPr>
            <w:tcW w:w="2601"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治理措施</w:t>
            </w:r>
          </w:p>
        </w:tc>
        <w:tc>
          <w:tcPr>
            <w:tcW w:w="1374" w:type="dxa"/>
            <w:tcBorders>
              <w:tl2br w:val="nil"/>
              <w:tr2bl w:val="nil"/>
            </w:tcBorders>
            <w:vAlign w:val="center"/>
          </w:tcPr>
          <w:p>
            <w:pPr>
              <w:jc w:val="center"/>
              <w:rPr>
                <w:rFonts w:ascii="Times New Roman" w:eastAsia="宋体"/>
                <w:b/>
                <w:bCs/>
                <w:color w:val="auto"/>
                <w:sz w:val="21"/>
                <w:szCs w:val="21"/>
              </w:rPr>
            </w:pPr>
            <w:r>
              <w:rPr>
                <w:rFonts w:hint="eastAsia" w:ascii="Times New Roman" w:eastAsia="宋体"/>
                <w:b/>
                <w:bCs/>
                <w:color w:val="auto"/>
                <w:sz w:val="21"/>
                <w:szCs w:val="21"/>
              </w:rPr>
              <w:t>所在位置</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884"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泵房</w:t>
            </w:r>
          </w:p>
        </w:tc>
        <w:tc>
          <w:tcPr>
            <w:tcW w:w="1748"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水泵</w:t>
            </w:r>
          </w:p>
        </w:tc>
        <w:tc>
          <w:tcPr>
            <w:tcW w:w="770"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1个</w:t>
            </w:r>
          </w:p>
        </w:tc>
        <w:tc>
          <w:tcPr>
            <w:tcW w:w="1139"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70~80</w:t>
            </w:r>
          </w:p>
        </w:tc>
        <w:tc>
          <w:tcPr>
            <w:tcW w:w="2601"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减振支座、隔声操作室等</w:t>
            </w:r>
          </w:p>
        </w:tc>
        <w:tc>
          <w:tcPr>
            <w:tcW w:w="1374" w:type="dxa"/>
            <w:vMerge w:val="restart"/>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泵房</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884" w:type="dxa"/>
            <w:vMerge w:val="continue"/>
            <w:tcBorders>
              <w:tl2br w:val="nil"/>
              <w:tr2bl w:val="nil"/>
            </w:tcBorders>
            <w:vAlign w:val="center"/>
          </w:tcPr>
          <w:p>
            <w:pPr>
              <w:jc w:val="center"/>
              <w:rPr>
                <w:rFonts w:ascii="Times New Roman" w:eastAsia="宋体"/>
                <w:color w:val="auto"/>
                <w:sz w:val="21"/>
                <w:szCs w:val="21"/>
              </w:rPr>
            </w:pPr>
          </w:p>
        </w:tc>
        <w:tc>
          <w:tcPr>
            <w:tcW w:w="1748"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排污泵</w:t>
            </w:r>
          </w:p>
        </w:tc>
        <w:tc>
          <w:tcPr>
            <w:tcW w:w="770"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1个</w:t>
            </w:r>
          </w:p>
        </w:tc>
        <w:tc>
          <w:tcPr>
            <w:tcW w:w="1139"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85~90</w:t>
            </w:r>
          </w:p>
        </w:tc>
        <w:tc>
          <w:tcPr>
            <w:tcW w:w="2601"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减振支座、隔声操作室等</w:t>
            </w:r>
          </w:p>
        </w:tc>
        <w:tc>
          <w:tcPr>
            <w:tcW w:w="1374" w:type="dxa"/>
            <w:vMerge w:val="continue"/>
            <w:tcBorders>
              <w:tl2br w:val="nil"/>
              <w:tr2bl w:val="nil"/>
            </w:tcBorders>
            <w:vAlign w:val="center"/>
          </w:tcPr>
          <w:p>
            <w:pPr>
              <w:autoSpaceDE w:val="0"/>
              <w:autoSpaceDN w:val="0"/>
              <w:adjustRightInd w:val="0"/>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884"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锅炉</w:t>
            </w:r>
          </w:p>
        </w:tc>
        <w:tc>
          <w:tcPr>
            <w:tcW w:w="1748"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引风机、送风机</w:t>
            </w:r>
          </w:p>
        </w:tc>
        <w:tc>
          <w:tcPr>
            <w:tcW w:w="770"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2个</w:t>
            </w:r>
          </w:p>
        </w:tc>
        <w:tc>
          <w:tcPr>
            <w:tcW w:w="1139"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85~90</w:t>
            </w:r>
          </w:p>
        </w:tc>
        <w:tc>
          <w:tcPr>
            <w:tcW w:w="2601"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消声装置等</w:t>
            </w:r>
          </w:p>
        </w:tc>
        <w:tc>
          <w:tcPr>
            <w:tcW w:w="1374"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锅炉房</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884"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鸡舍</w:t>
            </w:r>
          </w:p>
        </w:tc>
        <w:tc>
          <w:tcPr>
            <w:tcW w:w="1748"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舍</w:t>
            </w:r>
            <w:r>
              <w:rPr>
                <w:rFonts w:ascii="Times New Roman" w:eastAsia="宋体"/>
                <w:color w:val="auto"/>
                <w:sz w:val="21"/>
                <w:szCs w:val="21"/>
              </w:rPr>
              <w:t>间排气风机</w:t>
            </w:r>
          </w:p>
        </w:tc>
        <w:tc>
          <w:tcPr>
            <w:tcW w:w="770"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40个</w:t>
            </w:r>
          </w:p>
        </w:tc>
        <w:tc>
          <w:tcPr>
            <w:tcW w:w="1139"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80~90</w:t>
            </w:r>
          </w:p>
        </w:tc>
        <w:tc>
          <w:tcPr>
            <w:tcW w:w="2601"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消声装置、减振支座等</w:t>
            </w:r>
          </w:p>
        </w:tc>
        <w:tc>
          <w:tcPr>
            <w:tcW w:w="1374"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鸡舍</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884"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饲养</w:t>
            </w:r>
          </w:p>
        </w:tc>
        <w:tc>
          <w:tcPr>
            <w:tcW w:w="1748"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鸡</w:t>
            </w:r>
            <w:r>
              <w:rPr>
                <w:rFonts w:hint="eastAsia" w:ascii="Times New Roman" w:eastAsia="宋体"/>
                <w:color w:val="auto"/>
                <w:sz w:val="21"/>
                <w:szCs w:val="21"/>
              </w:rPr>
              <w:t>叫声</w:t>
            </w:r>
          </w:p>
        </w:tc>
        <w:tc>
          <w:tcPr>
            <w:tcW w:w="770"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hint="eastAsia" w:ascii="Times New Roman" w:eastAsia="宋体"/>
                <w:color w:val="auto"/>
                <w:sz w:val="21"/>
                <w:szCs w:val="21"/>
              </w:rPr>
              <w:t>若干</w:t>
            </w:r>
          </w:p>
        </w:tc>
        <w:tc>
          <w:tcPr>
            <w:tcW w:w="1139"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60~70</w:t>
            </w:r>
          </w:p>
        </w:tc>
        <w:tc>
          <w:tcPr>
            <w:tcW w:w="2601" w:type="dxa"/>
            <w:tcBorders>
              <w:tl2br w:val="nil"/>
              <w:tr2bl w:val="nil"/>
            </w:tcBorders>
            <w:vAlign w:val="center"/>
          </w:tcPr>
          <w:p>
            <w:pPr>
              <w:autoSpaceDE w:val="0"/>
              <w:autoSpaceDN w:val="0"/>
              <w:adjustRightInd w:val="0"/>
              <w:jc w:val="center"/>
              <w:rPr>
                <w:rFonts w:ascii="Times New Roman" w:eastAsia="宋体"/>
                <w:color w:val="auto"/>
                <w:sz w:val="21"/>
                <w:szCs w:val="21"/>
              </w:rPr>
            </w:pPr>
            <w:r>
              <w:rPr>
                <w:rFonts w:ascii="Times New Roman" w:eastAsia="宋体"/>
                <w:color w:val="auto"/>
                <w:sz w:val="21"/>
                <w:szCs w:val="21"/>
              </w:rPr>
              <w:t>间歇性噪声</w:t>
            </w:r>
          </w:p>
        </w:tc>
        <w:tc>
          <w:tcPr>
            <w:tcW w:w="1374"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鸡舍</w:t>
            </w:r>
          </w:p>
        </w:tc>
      </w:tr>
    </w:tbl>
    <w:p>
      <w:pPr>
        <w:spacing w:line="360" w:lineRule="auto"/>
        <w:outlineLvl w:val="3"/>
        <w:rPr>
          <w:rFonts w:hint="eastAsia" w:ascii="Times New Roman" w:hAnsi="Times New Roman" w:eastAsia="宋体" w:cs="Times New Roman"/>
          <w:color w:val="auto"/>
          <w:kern w:val="2"/>
        </w:rPr>
      </w:pPr>
      <w:r>
        <w:rPr>
          <w:rFonts w:hint="eastAsia" w:ascii="Times New Roman" w:hAnsi="Times New Roman" w:eastAsia="宋体" w:cs="Times New Roman"/>
          <w:color w:val="auto"/>
          <w:kern w:val="2"/>
        </w:rPr>
        <w:t>（4）固体废物</w:t>
      </w:r>
    </w:p>
    <w:p>
      <w:pPr>
        <w:widowControl/>
        <w:spacing w:line="360" w:lineRule="auto"/>
        <w:ind w:firstLine="496" w:firstLineChars="200"/>
        <w:rPr>
          <w:rFonts w:ascii="Times New Roman" w:eastAsia="宋体"/>
          <w:color w:val="auto"/>
        </w:rPr>
      </w:pPr>
      <w:r>
        <w:rPr>
          <w:rFonts w:ascii="Times New Roman" w:eastAsia="宋体"/>
          <w:color w:val="auto"/>
        </w:rPr>
        <w:t>建设项目投产后，</w:t>
      </w:r>
      <w:r>
        <w:rPr>
          <w:rFonts w:hint="eastAsia" w:ascii="Times New Roman" w:eastAsia="宋体"/>
          <w:color w:val="auto"/>
        </w:rPr>
        <w:t>固体</w:t>
      </w:r>
      <w:r>
        <w:rPr>
          <w:rFonts w:ascii="Times New Roman" w:eastAsia="宋体"/>
          <w:color w:val="auto"/>
        </w:rPr>
        <w:t>废物主要包括鸡粪、病死鸡、职工生活垃圾、</w:t>
      </w:r>
      <w:r>
        <w:rPr>
          <w:rFonts w:hint="eastAsia" w:ascii="Times New Roman" w:eastAsia="宋体"/>
          <w:color w:val="auto"/>
        </w:rPr>
        <w:t>锅炉灰渣</w:t>
      </w:r>
      <w:r>
        <w:rPr>
          <w:rFonts w:ascii="Times New Roman" w:eastAsia="宋体"/>
          <w:color w:val="auto"/>
        </w:rPr>
        <w:t>、</w:t>
      </w:r>
      <w:r>
        <w:rPr>
          <w:rFonts w:hint="eastAsia" w:ascii="Times New Roman" w:eastAsia="宋体"/>
          <w:color w:val="auto"/>
        </w:rPr>
        <w:t>物料废包装物、废布袋及除尘灰、及医疗废物</w:t>
      </w:r>
      <w:r>
        <w:rPr>
          <w:rFonts w:ascii="Times New Roman" w:eastAsia="宋体"/>
          <w:color w:val="auto"/>
        </w:rPr>
        <w:t>等。</w:t>
      </w:r>
    </w:p>
    <w:p>
      <w:pPr>
        <w:spacing w:line="360" w:lineRule="auto"/>
        <w:ind w:firstLine="496" w:firstLineChars="200"/>
        <w:rPr>
          <w:rFonts w:ascii="Times New Roman" w:eastAsia="宋体"/>
          <w:color w:val="auto"/>
        </w:rPr>
      </w:pPr>
      <w:r>
        <w:rPr>
          <w:rFonts w:ascii="Times New Roman" w:eastAsia="宋体"/>
          <w:color w:val="auto"/>
        </w:rPr>
        <w:t>①鸡粪</w:t>
      </w:r>
      <w:r>
        <w:rPr>
          <w:rFonts w:hint="eastAsia" w:ascii="Times New Roman" w:eastAsia="宋体"/>
          <w:color w:val="auto"/>
        </w:rPr>
        <w:t>、饲料残渣和落地羽毛</w:t>
      </w:r>
    </w:p>
    <w:p>
      <w:pPr>
        <w:widowControl/>
        <w:spacing w:line="360" w:lineRule="auto"/>
        <w:ind w:firstLine="496" w:firstLineChars="200"/>
        <w:rPr>
          <w:rFonts w:ascii="Times New Roman" w:eastAsia="宋体"/>
          <w:color w:val="auto"/>
        </w:rPr>
      </w:pPr>
      <w:r>
        <w:rPr>
          <w:rFonts w:ascii="Times New Roman" w:eastAsia="宋体"/>
          <w:color w:val="auto"/>
        </w:rPr>
        <w:t>根据《排污许可证申请与核发技术规范-畜禽养殖行业》（HJ1029-2019）中“表9 各类畜禽污染物产生量”可知，肉鸡粪便产生量为0.11kg/只·d，本项目年出栏量为</w:t>
      </w:r>
      <w:r>
        <w:rPr>
          <w:rFonts w:hint="eastAsia" w:ascii="Times New Roman" w:eastAsia="宋体"/>
          <w:color w:val="auto"/>
        </w:rPr>
        <w:t>100</w:t>
      </w:r>
      <w:r>
        <w:rPr>
          <w:rFonts w:ascii="Times New Roman" w:eastAsia="宋体"/>
          <w:color w:val="auto"/>
        </w:rPr>
        <w:t>万只，每只鸡年存栏天数为</w:t>
      </w:r>
      <w:r>
        <w:rPr>
          <w:rFonts w:hint="eastAsia" w:ascii="Times New Roman" w:eastAsia="宋体"/>
          <w:color w:val="auto"/>
        </w:rPr>
        <w:t>60</w:t>
      </w:r>
      <w:r>
        <w:rPr>
          <w:rFonts w:ascii="Times New Roman" w:eastAsia="宋体"/>
          <w:color w:val="auto"/>
        </w:rPr>
        <w:t>天，全年共计饲养</w:t>
      </w:r>
      <w:r>
        <w:rPr>
          <w:rFonts w:hint="eastAsia" w:ascii="Times New Roman" w:eastAsia="宋体"/>
          <w:color w:val="auto"/>
        </w:rPr>
        <w:t>4</w:t>
      </w:r>
      <w:r>
        <w:rPr>
          <w:rFonts w:ascii="Times New Roman" w:eastAsia="宋体"/>
          <w:color w:val="auto"/>
        </w:rPr>
        <w:t>批</w:t>
      </w:r>
      <w:r>
        <w:rPr>
          <w:rFonts w:hint="eastAsia" w:ascii="Times New Roman" w:eastAsia="宋体"/>
          <w:color w:val="auto"/>
        </w:rPr>
        <w:t>，</w:t>
      </w:r>
      <w:r>
        <w:rPr>
          <w:rFonts w:ascii="Times New Roman" w:eastAsia="宋体"/>
          <w:color w:val="auto"/>
        </w:rPr>
        <w:t>则鸡粪总产生量为</w:t>
      </w:r>
      <w:r>
        <w:rPr>
          <w:rFonts w:hint="eastAsia" w:ascii="Times New Roman" w:eastAsia="宋体"/>
          <w:color w:val="auto"/>
        </w:rPr>
        <w:t>6600</w:t>
      </w:r>
      <w:r>
        <w:rPr>
          <w:rFonts w:ascii="Times New Roman" w:eastAsia="宋体"/>
          <w:color w:val="auto"/>
        </w:rPr>
        <w:t>t/a</w:t>
      </w:r>
      <w:r>
        <w:rPr>
          <w:rFonts w:hint="eastAsia" w:ascii="Times New Roman" w:eastAsia="宋体"/>
          <w:color w:val="auto"/>
        </w:rPr>
        <w:t>，</w:t>
      </w:r>
      <w:r>
        <w:rPr>
          <w:rFonts w:ascii="Times New Roman" w:eastAsia="宋体"/>
          <w:color w:val="auto"/>
        </w:rPr>
        <w:t>采用干清粪工艺能清除95%的鸡粪，则本项目鸡粪产生量为</w:t>
      </w:r>
      <w:r>
        <w:rPr>
          <w:rFonts w:hint="eastAsia" w:ascii="Times New Roman" w:eastAsia="宋体"/>
          <w:color w:val="auto"/>
        </w:rPr>
        <w:t>26.12</w:t>
      </w:r>
      <w:r>
        <w:rPr>
          <w:rFonts w:ascii="Times New Roman" w:eastAsia="宋体"/>
          <w:color w:val="auto"/>
        </w:rPr>
        <w:t>t/d，</w:t>
      </w:r>
      <w:r>
        <w:rPr>
          <w:rFonts w:hint="eastAsia" w:ascii="Times New Roman" w:eastAsia="宋体"/>
          <w:color w:val="auto"/>
        </w:rPr>
        <w:t>6270</w:t>
      </w:r>
      <w:r>
        <w:rPr>
          <w:rFonts w:ascii="Times New Roman" w:eastAsia="宋体"/>
          <w:color w:val="auto"/>
        </w:rPr>
        <w:t>t/a。</w:t>
      </w:r>
    </w:p>
    <w:p>
      <w:pPr>
        <w:spacing w:line="360" w:lineRule="auto"/>
        <w:ind w:firstLine="496" w:firstLineChars="200"/>
        <w:rPr>
          <w:rFonts w:ascii="Times New Roman" w:eastAsia="宋体"/>
          <w:color w:val="auto"/>
        </w:rPr>
      </w:pPr>
      <w:r>
        <w:rPr>
          <w:rFonts w:hint="eastAsia" w:ascii="Times New Roman" w:eastAsia="宋体"/>
          <w:color w:val="auto"/>
        </w:rPr>
        <w:t>饲料残渣及散落的毛羽在清粪时一并清理，根据对比湘佳牧业同类养殖场及业主提供的数据估算，产生量为0. 05t/d ，合计产生12t/a 。</w:t>
      </w:r>
    </w:p>
    <w:p>
      <w:pPr>
        <w:widowControl/>
        <w:spacing w:line="360" w:lineRule="auto"/>
        <w:ind w:firstLine="496" w:firstLineChars="200"/>
        <w:rPr>
          <w:rFonts w:ascii="Times New Roman" w:eastAsia="宋体"/>
          <w:color w:val="auto"/>
        </w:rPr>
      </w:pPr>
      <w:r>
        <w:rPr>
          <w:rFonts w:ascii="Times New Roman" w:eastAsia="宋体"/>
          <w:color w:val="auto"/>
        </w:rPr>
        <w:t>在我国动物粪便的利用率极低，甚至被当做废物丢弃，资源没有得到很好的利用。本项目鸡粪</w:t>
      </w:r>
      <w:r>
        <w:rPr>
          <w:rFonts w:hint="eastAsia" w:ascii="Times New Roman" w:eastAsia="宋体"/>
          <w:color w:val="auto"/>
        </w:rPr>
        <w:t>、饲料残渣及散落的毛羽</w:t>
      </w:r>
      <w:r>
        <w:rPr>
          <w:rFonts w:ascii="Times New Roman" w:eastAsia="宋体"/>
          <w:color w:val="auto"/>
        </w:rPr>
        <w:t>通过自动清粪机收集后</w:t>
      </w:r>
      <w:r>
        <w:rPr>
          <w:rFonts w:hint="eastAsia" w:ascii="Times New Roman" w:eastAsia="宋体"/>
          <w:color w:val="auto"/>
        </w:rPr>
        <w:t>，</w:t>
      </w:r>
      <w:r>
        <w:rPr>
          <w:rFonts w:ascii="Times New Roman" w:eastAsia="宋体"/>
          <w:color w:val="auto"/>
        </w:rPr>
        <w:t>外售给有机肥料加工厂，制作</w:t>
      </w:r>
      <w:r>
        <w:rPr>
          <w:rFonts w:hint="eastAsia" w:ascii="Times New Roman" w:eastAsia="宋体"/>
          <w:color w:val="auto"/>
        </w:rPr>
        <w:t>有</w:t>
      </w:r>
      <w:r>
        <w:rPr>
          <w:rFonts w:ascii="Times New Roman" w:eastAsia="宋体"/>
          <w:color w:val="auto"/>
        </w:rPr>
        <w:t>肥料，满足《畜禽养殖业污染治理工程技术规范》（HT497-2009）相关要求。</w:t>
      </w:r>
    </w:p>
    <w:p>
      <w:pPr>
        <w:spacing w:line="360" w:lineRule="auto"/>
        <w:ind w:firstLine="496" w:firstLineChars="200"/>
        <w:rPr>
          <w:rFonts w:ascii="Times New Roman" w:eastAsia="宋体"/>
          <w:color w:val="auto"/>
          <w:szCs w:val="24"/>
        </w:rPr>
      </w:pPr>
      <w:r>
        <w:rPr>
          <w:rFonts w:ascii="Times New Roman" w:eastAsia="宋体"/>
          <w:bCs/>
          <w:color w:val="auto"/>
          <w:szCs w:val="24"/>
        </w:rPr>
        <w:t>②</w:t>
      </w:r>
      <w:r>
        <w:rPr>
          <w:rFonts w:ascii="Times New Roman" w:eastAsia="宋体"/>
          <w:color w:val="auto"/>
          <w:szCs w:val="24"/>
        </w:rPr>
        <w:t>病死鸡</w:t>
      </w:r>
    </w:p>
    <w:p>
      <w:pPr>
        <w:spacing w:line="360" w:lineRule="auto"/>
        <w:ind w:firstLine="496" w:firstLineChars="200"/>
        <w:rPr>
          <w:rFonts w:ascii="Times New Roman" w:eastAsia="宋体"/>
          <w:color w:val="auto"/>
          <w:szCs w:val="24"/>
        </w:rPr>
      </w:pPr>
      <w:r>
        <w:rPr>
          <w:rFonts w:ascii="Times New Roman" w:eastAsia="宋体"/>
          <w:color w:val="auto"/>
          <w:szCs w:val="24"/>
        </w:rPr>
        <w:t>本项目年出栏肉鸡量为</w:t>
      </w:r>
      <w:r>
        <w:rPr>
          <w:rFonts w:hint="eastAsia" w:ascii="Times New Roman" w:eastAsia="宋体"/>
          <w:color w:val="auto"/>
          <w:szCs w:val="24"/>
        </w:rPr>
        <w:t>100万</w:t>
      </w:r>
      <w:r>
        <w:rPr>
          <w:rFonts w:ascii="Times New Roman" w:eastAsia="宋体"/>
          <w:color w:val="auto"/>
          <w:szCs w:val="24"/>
        </w:rPr>
        <w:t>只/a，根据行业经验，雏鸡的损耗为0.</w:t>
      </w:r>
      <w:r>
        <w:rPr>
          <w:rFonts w:hint="eastAsia" w:ascii="Times New Roman" w:eastAsia="宋体"/>
          <w:color w:val="auto"/>
          <w:szCs w:val="24"/>
        </w:rPr>
        <w:t>3</w:t>
      </w:r>
      <w:r>
        <w:rPr>
          <w:rFonts w:ascii="Times New Roman" w:eastAsia="宋体"/>
          <w:color w:val="auto"/>
          <w:szCs w:val="24"/>
        </w:rPr>
        <w:t>%，每年</w:t>
      </w:r>
      <w:r>
        <w:rPr>
          <w:rFonts w:hint="eastAsia" w:ascii="Times New Roman" w:eastAsia="宋体"/>
          <w:color w:val="auto"/>
          <w:szCs w:val="24"/>
        </w:rPr>
        <w:t>3000</w:t>
      </w:r>
      <w:r>
        <w:rPr>
          <w:rFonts w:ascii="Times New Roman" w:eastAsia="宋体"/>
          <w:color w:val="auto"/>
          <w:szCs w:val="24"/>
        </w:rPr>
        <w:t>只病死雏鸡，均重按0.2kg/只计，病死雏鸡产生量为</w:t>
      </w:r>
      <w:r>
        <w:rPr>
          <w:rFonts w:hint="eastAsia" w:ascii="Times New Roman" w:eastAsia="宋体"/>
          <w:color w:val="auto"/>
          <w:szCs w:val="24"/>
        </w:rPr>
        <w:t>0.6</w:t>
      </w:r>
      <w:r>
        <w:rPr>
          <w:rFonts w:ascii="Times New Roman" w:eastAsia="宋体"/>
          <w:color w:val="auto"/>
          <w:szCs w:val="24"/>
        </w:rPr>
        <w:t>t/a；成鸡的损耗为0.1%，每年</w:t>
      </w:r>
      <w:r>
        <w:rPr>
          <w:rFonts w:hint="eastAsia" w:ascii="Times New Roman" w:eastAsia="宋体"/>
          <w:color w:val="auto"/>
          <w:szCs w:val="24"/>
        </w:rPr>
        <w:t>1000</w:t>
      </w:r>
      <w:r>
        <w:rPr>
          <w:rFonts w:ascii="Times New Roman" w:eastAsia="宋体"/>
          <w:color w:val="auto"/>
          <w:szCs w:val="24"/>
        </w:rPr>
        <w:t>只病死肉鸡，均重按1.6kg/只计，病死肉鸡产生量为</w:t>
      </w:r>
      <w:r>
        <w:rPr>
          <w:rFonts w:hint="eastAsia" w:ascii="Times New Roman" w:eastAsia="宋体"/>
          <w:color w:val="auto"/>
          <w:szCs w:val="24"/>
        </w:rPr>
        <w:t>1.6</w:t>
      </w:r>
      <w:r>
        <w:rPr>
          <w:rFonts w:ascii="Times New Roman" w:eastAsia="宋体"/>
          <w:color w:val="auto"/>
          <w:szCs w:val="24"/>
        </w:rPr>
        <w:t>t/a。综上，本项目病死鸡年产生量为</w:t>
      </w:r>
      <w:r>
        <w:rPr>
          <w:rFonts w:hint="eastAsia" w:ascii="Times New Roman" w:eastAsia="宋体"/>
          <w:color w:val="auto"/>
          <w:szCs w:val="24"/>
        </w:rPr>
        <w:t>2.2</w:t>
      </w:r>
      <w:r>
        <w:rPr>
          <w:rFonts w:ascii="Times New Roman" w:eastAsia="宋体"/>
          <w:color w:val="auto"/>
          <w:szCs w:val="24"/>
        </w:rPr>
        <w:t>t/a，应严格按照《畜禽养殖业污染防治技术规范》（HJ/T81-2001）中对于病死畜禽尸体的处理与处置规定：病死畜禽尸体要及时处理，严禁随意丢弃，严禁出售或作为饲料再利用。</w:t>
      </w:r>
    </w:p>
    <w:p>
      <w:pPr>
        <w:spacing w:line="360" w:lineRule="auto"/>
        <w:ind w:firstLine="496" w:firstLineChars="200"/>
        <w:rPr>
          <w:rFonts w:ascii="Times New Roman" w:eastAsia="宋体"/>
          <w:color w:val="auto"/>
          <w:szCs w:val="24"/>
        </w:rPr>
      </w:pPr>
      <w:r>
        <w:rPr>
          <w:rFonts w:ascii="Times New Roman" w:eastAsia="宋体"/>
          <w:color w:val="auto"/>
          <w:szCs w:val="24"/>
        </w:rPr>
        <w:t>根据《中华人民共和国环境保护部办公厅关于病害动物无害化处理有关意见的复函》（环办函[2014]789 号）：“为防治动物传染病而需要收集和处置的废物’被列入《国家危险废物名录》中，编号为900-001-01。但是，根据法律位阶高于部门规章的法律适用规则，病害动物的无害化处理应执行《动物防疫法》。我部认为病害动物无害化处理项目由农业部门按照有关法律法规和技术规范进行监管，可以实现病害动物无害化处理和环境污染防控的目的，不宜再认定为危险废物集中处置项目”，根据以上规定，病死鸡不属于危险废物。</w:t>
      </w:r>
    </w:p>
    <w:p>
      <w:pPr>
        <w:spacing w:line="360" w:lineRule="auto"/>
        <w:ind w:firstLine="496" w:firstLineChars="200"/>
        <w:rPr>
          <w:rFonts w:ascii="Times New Roman" w:eastAsia="宋体"/>
          <w:color w:val="auto"/>
          <w:szCs w:val="24"/>
        </w:rPr>
      </w:pPr>
      <w:r>
        <w:rPr>
          <w:rFonts w:ascii="Times New Roman" w:eastAsia="宋体"/>
          <w:color w:val="auto"/>
          <w:szCs w:val="24"/>
        </w:rPr>
        <w:t>本项目病死鸡</w:t>
      </w:r>
      <w:r>
        <w:rPr>
          <w:rFonts w:hint="eastAsia" w:ascii="Times New Roman" w:eastAsia="宋体"/>
          <w:color w:val="auto"/>
          <w:szCs w:val="24"/>
        </w:rPr>
        <w:t>暂存冷藏柜，并定期</w:t>
      </w:r>
      <w:r>
        <w:rPr>
          <w:rFonts w:hint="eastAsia" w:ascii="Times New Roman" w:eastAsia="宋体"/>
          <w:color w:val="auto"/>
          <w:szCs w:val="24"/>
          <w:lang w:val="en-US" w:eastAsia="zh-CN"/>
        </w:rPr>
        <w:t>交由</w:t>
      </w:r>
      <w:r>
        <w:rPr>
          <w:rFonts w:hint="eastAsia" w:ascii="Times New Roman" w:eastAsia="宋体"/>
          <w:color w:val="auto"/>
          <w:szCs w:val="24"/>
        </w:rPr>
        <w:t>岳阳县病死禽无害化处理厂</w:t>
      </w:r>
      <w:r>
        <w:rPr>
          <w:rFonts w:ascii="Times New Roman" w:eastAsia="宋体"/>
          <w:color w:val="auto"/>
          <w:szCs w:val="24"/>
        </w:rPr>
        <w:t>处置。</w:t>
      </w:r>
    </w:p>
    <w:p>
      <w:pPr>
        <w:spacing w:line="360" w:lineRule="auto"/>
        <w:ind w:firstLine="496" w:firstLineChars="200"/>
        <w:rPr>
          <w:rFonts w:ascii="Times New Roman" w:eastAsia="宋体"/>
          <w:color w:val="auto"/>
        </w:rPr>
      </w:pPr>
      <w:r>
        <w:rPr>
          <w:rFonts w:ascii="Times New Roman" w:eastAsia="宋体"/>
          <w:bCs/>
          <w:color w:val="auto"/>
          <w:szCs w:val="24"/>
        </w:rPr>
        <w:t>③</w:t>
      </w:r>
      <w:r>
        <w:rPr>
          <w:rFonts w:ascii="Times New Roman" w:eastAsia="宋体"/>
          <w:color w:val="auto"/>
        </w:rPr>
        <w:t>生活垃圾</w:t>
      </w:r>
    </w:p>
    <w:p>
      <w:pPr>
        <w:spacing w:line="360" w:lineRule="auto"/>
        <w:ind w:firstLine="496" w:firstLineChars="200"/>
        <w:rPr>
          <w:rFonts w:ascii="Times New Roman" w:eastAsia="宋体"/>
          <w:color w:val="auto"/>
        </w:rPr>
      </w:pPr>
      <w:r>
        <w:rPr>
          <w:rFonts w:ascii="Times New Roman" w:eastAsia="宋体"/>
          <w:color w:val="auto"/>
        </w:rPr>
        <w:t>本项目劳动定员</w:t>
      </w:r>
      <w:r>
        <w:rPr>
          <w:rFonts w:hint="eastAsia" w:ascii="Times New Roman" w:eastAsia="宋体"/>
          <w:color w:val="auto"/>
        </w:rPr>
        <w:t>15</w:t>
      </w:r>
      <w:r>
        <w:rPr>
          <w:rFonts w:ascii="Times New Roman" w:eastAsia="宋体"/>
          <w:color w:val="auto"/>
        </w:rPr>
        <w:t>人，人均生活垃圾的产生量按0.8kg/d计算，则生活垃圾的产生量为</w:t>
      </w:r>
      <w:r>
        <w:rPr>
          <w:rFonts w:hint="eastAsia" w:ascii="Times New Roman" w:eastAsia="宋体"/>
          <w:color w:val="auto"/>
        </w:rPr>
        <w:t>3.84</w:t>
      </w:r>
      <w:r>
        <w:rPr>
          <w:rFonts w:ascii="Times New Roman" w:eastAsia="宋体"/>
          <w:color w:val="auto"/>
        </w:rPr>
        <w:t>t/a，由当地环卫部门定期清运</w:t>
      </w:r>
      <w:r>
        <w:rPr>
          <w:rFonts w:hint="eastAsia" w:ascii="Times New Roman" w:eastAsia="宋体"/>
          <w:color w:val="auto"/>
        </w:rPr>
        <w:t>处理</w:t>
      </w:r>
      <w:r>
        <w:rPr>
          <w:rFonts w:ascii="Times New Roman" w:eastAsia="宋体"/>
          <w:color w:val="auto"/>
        </w:rPr>
        <w:t>。</w:t>
      </w:r>
    </w:p>
    <w:p>
      <w:pPr>
        <w:spacing w:line="360" w:lineRule="auto"/>
        <w:ind w:firstLine="496" w:firstLineChars="200"/>
        <w:rPr>
          <w:rFonts w:ascii="Times New Roman" w:eastAsia="宋体"/>
          <w:color w:val="auto"/>
        </w:rPr>
      </w:pPr>
      <w:r>
        <w:rPr>
          <w:rFonts w:ascii="Times New Roman" w:eastAsia="宋体"/>
          <w:color w:val="auto"/>
          <w:szCs w:val="24"/>
        </w:rPr>
        <w:t>④</w:t>
      </w:r>
      <w:r>
        <w:rPr>
          <w:rFonts w:hint="eastAsia" w:ascii="Times New Roman" w:eastAsia="宋体"/>
          <w:color w:val="auto"/>
        </w:rPr>
        <w:t>锅炉灰渣</w:t>
      </w:r>
    </w:p>
    <w:p>
      <w:pPr>
        <w:spacing w:line="360" w:lineRule="auto"/>
        <w:ind w:firstLine="496" w:firstLineChars="200"/>
        <w:rPr>
          <w:rFonts w:ascii="Times New Roman" w:eastAsia="宋体"/>
          <w:color w:val="auto"/>
        </w:rPr>
      </w:pPr>
      <w:r>
        <w:rPr>
          <w:rFonts w:ascii="Times New Roman" w:eastAsia="宋体"/>
          <w:color w:val="auto"/>
        </w:rPr>
        <w:t>生物质燃料经锅炉燃烧后产生的灰渣，俗称草木灰，含有丰富的钾、镁、磷和钙等营养元素，是一种优质的有机肥料，灰渣可全部作为肥料用于当地农业生产。</w:t>
      </w:r>
      <w:r>
        <w:rPr>
          <w:rFonts w:hint="eastAsia" w:ascii="Times New Roman" w:eastAsia="宋体"/>
          <w:color w:val="auto"/>
          <w:lang w:val="en-US" w:eastAsia="zh-CN"/>
        </w:rPr>
        <w:t>根据业主提供资料，</w:t>
      </w:r>
      <w:r>
        <w:rPr>
          <w:rFonts w:ascii="Times New Roman" w:eastAsia="宋体"/>
          <w:color w:val="auto"/>
        </w:rPr>
        <w:t>年产灰渣约</w:t>
      </w:r>
      <w:r>
        <w:rPr>
          <w:rFonts w:hint="eastAsia" w:ascii="Times New Roman" w:eastAsia="宋体"/>
          <w:color w:val="auto"/>
        </w:rPr>
        <w:t>8.5</w:t>
      </w:r>
      <w:r>
        <w:rPr>
          <w:rFonts w:ascii="Times New Roman" w:eastAsia="宋体"/>
          <w:color w:val="auto"/>
        </w:rPr>
        <w:t>t。</w:t>
      </w:r>
    </w:p>
    <w:p>
      <w:pPr>
        <w:spacing w:line="360" w:lineRule="auto"/>
        <w:ind w:firstLine="496" w:firstLineChars="200"/>
        <w:rPr>
          <w:rFonts w:ascii="Times New Roman" w:eastAsia="宋体"/>
          <w:color w:val="auto"/>
        </w:rPr>
      </w:pPr>
      <w:r>
        <w:rPr>
          <w:rFonts w:ascii="Times New Roman" w:eastAsia="宋体"/>
          <w:color w:val="auto"/>
        </w:rPr>
        <w:t>⑤</w:t>
      </w:r>
      <w:r>
        <w:rPr>
          <w:rFonts w:hint="eastAsia" w:ascii="Times New Roman" w:eastAsia="宋体"/>
          <w:color w:val="auto"/>
        </w:rPr>
        <w:t>收尘灰</w:t>
      </w:r>
    </w:p>
    <w:p>
      <w:pPr>
        <w:spacing w:line="360" w:lineRule="auto"/>
        <w:ind w:firstLine="496" w:firstLineChars="200"/>
        <w:rPr>
          <w:rFonts w:ascii="Times New Roman" w:eastAsia="宋体"/>
          <w:color w:val="auto"/>
        </w:rPr>
      </w:pPr>
      <w:r>
        <w:rPr>
          <w:rFonts w:hint="eastAsia" w:ascii="Times New Roman" w:eastAsia="宋体"/>
          <w:color w:val="auto"/>
        </w:rPr>
        <w:t>本项目鸡舍采用生物质锅炉取暖，锅炉采用布袋除尘器除尘，会产生收尘灰，根据除尘效率9</w:t>
      </w:r>
      <w:r>
        <w:rPr>
          <w:rFonts w:hint="eastAsia" w:ascii="Times New Roman" w:eastAsia="宋体"/>
          <w:color w:val="auto"/>
          <w:lang w:val="en-US" w:eastAsia="zh-CN"/>
        </w:rPr>
        <w:t>0</w:t>
      </w:r>
      <w:r>
        <w:rPr>
          <w:rFonts w:hint="eastAsia" w:ascii="Times New Roman" w:eastAsia="宋体"/>
          <w:color w:val="auto"/>
        </w:rPr>
        <w:t>%计算，产生量约为0.</w:t>
      </w:r>
      <w:r>
        <w:rPr>
          <w:rFonts w:hint="eastAsia" w:ascii="Times New Roman" w:eastAsia="宋体"/>
          <w:color w:val="auto"/>
          <w:lang w:val="en-US" w:eastAsia="zh-CN"/>
        </w:rPr>
        <w:t>108</w:t>
      </w:r>
      <w:r>
        <w:rPr>
          <w:rFonts w:hint="eastAsia" w:ascii="Times New Roman" w:eastAsia="宋体"/>
          <w:color w:val="auto"/>
        </w:rPr>
        <w:t>t/a。收尘灰与生物质灰渣一同肥田。</w:t>
      </w:r>
    </w:p>
    <w:p>
      <w:pPr>
        <w:spacing w:line="360" w:lineRule="auto"/>
        <w:ind w:firstLine="496" w:firstLineChars="200"/>
        <w:rPr>
          <w:rFonts w:ascii="Times New Roman" w:eastAsia="宋体"/>
          <w:color w:val="auto"/>
        </w:rPr>
      </w:pPr>
      <w:r>
        <w:rPr>
          <w:rFonts w:hint="eastAsia" w:ascii="Times New Roman" w:eastAsia="宋体"/>
          <w:color w:val="auto"/>
        </w:rPr>
        <w:t>⑥饲料废包装袋</w:t>
      </w:r>
    </w:p>
    <w:p>
      <w:pPr>
        <w:spacing w:line="360" w:lineRule="auto"/>
        <w:ind w:firstLine="496" w:firstLineChars="200"/>
        <w:rPr>
          <w:rFonts w:ascii="Times New Roman" w:eastAsia="宋体"/>
          <w:color w:val="auto"/>
        </w:rPr>
      </w:pPr>
      <w:r>
        <w:rPr>
          <w:rFonts w:hint="eastAsia" w:ascii="Times New Roman" w:eastAsia="宋体"/>
          <w:color w:val="auto"/>
        </w:rPr>
        <w:t>饲料使用过程中会产生一定量的废包装袋，</w:t>
      </w:r>
      <w:r>
        <w:rPr>
          <w:rFonts w:ascii="Times New Roman" w:eastAsia="宋体"/>
          <w:color w:val="auto"/>
        </w:rPr>
        <w:t>通过类比同类养殖场的</w:t>
      </w:r>
      <w:r>
        <w:rPr>
          <w:rFonts w:hint="eastAsia" w:ascii="Times New Roman" w:eastAsia="宋体"/>
          <w:color w:val="auto"/>
        </w:rPr>
        <w:t>废包装物产生情况，产生量约0.1</w:t>
      </w:r>
      <w:r>
        <w:rPr>
          <w:rFonts w:ascii="Times New Roman" w:eastAsia="宋体"/>
          <w:color w:val="auto"/>
        </w:rPr>
        <w:t>t/a</w:t>
      </w:r>
      <w:r>
        <w:rPr>
          <w:rFonts w:hint="eastAsia" w:ascii="Times New Roman" w:eastAsia="宋体"/>
          <w:color w:val="auto"/>
        </w:rPr>
        <w:t>，集中收集后暂存于仓库，由废品回收站回收处理。</w:t>
      </w:r>
    </w:p>
    <w:p>
      <w:pPr>
        <w:spacing w:line="360" w:lineRule="auto"/>
        <w:ind w:firstLine="496" w:firstLineChars="200"/>
        <w:rPr>
          <w:rFonts w:ascii="Times New Roman" w:eastAsia="宋体"/>
          <w:color w:val="auto"/>
        </w:rPr>
      </w:pPr>
      <w:r>
        <w:rPr>
          <w:rFonts w:hint="eastAsia" w:ascii="Times New Roman" w:eastAsia="宋体"/>
          <w:color w:val="auto"/>
        </w:rPr>
        <w:t>⑦废布袋</w:t>
      </w:r>
    </w:p>
    <w:p>
      <w:pPr>
        <w:spacing w:line="360" w:lineRule="auto"/>
        <w:ind w:firstLine="496" w:firstLineChars="200"/>
        <w:rPr>
          <w:rFonts w:ascii="Times New Roman"/>
          <w:color w:val="auto"/>
        </w:rPr>
      </w:pPr>
      <w:r>
        <w:rPr>
          <w:rFonts w:hint="eastAsia" w:ascii="Times New Roman" w:eastAsia="宋体"/>
          <w:color w:val="auto"/>
        </w:rPr>
        <w:t>除尘器布袋更换周期理论上是3-4年，但实际情况下，多数工况都是2年更换一次。布袋除尘器的旧滤袋因为其主要的灰尘过滤装置，所以上面会依附很多灰尘，更换下来以后，有些可以清洗缝补进行二次使用，而不能继续使用的，则需要妥善处理。产生量约0.005</w:t>
      </w:r>
      <w:r>
        <w:rPr>
          <w:rFonts w:ascii="Times New Roman" w:eastAsia="宋体"/>
          <w:color w:val="auto"/>
        </w:rPr>
        <w:t>t/a</w:t>
      </w:r>
      <w:r>
        <w:rPr>
          <w:rFonts w:hint="eastAsia" w:ascii="Times New Roman" w:eastAsia="宋体"/>
          <w:color w:val="auto"/>
        </w:rPr>
        <w:t>，</w:t>
      </w:r>
      <w:r>
        <w:rPr>
          <w:rFonts w:ascii="Times New Roman" w:eastAsia="宋体"/>
          <w:color w:val="auto"/>
        </w:rPr>
        <w:t>由当地环卫部门定期清运</w:t>
      </w:r>
      <w:r>
        <w:rPr>
          <w:rFonts w:hint="eastAsia" w:ascii="Times New Roman" w:eastAsia="宋体"/>
          <w:color w:val="auto"/>
        </w:rPr>
        <w:t>。</w:t>
      </w:r>
    </w:p>
    <w:p>
      <w:pPr>
        <w:spacing w:line="360" w:lineRule="auto"/>
        <w:ind w:firstLine="496" w:firstLineChars="200"/>
        <w:rPr>
          <w:rFonts w:ascii="Times New Roman" w:eastAsia="宋体"/>
          <w:color w:val="auto"/>
        </w:rPr>
      </w:pPr>
      <w:r>
        <w:rPr>
          <w:rFonts w:hint="eastAsia" w:ascii="Times New Roman" w:eastAsia="宋体"/>
          <w:color w:val="auto"/>
        </w:rPr>
        <w:t>⑧沉淀池污泥</w:t>
      </w:r>
    </w:p>
    <w:p>
      <w:pPr>
        <w:spacing w:line="360" w:lineRule="auto"/>
        <w:ind w:firstLine="496" w:firstLineChars="200"/>
        <w:rPr>
          <w:rFonts w:ascii="Times New Roman" w:eastAsia="宋体"/>
          <w:color w:val="auto"/>
        </w:rPr>
      </w:pPr>
      <w:r>
        <w:rPr>
          <w:rFonts w:hint="eastAsia" w:ascii="Times New Roman" w:eastAsia="宋体"/>
          <w:color w:val="auto"/>
        </w:rPr>
        <w:t>沉淀池污泥根据产生污水量的0.1%计算，为1.40t/a。为一般固废，与鸡粪一同外售处理。</w:t>
      </w:r>
    </w:p>
    <w:p>
      <w:pPr>
        <w:spacing w:line="360" w:lineRule="auto"/>
        <w:ind w:firstLine="496" w:firstLineChars="200"/>
        <w:rPr>
          <w:rFonts w:ascii="Times New Roman" w:eastAsia="宋体"/>
          <w:color w:val="auto"/>
        </w:rPr>
      </w:pPr>
      <w:r>
        <w:rPr>
          <w:rFonts w:hint="eastAsia" w:ascii="Times New Roman" w:eastAsia="宋体"/>
          <w:color w:val="auto"/>
        </w:rPr>
        <w:t>⑨</w:t>
      </w:r>
      <w:r>
        <w:rPr>
          <w:rFonts w:ascii="Times New Roman" w:eastAsia="宋体"/>
          <w:color w:val="auto"/>
        </w:rPr>
        <w:t>医疗废物</w:t>
      </w:r>
    </w:p>
    <w:p>
      <w:pPr>
        <w:spacing w:line="360" w:lineRule="auto"/>
        <w:ind w:firstLine="496" w:firstLineChars="200"/>
        <w:rPr>
          <w:rFonts w:ascii="Times New Roman" w:eastAsia="宋体"/>
          <w:color w:val="auto"/>
        </w:rPr>
      </w:pPr>
      <w:r>
        <w:rPr>
          <w:rFonts w:ascii="Times New Roman" w:eastAsia="宋体"/>
          <w:color w:val="auto"/>
        </w:rPr>
        <w:t>养殖场</w:t>
      </w:r>
      <w:r>
        <w:rPr>
          <w:rFonts w:hint="eastAsia" w:ascii="Times New Roman" w:eastAsia="宋体"/>
          <w:color w:val="auto"/>
        </w:rPr>
        <w:t>防疫</w:t>
      </w:r>
      <w:r>
        <w:rPr>
          <w:rFonts w:ascii="Times New Roman" w:eastAsia="宋体"/>
          <w:color w:val="auto"/>
        </w:rPr>
        <w:t>过程中会产生医疗废物。医疗废物</w:t>
      </w:r>
      <w:r>
        <w:rPr>
          <w:rFonts w:hint="eastAsia" w:ascii="Times New Roman" w:eastAsia="宋体"/>
          <w:color w:val="auto"/>
        </w:rPr>
        <w:t>包括防疫部门防疫过程产生的医疗垃圾及建设单位养殖过程自行防疫产生的医疗垃圾。</w:t>
      </w:r>
      <w:r>
        <w:rPr>
          <w:rFonts w:ascii="Times New Roman" w:eastAsia="宋体"/>
          <w:color w:val="auto"/>
        </w:rPr>
        <w:t>主要为药品包装物</w:t>
      </w:r>
      <w:r>
        <w:rPr>
          <w:rFonts w:hint="eastAsia" w:ascii="Times New Roman" w:eastAsia="宋体"/>
          <w:color w:val="auto"/>
        </w:rPr>
        <w:t>及</w:t>
      </w:r>
      <w:r>
        <w:rPr>
          <w:rFonts w:ascii="Times New Roman" w:eastAsia="宋体"/>
          <w:color w:val="auto"/>
        </w:rPr>
        <w:t>一次性医疗用品及一次性医疗器械，携带有病原微生物，易引发感染性疾病的传播，属于感染性医疗废物，根据《国家危险废物名录（20</w:t>
      </w:r>
      <w:r>
        <w:rPr>
          <w:rFonts w:hint="eastAsia" w:ascii="Times New Roman" w:eastAsia="宋体"/>
          <w:color w:val="auto"/>
        </w:rPr>
        <w:t>21年版</w:t>
      </w:r>
      <w:r>
        <w:rPr>
          <w:rFonts w:ascii="Times New Roman" w:eastAsia="宋体"/>
          <w:color w:val="auto"/>
        </w:rPr>
        <w:t>）》，</w:t>
      </w:r>
      <w:r>
        <w:rPr>
          <w:rFonts w:hint="eastAsia" w:ascii="Times New Roman" w:eastAsia="宋体"/>
          <w:color w:val="auto"/>
        </w:rPr>
        <w:t>医疗废物属于危险废物，废物类别为</w:t>
      </w:r>
      <w:r>
        <w:rPr>
          <w:rFonts w:ascii="Times New Roman" w:eastAsia="宋体"/>
          <w:color w:val="auto"/>
        </w:rPr>
        <w:t>HW01，</w:t>
      </w:r>
      <w:r>
        <w:rPr>
          <w:rFonts w:hint="eastAsia" w:ascii="Times New Roman" w:eastAsia="宋体"/>
          <w:color w:val="auto"/>
        </w:rPr>
        <w:t>废物代码为841-001-01。防疫部门防疫过程产生的医疗垃圾由防疫公司带走，自行防疫过程产生的医疗垃圾暂存于危废间内，产生量约为0.05t/a，定期委托有资质单位清运处置。</w:t>
      </w:r>
    </w:p>
    <w:p>
      <w:pPr>
        <w:spacing w:beforeLines="50" w:line="0" w:lineRule="atLeast"/>
        <w:jc w:val="center"/>
        <w:rPr>
          <w:rFonts w:ascii="Times New Roman" w:eastAsia="宋体"/>
          <w:b/>
          <w:color w:val="auto"/>
        </w:rPr>
      </w:pPr>
      <w:r>
        <w:rPr>
          <w:rFonts w:ascii="Times New Roman" w:eastAsia="宋体"/>
          <w:b/>
          <w:color w:val="auto"/>
          <w:sz w:val="21"/>
          <w:szCs w:val="21"/>
        </w:rPr>
        <w:t>表</w:t>
      </w:r>
      <w:r>
        <w:rPr>
          <w:rFonts w:hint="eastAsia" w:ascii="Times New Roman" w:eastAsia="宋体"/>
          <w:b/>
          <w:color w:val="auto"/>
          <w:sz w:val="21"/>
          <w:szCs w:val="21"/>
        </w:rPr>
        <w:t>3.3-15</w:t>
      </w:r>
      <w:r>
        <w:rPr>
          <w:rFonts w:ascii="Times New Roman" w:eastAsia="宋体"/>
          <w:b/>
          <w:color w:val="auto"/>
          <w:sz w:val="21"/>
          <w:szCs w:val="21"/>
        </w:rPr>
        <w:t>固</w:t>
      </w:r>
      <w:r>
        <w:rPr>
          <w:rFonts w:hint="eastAsia" w:ascii="Times New Roman" w:eastAsia="宋体"/>
          <w:b/>
          <w:color w:val="auto"/>
          <w:sz w:val="21"/>
          <w:szCs w:val="21"/>
        </w:rPr>
        <w:t>体</w:t>
      </w:r>
      <w:r>
        <w:rPr>
          <w:rFonts w:ascii="Times New Roman" w:eastAsia="宋体"/>
          <w:b/>
          <w:color w:val="auto"/>
          <w:sz w:val="21"/>
          <w:szCs w:val="21"/>
        </w:rPr>
        <w:t>废物排放情况一览表</w:t>
      </w:r>
      <w:r>
        <w:rPr>
          <w:rFonts w:ascii="Times New Roman" w:eastAsia="宋体"/>
          <w:b/>
          <w:color w:val="auto"/>
        </w:rPr>
        <w:t>单位：t/a</w:t>
      </w:r>
    </w:p>
    <w:tbl>
      <w:tblPr>
        <w:tblStyle w:val="4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Layout w:type="autofit"/>
        <w:tblCellMar>
          <w:top w:w="0" w:type="dxa"/>
          <w:left w:w="108" w:type="dxa"/>
          <w:bottom w:w="0" w:type="dxa"/>
          <w:right w:w="108" w:type="dxa"/>
        </w:tblCellMar>
      </w:tblPr>
      <w:tblGrid>
        <w:gridCol w:w="671"/>
        <w:gridCol w:w="1223"/>
        <w:gridCol w:w="1570"/>
        <w:gridCol w:w="1373"/>
        <w:gridCol w:w="1054"/>
        <w:gridCol w:w="26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434" w:hRule="atLeast"/>
          <w:tblHeader/>
          <w:jc w:val="center"/>
        </w:trPr>
        <w:tc>
          <w:tcPr>
            <w:tcW w:w="394" w:type="pct"/>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ascii="Times New Roman" w:eastAsia="宋体"/>
                <w:b/>
                <w:bCs/>
                <w:color w:val="auto"/>
                <w:sz w:val="21"/>
                <w:szCs w:val="21"/>
              </w:rPr>
              <w:t>序号</w:t>
            </w:r>
          </w:p>
        </w:tc>
        <w:tc>
          <w:tcPr>
            <w:tcW w:w="718" w:type="pct"/>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ascii="Times New Roman" w:eastAsia="宋体"/>
                <w:b/>
                <w:bCs/>
                <w:color w:val="auto"/>
                <w:sz w:val="21"/>
                <w:szCs w:val="21"/>
              </w:rPr>
              <w:t>排污节点</w:t>
            </w:r>
          </w:p>
        </w:tc>
        <w:tc>
          <w:tcPr>
            <w:tcW w:w="922" w:type="pct"/>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ascii="Times New Roman" w:eastAsia="宋体"/>
                <w:b/>
                <w:bCs/>
                <w:color w:val="auto"/>
                <w:sz w:val="21"/>
                <w:szCs w:val="21"/>
              </w:rPr>
              <w:t>固废名称</w:t>
            </w:r>
          </w:p>
        </w:tc>
        <w:tc>
          <w:tcPr>
            <w:tcW w:w="806" w:type="pct"/>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hint="eastAsia" w:ascii="Times New Roman" w:eastAsia="宋体"/>
                <w:b/>
                <w:bCs/>
                <w:color w:val="auto"/>
                <w:sz w:val="21"/>
                <w:szCs w:val="21"/>
              </w:rPr>
              <w:t>固废代码</w:t>
            </w:r>
          </w:p>
        </w:tc>
        <w:tc>
          <w:tcPr>
            <w:tcW w:w="619" w:type="pct"/>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ascii="Times New Roman" w:eastAsia="宋体"/>
                <w:b/>
                <w:bCs/>
                <w:color w:val="auto"/>
                <w:sz w:val="21"/>
                <w:szCs w:val="21"/>
              </w:rPr>
              <w:t>产生量</w:t>
            </w:r>
          </w:p>
        </w:tc>
        <w:tc>
          <w:tcPr>
            <w:tcW w:w="1539" w:type="pct"/>
            <w:tcBorders>
              <w:tl2br w:val="nil"/>
              <w:tr2bl w:val="nil"/>
            </w:tcBorders>
            <w:vAlign w:val="center"/>
          </w:tcPr>
          <w:p>
            <w:pPr>
              <w:autoSpaceDE w:val="0"/>
              <w:autoSpaceDN w:val="0"/>
              <w:adjustRightInd w:val="0"/>
              <w:jc w:val="center"/>
              <w:rPr>
                <w:rFonts w:ascii="Times New Roman" w:eastAsia="宋体"/>
                <w:b/>
                <w:bCs/>
                <w:color w:val="auto"/>
                <w:sz w:val="21"/>
                <w:szCs w:val="21"/>
              </w:rPr>
            </w:pPr>
            <w:r>
              <w:rPr>
                <w:rFonts w:ascii="Times New Roman" w:eastAsia="宋体"/>
                <w:b/>
                <w:bCs/>
                <w:color w:val="auto"/>
                <w:sz w:val="21"/>
                <w:szCs w:val="21"/>
              </w:rPr>
              <w:t>处理方法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645"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1</w:t>
            </w:r>
          </w:p>
        </w:tc>
        <w:tc>
          <w:tcPr>
            <w:tcW w:w="718"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鸡舍</w:t>
            </w:r>
          </w:p>
        </w:tc>
        <w:tc>
          <w:tcPr>
            <w:tcW w:w="922"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鸡粪饲料残渣及散落的毛羽</w:t>
            </w:r>
          </w:p>
        </w:tc>
        <w:tc>
          <w:tcPr>
            <w:tcW w:w="806"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030-001-99</w:t>
            </w:r>
          </w:p>
        </w:tc>
        <w:tc>
          <w:tcPr>
            <w:tcW w:w="619"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6282</w:t>
            </w:r>
          </w:p>
        </w:tc>
        <w:tc>
          <w:tcPr>
            <w:tcW w:w="1539" w:type="pct"/>
            <w:tcBorders>
              <w:tl2br w:val="nil"/>
              <w:tr2bl w:val="nil"/>
            </w:tcBorders>
            <w:vAlign w:val="center"/>
          </w:tcPr>
          <w:p>
            <w:pPr>
              <w:rPr>
                <w:rFonts w:ascii="Times New Roman" w:eastAsia="宋体" w:cs="宋体"/>
                <w:color w:val="auto"/>
                <w:sz w:val="21"/>
                <w:szCs w:val="21"/>
              </w:rPr>
            </w:pPr>
            <w:r>
              <w:rPr>
                <w:rFonts w:hint="eastAsia" w:ascii="Times New Roman" w:eastAsia="宋体" w:cs="宋体"/>
                <w:color w:val="auto"/>
                <w:sz w:val="21"/>
                <w:szCs w:val="21"/>
                <w:lang w:val="en-US" w:eastAsia="zh-CN"/>
              </w:rPr>
              <w:t>暂存于鸡舍内鸡粪暂存区，定期外售制肥</w:t>
            </w:r>
            <w:r>
              <w:rPr>
                <w:rFonts w:hint="eastAsia" w:ascii="Times New Roman" w:eastAsia="宋体" w:cs="宋体"/>
                <w:color w:val="auto"/>
                <w:sz w:val="21"/>
                <w:szCs w:val="21"/>
              </w:rPr>
              <w:t>，综合利用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2</w:t>
            </w:r>
          </w:p>
        </w:tc>
        <w:tc>
          <w:tcPr>
            <w:tcW w:w="718"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鸡舍</w:t>
            </w:r>
          </w:p>
        </w:tc>
        <w:tc>
          <w:tcPr>
            <w:tcW w:w="922"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病死鸡</w:t>
            </w:r>
          </w:p>
        </w:tc>
        <w:tc>
          <w:tcPr>
            <w:tcW w:w="806"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ascii="Times New Roman" w:eastAsia="Times New Roman"/>
                <w:color w:val="auto"/>
                <w:spacing w:val="3"/>
                <w:sz w:val="20"/>
              </w:rPr>
              <w:t>030-001-99</w:t>
            </w:r>
          </w:p>
        </w:tc>
        <w:tc>
          <w:tcPr>
            <w:tcW w:w="619"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2.2</w:t>
            </w:r>
          </w:p>
        </w:tc>
        <w:tc>
          <w:tcPr>
            <w:tcW w:w="1539"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暂存</w:t>
            </w:r>
            <w:r>
              <w:rPr>
                <w:rFonts w:hint="eastAsia" w:ascii="Times New Roman" w:eastAsia="宋体" w:cs="宋体"/>
                <w:color w:val="auto"/>
                <w:sz w:val="21"/>
                <w:szCs w:val="21"/>
                <w:lang w:val="en-US" w:eastAsia="zh-CN"/>
              </w:rPr>
              <w:t>冷藏</w:t>
            </w:r>
            <w:r>
              <w:rPr>
                <w:rFonts w:hint="eastAsia" w:ascii="Times New Roman" w:eastAsia="宋体" w:cs="宋体"/>
                <w:color w:val="auto"/>
                <w:sz w:val="21"/>
                <w:szCs w:val="21"/>
              </w:rPr>
              <w:t>柜，由岳阳县病死禽无害化处理厂处置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395"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3</w:t>
            </w:r>
          </w:p>
        </w:tc>
        <w:tc>
          <w:tcPr>
            <w:tcW w:w="718"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职工生活</w:t>
            </w:r>
          </w:p>
        </w:tc>
        <w:tc>
          <w:tcPr>
            <w:tcW w:w="922"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生活垃圾</w:t>
            </w:r>
          </w:p>
        </w:tc>
        <w:tc>
          <w:tcPr>
            <w:tcW w:w="806"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w:t>
            </w:r>
          </w:p>
        </w:tc>
        <w:tc>
          <w:tcPr>
            <w:tcW w:w="619"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3.84</w:t>
            </w:r>
          </w:p>
        </w:tc>
        <w:tc>
          <w:tcPr>
            <w:tcW w:w="1539"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由环卫部门统一处理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395"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4</w:t>
            </w:r>
          </w:p>
        </w:tc>
        <w:tc>
          <w:tcPr>
            <w:tcW w:w="718" w:type="pct"/>
            <w:vMerge w:val="restar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锅炉</w:t>
            </w:r>
          </w:p>
        </w:tc>
        <w:tc>
          <w:tcPr>
            <w:tcW w:w="922"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灰渣</w:t>
            </w:r>
          </w:p>
        </w:tc>
        <w:tc>
          <w:tcPr>
            <w:tcW w:w="806" w:type="pct"/>
            <w:vMerge w:val="restar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ascii="Times New Roman" w:eastAsia="Times New Roman"/>
                <w:color w:val="auto"/>
                <w:spacing w:val="3"/>
                <w:sz w:val="20"/>
              </w:rPr>
              <w:t>030-001-99</w:t>
            </w:r>
          </w:p>
        </w:tc>
        <w:tc>
          <w:tcPr>
            <w:tcW w:w="619"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8.5</w:t>
            </w:r>
          </w:p>
        </w:tc>
        <w:tc>
          <w:tcPr>
            <w:tcW w:w="1539" w:type="pct"/>
            <w:vMerge w:val="restar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周边农田追肥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395"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5</w:t>
            </w:r>
          </w:p>
        </w:tc>
        <w:tc>
          <w:tcPr>
            <w:tcW w:w="718" w:type="pct"/>
            <w:vMerge w:val="continue"/>
            <w:tcBorders>
              <w:tl2br w:val="nil"/>
              <w:tr2bl w:val="nil"/>
            </w:tcBorders>
            <w:vAlign w:val="center"/>
          </w:tcPr>
          <w:p>
            <w:pPr>
              <w:jc w:val="center"/>
              <w:rPr>
                <w:rFonts w:ascii="Times New Roman" w:eastAsia="宋体" w:cs="宋体"/>
                <w:color w:val="auto"/>
                <w:sz w:val="21"/>
                <w:szCs w:val="21"/>
              </w:rPr>
            </w:pPr>
          </w:p>
        </w:tc>
        <w:tc>
          <w:tcPr>
            <w:tcW w:w="922"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收尘灰</w:t>
            </w:r>
          </w:p>
        </w:tc>
        <w:tc>
          <w:tcPr>
            <w:tcW w:w="806" w:type="pct"/>
            <w:vMerge w:val="continue"/>
            <w:tcBorders>
              <w:tl2br w:val="nil"/>
              <w:tr2bl w:val="nil"/>
            </w:tcBorders>
            <w:vAlign w:val="center"/>
          </w:tcPr>
          <w:p>
            <w:pPr>
              <w:autoSpaceDE w:val="0"/>
              <w:autoSpaceDN w:val="0"/>
              <w:adjustRightInd w:val="0"/>
              <w:jc w:val="center"/>
              <w:rPr>
                <w:rFonts w:ascii="Times New Roman" w:eastAsia="宋体" w:cs="宋体"/>
                <w:color w:val="auto"/>
                <w:sz w:val="21"/>
                <w:szCs w:val="21"/>
              </w:rPr>
            </w:pPr>
          </w:p>
        </w:tc>
        <w:tc>
          <w:tcPr>
            <w:tcW w:w="619"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0.069</w:t>
            </w:r>
          </w:p>
        </w:tc>
        <w:tc>
          <w:tcPr>
            <w:tcW w:w="1539" w:type="pct"/>
            <w:vMerge w:val="continue"/>
            <w:tcBorders>
              <w:tl2br w:val="nil"/>
              <w:tr2bl w:val="nil"/>
            </w:tcBorders>
            <w:vAlign w:val="center"/>
          </w:tcPr>
          <w:p>
            <w:pPr>
              <w:jc w:val="center"/>
              <w:rPr>
                <w:rFonts w:ascii="Times New Roman"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395"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6</w:t>
            </w:r>
          </w:p>
        </w:tc>
        <w:tc>
          <w:tcPr>
            <w:tcW w:w="718" w:type="pct"/>
            <w:vMerge w:val="continue"/>
            <w:tcBorders>
              <w:tl2br w:val="nil"/>
              <w:tr2bl w:val="nil"/>
            </w:tcBorders>
            <w:vAlign w:val="center"/>
          </w:tcPr>
          <w:p>
            <w:pPr>
              <w:jc w:val="center"/>
              <w:rPr>
                <w:rFonts w:ascii="Times New Roman" w:eastAsia="宋体" w:cs="宋体"/>
                <w:color w:val="auto"/>
                <w:sz w:val="21"/>
                <w:szCs w:val="21"/>
              </w:rPr>
            </w:pPr>
          </w:p>
        </w:tc>
        <w:tc>
          <w:tcPr>
            <w:tcW w:w="922"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废布袋</w:t>
            </w:r>
          </w:p>
        </w:tc>
        <w:tc>
          <w:tcPr>
            <w:tcW w:w="806" w:type="pct"/>
            <w:vMerge w:val="continue"/>
            <w:tcBorders>
              <w:tl2br w:val="nil"/>
              <w:tr2bl w:val="nil"/>
            </w:tcBorders>
            <w:vAlign w:val="center"/>
          </w:tcPr>
          <w:p>
            <w:pPr>
              <w:autoSpaceDE w:val="0"/>
              <w:autoSpaceDN w:val="0"/>
              <w:adjustRightInd w:val="0"/>
              <w:jc w:val="center"/>
              <w:rPr>
                <w:rFonts w:ascii="Times New Roman" w:eastAsia="宋体" w:cs="宋体"/>
                <w:color w:val="auto"/>
                <w:sz w:val="21"/>
                <w:szCs w:val="21"/>
              </w:rPr>
            </w:pPr>
          </w:p>
        </w:tc>
        <w:tc>
          <w:tcPr>
            <w:tcW w:w="619"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0.005</w:t>
            </w:r>
          </w:p>
        </w:tc>
        <w:tc>
          <w:tcPr>
            <w:tcW w:w="1539" w:type="pct"/>
            <w:vMerge w:val="restar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集中收集后暂存于</w:t>
            </w:r>
            <w:r>
              <w:rPr>
                <w:rFonts w:hint="eastAsia" w:ascii="Times New Roman" w:eastAsia="宋体" w:cs="宋体"/>
                <w:color w:val="auto"/>
                <w:sz w:val="21"/>
                <w:szCs w:val="21"/>
                <w:lang w:val="en-US" w:eastAsia="zh-CN"/>
              </w:rPr>
              <w:t>固废暂存间</w:t>
            </w:r>
            <w:r>
              <w:rPr>
                <w:rFonts w:hint="eastAsia" w:ascii="Times New Roman" w:eastAsia="宋体" w:cs="宋体"/>
                <w:color w:val="auto"/>
                <w:sz w:val="21"/>
                <w:szCs w:val="21"/>
              </w:rPr>
              <w:t>，废品回收站回收处理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645"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7</w:t>
            </w:r>
          </w:p>
        </w:tc>
        <w:tc>
          <w:tcPr>
            <w:tcW w:w="718"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鸡舍</w:t>
            </w:r>
          </w:p>
        </w:tc>
        <w:tc>
          <w:tcPr>
            <w:tcW w:w="922"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饲料废包装袋</w:t>
            </w:r>
          </w:p>
        </w:tc>
        <w:tc>
          <w:tcPr>
            <w:tcW w:w="806"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ascii="Times New Roman" w:eastAsia="Times New Roman"/>
                <w:color w:val="auto"/>
                <w:spacing w:val="3"/>
                <w:sz w:val="20"/>
              </w:rPr>
              <w:t>030-001-07</w:t>
            </w:r>
          </w:p>
        </w:tc>
        <w:tc>
          <w:tcPr>
            <w:tcW w:w="619"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0.1</w:t>
            </w:r>
          </w:p>
        </w:tc>
        <w:tc>
          <w:tcPr>
            <w:tcW w:w="1539" w:type="pct"/>
            <w:vMerge w:val="continue"/>
            <w:tcBorders>
              <w:tl2br w:val="nil"/>
              <w:tr2bl w:val="nil"/>
            </w:tcBorders>
            <w:vAlign w:val="center"/>
          </w:tcPr>
          <w:p>
            <w:pPr>
              <w:jc w:val="center"/>
              <w:rPr>
                <w:rFonts w:ascii="Times New Roman"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408"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8</w:t>
            </w:r>
          </w:p>
        </w:tc>
        <w:tc>
          <w:tcPr>
            <w:tcW w:w="718"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废水沉淀池</w:t>
            </w:r>
          </w:p>
        </w:tc>
        <w:tc>
          <w:tcPr>
            <w:tcW w:w="922"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污泥</w:t>
            </w:r>
          </w:p>
        </w:tc>
        <w:tc>
          <w:tcPr>
            <w:tcW w:w="806" w:type="pct"/>
            <w:tcBorders>
              <w:tl2br w:val="nil"/>
              <w:tr2bl w:val="nil"/>
            </w:tcBorders>
            <w:vAlign w:val="center"/>
          </w:tcPr>
          <w:p>
            <w:pPr>
              <w:spacing w:line="400" w:lineRule="exact"/>
              <w:jc w:val="center"/>
              <w:rPr>
                <w:rFonts w:ascii="Times New Roman" w:eastAsia="宋体" w:cs="宋体"/>
                <w:color w:val="auto"/>
                <w:sz w:val="21"/>
                <w:szCs w:val="21"/>
              </w:rPr>
            </w:pPr>
            <w:r>
              <w:rPr>
                <w:rFonts w:ascii="Times New Roman" w:eastAsia="Times New Roman"/>
                <w:color w:val="auto"/>
                <w:spacing w:val="3"/>
                <w:sz w:val="20"/>
              </w:rPr>
              <w:t>030-001-62</w:t>
            </w:r>
          </w:p>
        </w:tc>
        <w:tc>
          <w:tcPr>
            <w:tcW w:w="619" w:type="pct"/>
            <w:tcBorders>
              <w:tl2br w:val="nil"/>
              <w:tr2bl w:val="nil"/>
            </w:tcBorders>
            <w:vAlign w:val="center"/>
          </w:tcPr>
          <w:p>
            <w:pPr>
              <w:spacing w:line="400" w:lineRule="exact"/>
              <w:jc w:val="center"/>
              <w:rPr>
                <w:rFonts w:ascii="Times New Roman" w:eastAsia="宋体" w:cs="宋体"/>
                <w:color w:val="auto"/>
                <w:sz w:val="21"/>
                <w:szCs w:val="21"/>
              </w:rPr>
            </w:pPr>
            <w:r>
              <w:rPr>
                <w:rFonts w:hint="eastAsia" w:ascii="Times New Roman" w:eastAsia="宋体" w:cs="宋体"/>
                <w:color w:val="auto"/>
                <w:sz w:val="21"/>
                <w:szCs w:val="21"/>
              </w:rPr>
              <w:t>1.40</w:t>
            </w:r>
          </w:p>
        </w:tc>
        <w:tc>
          <w:tcPr>
            <w:tcW w:w="1539"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与鸡粪一同外售处理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682" w:hRule="atLeast"/>
          <w:jc w:val="center"/>
        </w:trPr>
        <w:tc>
          <w:tcPr>
            <w:tcW w:w="394" w:type="pct"/>
            <w:tcBorders>
              <w:tl2br w:val="nil"/>
              <w:tr2bl w:val="nil"/>
            </w:tcBorders>
            <w:vAlign w:val="center"/>
          </w:tcPr>
          <w:p>
            <w:pPr>
              <w:autoSpaceDE w:val="0"/>
              <w:autoSpaceDN w:val="0"/>
              <w:adjustRightInd w:val="0"/>
              <w:jc w:val="center"/>
              <w:rPr>
                <w:rFonts w:ascii="Times New Roman" w:eastAsia="宋体" w:cs="宋体"/>
                <w:color w:val="auto"/>
                <w:sz w:val="21"/>
                <w:szCs w:val="21"/>
              </w:rPr>
            </w:pPr>
            <w:r>
              <w:rPr>
                <w:rFonts w:hint="eastAsia" w:ascii="Times New Roman" w:eastAsia="宋体" w:cs="宋体"/>
                <w:color w:val="auto"/>
                <w:sz w:val="21"/>
                <w:szCs w:val="21"/>
              </w:rPr>
              <w:t>9</w:t>
            </w:r>
          </w:p>
        </w:tc>
        <w:tc>
          <w:tcPr>
            <w:tcW w:w="718"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防疫</w:t>
            </w:r>
          </w:p>
        </w:tc>
        <w:tc>
          <w:tcPr>
            <w:tcW w:w="922"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医疗废物</w:t>
            </w:r>
          </w:p>
        </w:tc>
        <w:tc>
          <w:tcPr>
            <w:tcW w:w="806"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HW01</w:t>
            </w:r>
          </w:p>
        </w:tc>
        <w:tc>
          <w:tcPr>
            <w:tcW w:w="619"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0.05</w:t>
            </w:r>
          </w:p>
        </w:tc>
        <w:tc>
          <w:tcPr>
            <w:tcW w:w="1539" w:type="pc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危废间内暂存，定期委托有资质单位清运处置</w:t>
            </w:r>
          </w:p>
        </w:tc>
      </w:tr>
      <w:bookmarkEnd w:id="299"/>
      <w:bookmarkEnd w:id="300"/>
      <w:bookmarkEnd w:id="305"/>
      <w:bookmarkEnd w:id="306"/>
    </w:tbl>
    <w:p>
      <w:pPr>
        <w:pStyle w:val="301"/>
        <w:spacing w:line="360" w:lineRule="auto"/>
        <w:ind w:firstLine="497"/>
        <w:rPr>
          <w:rFonts w:ascii="Times New Roman" w:eastAsia="宋体"/>
          <w:color w:val="auto"/>
        </w:rPr>
      </w:pPr>
      <w:bookmarkStart w:id="313" w:name="_Ref491102072"/>
      <w:bookmarkStart w:id="314" w:name="_Toc30131"/>
      <w:bookmarkStart w:id="315" w:name="_Toc185231501"/>
      <w:bookmarkStart w:id="316" w:name="_Toc308032982"/>
      <w:r>
        <w:rPr>
          <w:rFonts w:hint="eastAsia" w:ascii="Times New Roman" w:eastAsia="宋体"/>
          <w:color w:val="auto"/>
        </w:rPr>
        <w:t>综上，根据本项目及项目所在地的实际情况，上述方法能够达到固体废物减量化、资源化的目的，在配套环保治理措施完善的情况下，经济、技术、环保上均可行。</w:t>
      </w:r>
    </w:p>
    <w:p>
      <w:pPr>
        <w:pStyle w:val="4"/>
        <w:spacing w:before="0" w:after="0" w:line="360" w:lineRule="auto"/>
        <w:rPr>
          <w:rFonts w:ascii="Times New Roman" w:eastAsia="宋体"/>
          <w:b/>
          <w:bCs/>
          <w:color w:val="auto"/>
          <w:kern w:val="2"/>
          <w:sz w:val="24"/>
        </w:rPr>
      </w:pPr>
      <w:bookmarkStart w:id="317" w:name="_Toc19696"/>
      <w:r>
        <w:rPr>
          <w:rFonts w:hint="eastAsia" w:ascii="Times New Roman" w:eastAsia="宋体"/>
          <w:b/>
          <w:bCs/>
          <w:color w:val="auto"/>
          <w:kern w:val="2"/>
          <w:sz w:val="24"/>
        </w:rPr>
        <w:t>3.3.2.3</w:t>
      </w:r>
      <w:r>
        <w:rPr>
          <w:rFonts w:ascii="Times New Roman" w:eastAsia="宋体"/>
          <w:b/>
          <w:bCs/>
          <w:color w:val="auto"/>
          <w:kern w:val="2"/>
          <w:sz w:val="24"/>
        </w:rPr>
        <w:t>.</w:t>
      </w:r>
      <w:r>
        <w:rPr>
          <w:rFonts w:hint="eastAsia" w:ascii="Times New Roman" w:eastAsia="宋体"/>
          <w:b/>
          <w:bCs/>
          <w:color w:val="auto"/>
          <w:kern w:val="2"/>
          <w:sz w:val="24"/>
        </w:rPr>
        <w:t>非正常工况</w:t>
      </w:r>
      <w:bookmarkEnd w:id="317"/>
    </w:p>
    <w:p>
      <w:pPr>
        <w:spacing w:line="360" w:lineRule="auto"/>
        <w:ind w:firstLine="482"/>
        <w:rPr>
          <w:color w:val="auto"/>
        </w:rPr>
      </w:pPr>
      <w:r>
        <w:rPr>
          <w:rFonts w:ascii="Times New Roman" w:eastAsia="宋体"/>
          <w:bCs/>
          <w:color w:val="auto"/>
          <w:szCs w:val="24"/>
        </w:rPr>
        <w:t>根据《环境影响评价技术导则大气环境》（HJ2.2-2018），非正常排放，指生产过程中开停车、设备检修、工艺设备运转异常等非正常工况下的污染物排放以及污染物排放控制措施达不到应有效率等情况下的排放。环评分析拟建项目非正常工况主要为</w:t>
      </w:r>
      <w:r>
        <w:rPr>
          <w:rFonts w:hint="eastAsia" w:ascii="Times New Roman" w:eastAsia="宋体"/>
          <w:bCs/>
          <w:color w:val="auto"/>
          <w:szCs w:val="24"/>
          <w:lang w:val="en-US" w:eastAsia="zh-CN"/>
        </w:rPr>
        <w:t>单个</w:t>
      </w:r>
      <w:r>
        <w:rPr>
          <w:rFonts w:ascii="Times New Roman" w:eastAsia="宋体"/>
          <w:bCs/>
          <w:color w:val="auto"/>
          <w:szCs w:val="24"/>
        </w:rPr>
        <w:t>废气处理设施故障或损坏，不能对收集的废气进行有效处理，污染物去除率将下降甚至完全失效，但工艺废气仍通过排气筒外排。</w:t>
      </w:r>
    </w:p>
    <w:p>
      <w:pPr>
        <w:pStyle w:val="421"/>
        <w:snapToGrid w:val="0"/>
        <w:ind w:firstLine="497"/>
        <w:rPr>
          <w:color w:val="auto"/>
          <w:u w:val="single"/>
        </w:rPr>
      </w:pPr>
      <w:r>
        <w:rPr>
          <w:bCs/>
          <w:color w:val="auto"/>
          <w:sz w:val="24"/>
          <w:szCs w:val="24"/>
        </w:rPr>
        <w:t>非正常工况下大气污染物的排放情况见下表。</w:t>
      </w:r>
    </w:p>
    <w:p>
      <w:pPr>
        <w:pStyle w:val="358"/>
        <w:spacing w:beforeLines="50" w:line="0" w:lineRule="atLeast"/>
        <w:jc w:val="center"/>
        <w:rPr>
          <w:rFonts w:ascii="Times New Roman" w:hAnsi="Times New Roman" w:eastAsia="宋体" w:cs="Times New Roman"/>
          <w:b/>
          <w:bCs/>
          <w:color w:val="auto"/>
        </w:rPr>
      </w:pPr>
      <w:r>
        <w:rPr>
          <w:rFonts w:ascii="Times New Roman" w:hAnsi="Times New Roman" w:eastAsia="宋体" w:cs="Times New Roman"/>
          <w:b/>
          <w:bCs/>
          <w:color w:val="auto"/>
        </w:rPr>
        <w:t>表</w:t>
      </w:r>
      <w:r>
        <w:rPr>
          <w:rFonts w:hint="eastAsia" w:ascii="Times New Roman" w:hAnsi="Times New Roman" w:eastAsia="宋体" w:cs="Times New Roman"/>
          <w:b/>
          <w:bCs/>
          <w:color w:val="auto"/>
        </w:rPr>
        <w:t>3.3-16</w:t>
      </w:r>
      <w:r>
        <w:rPr>
          <w:rFonts w:ascii="Times New Roman" w:hAnsi="Times New Roman" w:eastAsia="宋体" w:cs="Times New Roman"/>
          <w:b/>
          <w:bCs/>
          <w:color w:val="auto"/>
        </w:rPr>
        <w:t>非正常工况下废气排放一览表</w:t>
      </w:r>
    </w:p>
    <w:tbl>
      <w:tblPr>
        <w:tblStyle w:val="47"/>
        <w:tblW w:w="5177"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
      <w:tblGrid>
        <w:gridCol w:w="863"/>
        <w:gridCol w:w="805"/>
        <w:gridCol w:w="932"/>
        <w:gridCol w:w="1171"/>
        <w:gridCol w:w="875"/>
        <w:gridCol w:w="704"/>
        <w:gridCol w:w="864"/>
        <w:gridCol w:w="850"/>
        <w:gridCol w:w="1753"/>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00" w:hRule="atLeast"/>
          <w:jc w:val="center"/>
        </w:trPr>
        <w:tc>
          <w:tcPr>
            <w:tcW w:w="489" w:type="pct"/>
            <w:vMerge w:val="restart"/>
            <w:vAlign w:val="center"/>
          </w:tcPr>
          <w:p>
            <w:pPr>
              <w:pStyle w:val="435"/>
              <w:widowControl/>
              <w:snapToGrid w:val="0"/>
              <w:rPr>
                <w:b/>
                <w:bCs/>
                <w:color w:val="auto"/>
                <w:sz w:val="21"/>
                <w:szCs w:val="21"/>
              </w:rPr>
            </w:pPr>
            <w:r>
              <w:rPr>
                <w:b/>
                <w:bCs/>
                <w:color w:val="auto"/>
                <w:sz w:val="21"/>
                <w:szCs w:val="21"/>
              </w:rPr>
              <w:t>污染源</w:t>
            </w:r>
          </w:p>
        </w:tc>
        <w:tc>
          <w:tcPr>
            <w:tcW w:w="456" w:type="pct"/>
            <w:vMerge w:val="restart"/>
            <w:vAlign w:val="center"/>
          </w:tcPr>
          <w:p>
            <w:pPr>
              <w:pStyle w:val="435"/>
              <w:widowControl/>
              <w:snapToGrid w:val="0"/>
              <w:rPr>
                <w:b/>
                <w:bCs/>
                <w:color w:val="auto"/>
                <w:sz w:val="21"/>
                <w:szCs w:val="21"/>
              </w:rPr>
            </w:pPr>
            <w:r>
              <w:rPr>
                <w:b/>
                <w:bCs/>
                <w:color w:val="auto"/>
                <w:sz w:val="21"/>
                <w:szCs w:val="21"/>
              </w:rPr>
              <w:t>污染物</w:t>
            </w:r>
          </w:p>
        </w:tc>
        <w:tc>
          <w:tcPr>
            <w:tcW w:w="528" w:type="pct"/>
            <w:vMerge w:val="restart"/>
            <w:vAlign w:val="center"/>
          </w:tcPr>
          <w:p>
            <w:pPr>
              <w:pStyle w:val="435"/>
              <w:widowControl/>
              <w:snapToGrid w:val="0"/>
              <w:rPr>
                <w:b/>
                <w:bCs/>
                <w:color w:val="auto"/>
                <w:sz w:val="21"/>
                <w:szCs w:val="21"/>
              </w:rPr>
            </w:pPr>
            <w:r>
              <w:rPr>
                <w:b/>
                <w:bCs/>
                <w:color w:val="auto"/>
                <w:sz w:val="21"/>
                <w:szCs w:val="21"/>
              </w:rPr>
              <w:t>风量（m</w:t>
            </w:r>
            <w:r>
              <w:rPr>
                <w:b/>
                <w:bCs/>
                <w:color w:val="auto"/>
                <w:sz w:val="21"/>
                <w:szCs w:val="21"/>
                <w:vertAlign w:val="superscript"/>
              </w:rPr>
              <w:t>3</w:t>
            </w:r>
            <w:r>
              <w:rPr>
                <w:b/>
                <w:bCs/>
                <w:color w:val="auto"/>
                <w:sz w:val="21"/>
                <w:szCs w:val="21"/>
              </w:rPr>
              <w:t>/h）</w:t>
            </w:r>
          </w:p>
        </w:tc>
        <w:tc>
          <w:tcPr>
            <w:tcW w:w="1159" w:type="pct"/>
            <w:gridSpan w:val="2"/>
            <w:vAlign w:val="center"/>
          </w:tcPr>
          <w:p>
            <w:pPr>
              <w:pStyle w:val="435"/>
              <w:widowControl/>
              <w:snapToGrid w:val="0"/>
              <w:rPr>
                <w:b/>
                <w:bCs/>
                <w:color w:val="auto"/>
                <w:sz w:val="21"/>
                <w:szCs w:val="21"/>
              </w:rPr>
            </w:pPr>
            <w:r>
              <w:rPr>
                <w:b/>
                <w:bCs/>
                <w:color w:val="auto"/>
                <w:sz w:val="21"/>
                <w:szCs w:val="21"/>
              </w:rPr>
              <w:t>产生排放情况</w:t>
            </w:r>
          </w:p>
        </w:tc>
        <w:tc>
          <w:tcPr>
            <w:tcW w:w="399" w:type="pct"/>
            <w:vMerge w:val="restart"/>
            <w:vAlign w:val="center"/>
          </w:tcPr>
          <w:p>
            <w:pPr>
              <w:pStyle w:val="435"/>
              <w:widowControl/>
              <w:snapToGrid w:val="0"/>
              <w:rPr>
                <w:b/>
                <w:bCs/>
                <w:color w:val="auto"/>
                <w:sz w:val="21"/>
                <w:szCs w:val="21"/>
              </w:rPr>
            </w:pPr>
            <w:r>
              <w:rPr>
                <w:b/>
                <w:bCs/>
                <w:color w:val="auto"/>
                <w:sz w:val="21"/>
                <w:szCs w:val="21"/>
              </w:rPr>
              <w:t>排气筒高度</w:t>
            </w:r>
          </w:p>
        </w:tc>
        <w:tc>
          <w:tcPr>
            <w:tcW w:w="972" w:type="pct"/>
            <w:gridSpan w:val="2"/>
            <w:vAlign w:val="center"/>
          </w:tcPr>
          <w:p>
            <w:pPr>
              <w:pStyle w:val="435"/>
              <w:widowControl/>
              <w:snapToGrid w:val="0"/>
              <w:rPr>
                <w:b/>
                <w:bCs/>
                <w:color w:val="auto"/>
                <w:sz w:val="21"/>
                <w:szCs w:val="21"/>
              </w:rPr>
            </w:pPr>
            <w:r>
              <w:rPr>
                <w:b/>
                <w:bCs/>
                <w:color w:val="auto"/>
                <w:sz w:val="21"/>
                <w:szCs w:val="21"/>
              </w:rPr>
              <w:t>事故程度估计</w:t>
            </w:r>
          </w:p>
        </w:tc>
        <w:tc>
          <w:tcPr>
            <w:tcW w:w="993" w:type="pct"/>
            <w:vMerge w:val="restart"/>
            <w:vAlign w:val="center"/>
          </w:tcPr>
          <w:p>
            <w:pPr>
              <w:pStyle w:val="435"/>
              <w:widowControl/>
              <w:snapToGrid w:val="0"/>
              <w:rPr>
                <w:b/>
                <w:bCs/>
                <w:color w:val="auto"/>
                <w:sz w:val="21"/>
                <w:szCs w:val="21"/>
              </w:rPr>
            </w:pPr>
            <w:r>
              <w:rPr>
                <w:rFonts w:hint="eastAsia" w:ascii="Times New Roman" w:hAnsi="Times New Roman" w:eastAsia="宋体"/>
                <w:b/>
                <w:bCs/>
                <w:color w:val="auto"/>
                <w:spacing w:val="0"/>
                <w:sz w:val="21"/>
                <w:szCs w:val="21"/>
              </w:rPr>
              <w:t>应对措施</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561" w:hRule="atLeast"/>
          <w:jc w:val="center"/>
        </w:trPr>
        <w:tc>
          <w:tcPr>
            <w:tcW w:w="489" w:type="pct"/>
            <w:vMerge w:val="continue"/>
            <w:vAlign w:val="center"/>
          </w:tcPr>
          <w:p>
            <w:pPr>
              <w:pStyle w:val="435"/>
              <w:widowControl/>
              <w:snapToGrid w:val="0"/>
              <w:rPr>
                <w:b/>
                <w:bCs/>
                <w:color w:val="auto"/>
                <w:sz w:val="21"/>
                <w:szCs w:val="21"/>
              </w:rPr>
            </w:pPr>
          </w:p>
        </w:tc>
        <w:tc>
          <w:tcPr>
            <w:tcW w:w="456" w:type="pct"/>
            <w:vMerge w:val="continue"/>
            <w:vAlign w:val="center"/>
          </w:tcPr>
          <w:p>
            <w:pPr>
              <w:pStyle w:val="435"/>
              <w:widowControl/>
              <w:snapToGrid w:val="0"/>
              <w:rPr>
                <w:b/>
                <w:bCs/>
                <w:color w:val="auto"/>
                <w:sz w:val="21"/>
                <w:szCs w:val="21"/>
              </w:rPr>
            </w:pPr>
          </w:p>
        </w:tc>
        <w:tc>
          <w:tcPr>
            <w:tcW w:w="528" w:type="pct"/>
            <w:vMerge w:val="continue"/>
            <w:vAlign w:val="center"/>
          </w:tcPr>
          <w:p>
            <w:pPr>
              <w:pStyle w:val="435"/>
              <w:widowControl/>
              <w:snapToGrid w:val="0"/>
              <w:rPr>
                <w:b/>
                <w:bCs/>
                <w:color w:val="auto"/>
                <w:sz w:val="21"/>
                <w:szCs w:val="21"/>
              </w:rPr>
            </w:pPr>
          </w:p>
        </w:tc>
        <w:tc>
          <w:tcPr>
            <w:tcW w:w="663" w:type="pct"/>
            <w:vAlign w:val="center"/>
          </w:tcPr>
          <w:p>
            <w:pPr>
              <w:pStyle w:val="435"/>
              <w:widowControl/>
              <w:snapToGrid w:val="0"/>
              <w:rPr>
                <w:b/>
                <w:bCs/>
                <w:color w:val="auto"/>
                <w:sz w:val="21"/>
                <w:szCs w:val="21"/>
              </w:rPr>
            </w:pPr>
            <w:r>
              <w:rPr>
                <w:b/>
                <w:bCs/>
                <w:color w:val="auto"/>
                <w:sz w:val="21"/>
                <w:szCs w:val="21"/>
              </w:rPr>
              <w:t>浓度mg/m</w:t>
            </w:r>
            <w:r>
              <w:rPr>
                <w:b/>
                <w:bCs/>
                <w:color w:val="auto"/>
                <w:sz w:val="21"/>
                <w:szCs w:val="21"/>
                <w:vertAlign w:val="superscript"/>
              </w:rPr>
              <w:t>3</w:t>
            </w:r>
          </w:p>
        </w:tc>
        <w:tc>
          <w:tcPr>
            <w:tcW w:w="495" w:type="pct"/>
            <w:vAlign w:val="center"/>
          </w:tcPr>
          <w:p>
            <w:pPr>
              <w:pStyle w:val="435"/>
              <w:widowControl/>
              <w:snapToGrid w:val="0"/>
              <w:rPr>
                <w:b/>
                <w:bCs/>
                <w:color w:val="auto"/>
                <w:sz w:val="21"/>
                <w:szCs w:val="21"/>
              </w:rPr>
            </w:pPr>
            <w:r>
              <w:rPr>
                <w:b/>
                <w:bCs/>
                <w:color w:val="auto"/>
                <w:sz w:val="21"/>
                <w:szCs w:val="21"/>
              </w:rPr>
              <w:t>速率kg/h</w:t>
            </w:r>
          </w:p>
        </w:tc>
        <w:tc>
          <w:tcPr>
            <w:tcW w:w="399" w:type="pct"/>
            <w:vMerge w:val="continue"/>
            <w:vAlign w:val="center"/>
          </w:tcPr>
          <w:p>
            <w:pPr>
              <w:pStyle w:val="435"/>
              <w:widowControl/>
              <w:snapToGrid w:val="0"/>
              <w:rPr>
                <w:b/>
                <w:bCs/>
                <w:color w:val="auto"/>
                <w:sz w:val="21"/>
                <w:szCs w:val="21"/>
              </w:rPr>
            </w:pPr>
          </w:p>
        </w:tc>
        <w:tc>
          <w:tcPr>
            <w:tcW w:w="490" w:type="pct"/>
            <w:vAlign w:val="center"/>
          </w:tcPr>
          <w:p>
            <w:pPr>
              <w:pStyle w:val="435"/>
              <w:widowControl/>
              <w:snapToGrid w:val="0"/>
              <w:rPr>
                <w:b/>
                <w:bCs/>
                <w:color w:val="auto"/>
                <w:sz w:val="21"/>
                <w:szCs w:val="21"/>
              </w:rPr>
            </w:pPr>
            <w:r>
              <w:rPr>
                <w:b/>
                <w:bCs/>
                <w:color w:val="auto"/>
                <w:sz w:val="21"/>
                <w:szCs w:val="21"/>
              </w:rPr>
              <w:t>发生几率</w:t>
            </w:r>
          </w:p>
        </w:tc>
        <w:tc>
          <w:tcPr>
            <w:tcW w:w="481" w:type="pct"/>
            <w:vAlign w:val="center"/>
          </w:tcPr>
          <w:p>
            <w:pPr>
              <w:pStyle w:val="435"/>
              <w:widowControl/>
              <w:snapToGrid w:val="0"/>
              <w:rPr>
                <w:b/>
                <w:bCs/>
                <w:color w:val="auto"/>
                <w:sz w:val="21"/>
                <w:szCs w:val="21"/>
              </w:rPr>
            </w:pPr>
            <w:r>
              <w:rPr>
                <w:b/>
                <w:bCs/>
                <w:color w:val="auto"/>
                <w:sz w:val="21"/>
                <w:szCs w:val="21"/>
              </w:rPr>
              <w:t>持续时间</w:t>
            </w:r>
          </w:p>
        </w:tc>
        <w:tc>
          <w:tcPr>
            <w:tcW w:w="993" w:type="pct"/>
            <w:vMerge w:val="continue"/>
            <w:vAlign w:val="center"/>
          </w:tcPr>
          <w:p>
            <w:pPr>
              <w:pStyle w:val="435"/>
              <w:widowControl/>
              <w:snapToGrid w:val="0"/>
              <w:rPr>
                <w:b/>
                <w:bCs/>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740" w:hRule="atLeast"/>
          <w:jc w:val="center"/>
        </w:trPr>
        <w:tc>
          <w:tcPr>
            <w:tcW w:w="489" w:type="pct"/>
            <w:vMerge w:val="restart"/>
            <w:vAlign w:val="center"/>
          </w:tcPr>
          <w:p>
            <w:pPr>
              <w:pStyle w:val="425"/>
              <w:snapToGrid w:val="0"/>
              <w:rPr>
                <w:color w:val="auto"/>
                <w:kern w:val="2"/>
              </w:rPr>
            </w:pPr>
            <w:r>
              <w:rPr>
                <w:rFonts w:hint="eastAsia"/>
                <w:color w:val="auto"/>
                <w:kern w:val="2"/>
              </w:rPr>
              <w:t>DA001</w:t>
            </w:r>
            <w:r>
              <w:rPr>
                <w:color w:val="auto"/>
                <w:kern w:val="2"/>
              </w:rPr>
              <w:t>生物质锅炉</w:t>
            </w:r>
          </w:p>
        </w:tc>
        <w:tc>
          <w:tcPr>
            <w:tcW w:w="456" w:type="pct"/>
            <w:vAlign w:val="center"/>
          </w:tcPr>
          <w:p>
            <w:pPr>
              <w:pStyle w:val="425"/>
              <w:snapToGrid w:val="0"/>
              <w:rPr>
                <w:color w:val="auto"/>
                <w:kern w:val="2"/>
              </w:rPr>
            </w:pPr>
            <w:r>
              <w:rPr>
                <w:color w:val="auto"/>
                <w:kern w:val="2"/>
              </w:rPr>
              <w:t>颗粒物</w:t>
            </w:r>
          </w:p>
        </w:tc>
        <w:tc>
          <w:tcPr>
            <w:tcW w:w="528" w:type="pct"/>
            <w:vMerge w:val="restart"/>
            <w:vAlign w:val="center"/>
          </w:tcPr>
          <w:p>
            <w:pPr>
              <w:pStyle w:val="425"/>
              <w:snapToGrid w:val="0"/>
              <w:rPr>
                <w:rFonts w:hint="default" w:eastAsia="宋体"/>
                <w:color w:val="auto"/>
                <w:kern w:val="2"/>
                <w:lang w:val="en-US" w:eastAsia="zh-CN"/>
              </w:rPr>
            </w:pPr>
            <w:r>
              <w:rPr>
                <w:rFonts w:hint="eastAsia"/>
                <w:color w:val="auto"/>
                <w:kern w:val="2"/>
                <w:lang w:val="en-US" w:eastAsia="zh-CN"/>
              </w:rPr>
              <w:t>3100</w:t>
            </w:r>
          </w:p>
        </w:tc>
        <w:tc>
          <w:tcPr>
            <w:tcW w:w="663" w:type="pct"/>
            <w:vAlign w:val="center"/>
          </w:tcPr>
          <w:p>
            <w:pPr>
              <w:pStyle w:val="425"/>
              <w:snapToGrid w:val="0"/>
              <w:rPr>
                <w:rFonts w:hint="default" w:eastAsia="宋体"/>
                <w:color w:val="auto"/>
                <w:kern w:val="2"/>
                <w:lang w:val="en-US" w:eastAsia="zh-CN"/>
              </w:rPr>
            </w:pPr>
            <w:r>
              <w:rPr>
                <w:rFonts w:hint="eastAsia"/>
                <w:color w:val="auto"/>
                <w:kern w:val="2"/>
                <w:lang w:val="en-US" w:eastAsia="zh-CN"/>
              </w:rPr>
              <w:t>38.7</w:t>
            </w:r>
          </w:p>
        </w:tc>
        <w:tc>
          <w:tcPr>
            <w:tcW w:w="875" w:type="dxa"/>
            <w:vAlign w:val="center"/>
          </w:tcPr>
          <w:p>
            <w:pPr>
              <w:keepNext w:val="0"/>
              <w:keepLines w:val="0"/>
              <w:widowControl/>
              <w:suppressLineNumbers w:val="0"/>
              <w:jc w:val="center"/>
              <w:textAlignment w:val="center"/>
              <w:rPr>
                <w:rFonts w:hint="default" w:ascii="Times New Roman" w:eastAsia="宋体"/>
                <w:color w:val="auto"/>
                <w:sz w:val="21"/>
                <w:szCs w:val="21"/>
                <w:lang w:val="en-US"/>
              </w:rPr>
            </w:pPr>
            <w:r>
              <w:rPr>
                <w:rFonts w:hint="default" w:ascii="Times New Roman" w:hAnsi="Times New Roman" w:eastAsia="宋体" w:cs="Times New Roman"/>
                <w:i w:val="0"/>
                <w:color w:val="auto"/>
                <w:kern w:val="0"/>
                <w:sz w:val="21"/>
                <w:szCs w:val="21"/>
                <w:u w:val="none"/>
                <w:lang w:val="en-US" w:eastAsia="zh-CN" w:bidi="ar"/>
              </w:rPr>
              <w:t>0.1</w:t>
            </w:r>
            <w:r>
              <w:rPr>
                <w:rFonts w:hint="eastAsia" w:ascii="Times New Roman" w:eastAsia="宋体" w:cs="Times New Roman"/>
                <w:i w:val="0"/>
                <w:color w:val="auto"/>
                <w:kern w:val="0"/>
                <w:sz w:val="21"/>
                <w:szCs w:val="21"/>
                <w:u w:val="none"/>
                <w:lang w:val="en-US" w:eastAsia="zh-CN" w:bidi="ar"/>
              </w:rPr>
              <w:t>2</w:t>
            </w:r>
          </w:p>
        </w:tc>
        <w:tc>
          <w:tcPr>
            <w:tcW w:w="399" w:type="pct"/>
            <w:vMerge w:val="restart"/>
            <w:vAlign w:val="center"/>
          </w:tcPr>
          <w:p>
            <w:pPr>
              <w:pStyle w:val="425"/>
              <w:snapToGrid w:val="0"/>
              <w:rPr>
                <w:color w:val="auto"/>
                <w:kern w:val="2"/>
              </w:rPr>
            </w:pPr>
            <w:r>
              <w:rPr>
                <w:rFonts w:hint="eastAsia"/>
                <w:color w:val="auto"/>
                <w:kern w:val="2"/>
              </w:rPr>
              <w:t>30m</w:t>
            </w:r>
          </w:p>
        </w:tc>
        <w:tc>
          <w:tcPr>
            <w:tcW w:w="490" w:type="pct"/>
            <w:vMerge w:val="restart"/>
            <w:vAlign w:val="center"/>
          </w:tcPr>
          <w:p>
            <w:pPr>
              <w:pStyle w:val="425"/>
              <w:snapToGrid w:val="0"/>
              <w:rPr>
                <w:color w:val="auto"/>
                <w:kern w:val="2"/>
              </w:rPr>
            </w:pPr>
            <w:r>
              <w:rPr>
                <w:rFonts w:hint="eastAsia"/>
                <w:color w:val="auto"/>
                <w:kern w:val="2"/>
              </w:rPr>
              <w:t>1次/年</w:t>
            </w:r>
          </w:p>
        </w:tc>
        <w:tc>
          <w:tcPr>
            <w:tcW w:w="481" w:type="pct"/>
            <w:vMerge w:val="restart"/>
            <w:vAlign w:val="center"/>
          </w:tcPr>
          <w:p>
            <w:pPr>
              <w:pStyle w:val="425"/>
              <w:snapToGrid w:val="0"/>
              <w:rPr>
                <w:color w:val="auto"/>
                <w:kern w:val="2"/>
              </w:rPr>
            </w:pPr>
            <w:r>
              <w:rPr>
                <w:rFonts w:hint="eastAsia"/>
                <w:color w:val="auto"/>
                <w:kern w:val="2"/>
              </w:rPr>
              <w:t>1h</w:t>
            </w:r>
          </w:p>
        </w:tc>
        <w:tc>
          <w:tcPr>
            <w:tcW w:w="993" w:type="pct"/>
            <w:vMerge w:val="restart"/>
            <w:vAlign w:val="center"/>
          </w:tcPr>
          <w:p>
            <w:pPr>
              <w:pStyle w:val="425"/>
              <w:snapToGrid w:val="0"/>
              <w:jc w:val="left"/>
              <w:rPr>
                <w:color w:val="auto"/>
                <w:kern w:val="2"/>
              </w:rPr>
            </w:pPr>
            <w:r>
              <w:rPr>
                <w:rFonts w:hint="eastAsia"/>
                <w:color w:val="auto"/>
              </w:rPr>
              <w:t>立刻停止相关的作业，杜绝废气继续产生，避免导致附近大气环境质量的恶化，并立刻对废气理设施进行维修，直至废气处理系统能有效运行时，才恢复相关的生产作业</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740" w:hRule="atLeast"/>
          <w:jc w:val="center"/>
        </w:trPr>
        <w:tc>
          <w:tcPr>
            <w:tcW w:w="489" w:type="pct"/>
            <w:vMerge w:val="continue"/>
            <w:vAlign w:val="center"/>
          </w:tcPr>
          <w:p>
            <w:pPr>
              <w:pStyle w:val="435"/>
              <w:widowControl/>
              <w:snapToGrid w:val="0"/>
              <w:rPr>
                <w:b/>
                <w:bCs/>
                <w:color w:val="auto"/>
                <w:sz w:val="21"/>
                <w:szCs w:val="21"/>
              </w:rPr>
            </w:pPr>
          </w:p>
        </w:tc>
        <w:tc>
          <w:tcPr>
            <w:tcW w:w="456" w:type="pct"/>
            <w:vAlign w:val="center"/>
          </w:tcPr>
          <w:p>
            <w:pPr>
              <w:pStyle w:val="425"/>
              <w:snapToGrid w:val="0"/>
              <w:rPr>
                <w:b/>
                <w:bCs/>
                <w:color w:val="auto"/>
              </w:rPr>
            </w:pPr>
            <w:r>
              <w:rPr>
                <w:color w:val="auto"/>
                <w:kern w:val="2"/>
              </w:rPr>
              <w:t>SO</w:t>
            </w:r>
            <w:r>
              <w:rPr>
                <w:color w:val="auto"/>
                <w:kern w:val="2"/>
                <w:vertAlign w:val="subscript"/>
              </w:rPr>
              <w:t>2</w:t>
            </w:r>
          </w:p>
        </w:tc>
        <w:tc>
          <w:tcPr>
            <w:tcW w:w="528" w:type="pct"/>
            <w:vMerge w:val="continue"/>
            <w:vAlign w:val="center"/>
          </w:tcPr>
          <w:p>
            <w:pPr>
              <w:pStyle w:val="435"/>
              <w:widowControl/>
              <w:snapToGrid w:val="0"/>
              <w:rPr>
                <w:b/>
                <w:bCs/>
                <w:color w:val="auto"/>
                <w:sz w:val="21"/>
                <w:szCs w:val="21"/>
              </w:rPr>
            </w:pPr>
          </w:p>
        </w:tc>
        <w:tc>
          <w:tcPr>
            <w:tcW w:w="663" w:type="pct"/>
            <w:vAlign w:val="center"/>
          </w:tcPr>
          <w:p>
            <w:pPr>
              <w:widowControl/>
              <w:snapToGrid w:val="0"/>
              <w:jc w:val="center"/>
              <w:textAlignment w:val="center"/>
              <w:rPr>
                <w:rFonts w:hint="default" w:ascii="Times New Roman" w:eastAsia="宋体"/>
                <w:b w:val="0"/>
                <w:bCs w:val="0"/>
                <w:color w:val="auto"/>
                <w:sz w:val="21"/>
                <w:szCs w:val="21"/>
                <w:lang w:val="en-US" w:eastAsia="zh-CN"/>
              </w:rPr>
            </w:pPr>
            <w:r>
              <w:rPr>
                <w:rFonts w:hint="eastAsia" w:ascii="Times New Roman" w:eastAsia="宋体"/>
                <w:b w:val="0"/>
                <w:bCs w:val="0"/>
                <w:color w:val="auto"/>
                <w:sz w:val="21"/>
                <w:szCs w:val="21"/>
                <w:lang w:val="en-US" w:eastAsia="zh-CN"/>
              </w:rPr>
              <w:t>76.8</w:t>
            </w:r>
          </w:p>
        </w:tc>
        <w:tc>
          <w:tcPr>
            <w:tcW w:w="875" w:type="dxa"/>
            <w:vAlign w:val="center"/>
          </w:tcPr>
          <w:p>
            <w:pPr>
              <w:keepNext w:val="0"/>
              <w:keepLines w:val="0"/>
              <w:widowControl/>
              <w:suppressLineNumbers w:val="0"/>
              <w:jc w:val="center"/>
              <w:textAlignment w:val="center"/>
              <w:rPr>
                <w:rFonts w:ascii="Times New Roman" w:eastAsia="宋体"/>
                <w:color w:val="auto"/>
                <w:sz w:val="21"/>
                <w:szCs w:val="21"/>
              </w:rPr>
            </w:pPr>
            <w:r>
              <w:rPr>
                <w:rFonts w:hint="default" w:ascii="Times New Roman" w:hAnsi="Times New Roman" w:eastAsia="宋体" w:cs="Times New Roman"/>
                <w:i w:val="0"/>
                <w:color w:val="auto"/>
                <w:kern w:val="0"/>
                <w:sz w:val="21"/>
                <w:szCs w:val="21"/>
                <w:u w:val="none"/>
                <w:lang w:val="en-US" w:eastAsia="zh-CN" w:bidi="ar"/>
              </w:rPr>
              <w:t>0.238</w:t>
            </w:r>
          </w:p>
        </w:tc>
        <w:tc>
          <w:tcPr>
            <w:tcW w:w="399" w:type="pct"/>
            <w:vMerge w:val="continue"/>
            <w:vAlign w:val="center"/>
          </w:tcPr>
          <w:p>
            <w:pPr>
              <w:pStyle w:val="435"/>
              <w:widowControl/>
              <w:snapToGrid w:val="0"/>
              <w:rPr>
                <w:b/>
                <w:bCs/>
                <w:color w:val="auto"/>
                <w:sz w:val="21"/>
                <w:szCs w:val="21"/>
              </w:rPr>
            </w:pPr>
          </w:p>
        </w:tc>
        <w:tc>
          <w:tcPr>
            <w:tcW w:w="490" w:type="pct"/>
            <w:vMerge w:val="continue"/>
            <w:vAlign w:val="center"/>
          </w:tcPr>
          <w:p>
            <w:pPr>
              <w:rPr>
                <w:color w:val="auto"/>
              </w:rPr>
            </w:pPr>
          </w:p>
        </w:tc>
        <w:tc>
          <w:tcPr>
            <w:tcW w:w="481" w:type="pct"/>
            <w:vMerge w:val="continue"/>
            <w:vAlign w:val="center"/>
          </w:tcPr>
          <w:p>
            <w:pPr>
              <w:pStyle w:val="435"/>
              <w:widowControl/>
              <w:snapToGrid w:val="0"/>
              <w:rPr>
                <w:b/>
                <w:bCs/>
                <w:color w:val="auto"/>
                <w:sz w:val="21"/>
                <w:szCs w:val="21"/>
              </w:rPr>
            </w:pPr>
          </w:p>
        </w:tc>
        <w:tc>
          <w:tcPr>
            <w:tcW w:w="993" w:type="pct"/>
            <w:vMerge w:val="continue"/>
            <w:vAlign w:val="center"/>
          </w:tcPr>
          <w:p>
            <w:pPr>
              <w:pStyle w:val="435"/>
              <w:widowControl/>
              <w:snapToGrid w:val="0"/>
              <w:rPr>
                <w:b/>
                <w:bCs/>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740" w:hRule="atLeast"/>
          <w:jc w:val="center"/>
        </w:trPr>
        <w:tc>
          <w:tcPr>
            <w:tcW w:w="489" w:type="pct"/>
            <w:vMerge w:val="continue"/>
            <w:vAlign w:val="center"/>
          </w:tcPr>
          <w:p>
            <w:pPr>
              <w:pStyle w:val="435"/>
              <w:widowControl/>
              <w:snapToGrid w:val="0"/>
              <w:rPr>
                <w:b/>
                <w:bCs/>
                <w:color w:val="auto"/>
                <w:sz w:val="21"/>
                <w:szCs w:val="21"/>
              </w:rPr>
            </w:pPr>
          </w:p>
        </w:tc>
        <w:tc>
          <w:tcPr>
            <w:tcW w:w="456" w:type="pct"/>
            <w:vAlign w:val="center"/>
          </w:tcPr>
          <w:p>
            <w:pPr>
              <w:pStyle w:val="425"/>
              <w:snapToGrid w:val="0"/>
              <w:rPr>
                <w:b/>
                <w:bCs/>
                <w:color w:val="auto"/>
              </w:rPr>
            </w:pPr>
            <w:r>
              <w:rPr>
                <w:color w:val="auto"/>
                <w:kern w:val="2"/>
              </w:rPr>
              <w:t>NOx</w:t>
            </w:r>
          </w:p>
        </w:tc>
        <w:tc>
          <w:tcPr>
            <w:tcW w:w="528" w:type="pct"/>
            <w:vMerge w:val="continue"/>
            <w:vAlign w:val="center"/>
          </w:tcPr>
          <w:p>
            <w:pPr>
              <w:pStyle w:val="435"/>
              <w:widowControl/>
              <w:snapToGrid w:val="0"/>
              <w:rPr>
                <w:b/>
                <w:bCs/>
                <w:color w:val="auto"/>
                <w:sz w:val="21"/>
                <w:szCs w:val="21"/>
              </w:rPr>
            </w:pPr>
          </w:p>
        </w:tc>
        <w:tc>
          <w:tcPr>
            <w:tcW w:w="663" w:type="pct"/>
            <w:vAlign w:val="center"/>
          </w:tcPr>
          <w:p>
            <w:pPr>
              <w:widowControl/>
              <w:snapToGrid w:val="0"/>
              <w:jc w:val="center"/>
              <w:textAlignment w:val="center"/>
              <w:rPr>
                <w:rFonts w:hint="default" w:ascii="Times New Roman" w:eastAsia="宋体"/>
                <w:b w:val="0"/>
                <w:bCs w:val="0"/>
                <w:color w:val="auto"/>
                <w:sz w:val="21"/>
                <w:szCs w:val="21"/>
                <w:lang w:val="en-US" w:eastAsia="zh-CN"/>
              </w:rPr>
            </w:pPr>
            <w:r>
              <w:rPr>
                <w:rFonts w:hint="eastAsia" w:ascii="Times New Roman" w:eastAsia="宋体"/>
                <w:b w:val="0"/>
                <w:bCs w:val="0"/>
                <w:color w:val="auto"/>
                <w:sz w:val="21"/>
                <w:szCs w:val="21"/>
                <w:lang w:val="en-US" w:eastAsia="zh-CN"/>
              </w:rPr>
              <w:t>65.8</w:t>
            </w:r>
          </w:p>
        </w:tc>
        <w:tc>
          <w:tcPr>
            <w:tcW w:w="875" w:type="dxa"/>
            <w:vAlign w:val="center"/>
          </w:tcPr>
          <w:p>
            <w:pPr>
              <w:keepNext w:val="0"/>
              <w:keepLines w:val="0"/>
              <w:widowControl/>
              <w:suppressLineNumbers w:val="0"/>
              <w:jc w:val="center"/>
              <w:textAlignment w:val="center"/>
              <w:rPr>
                <w:rFonts w:ascii="Times New Roman" w:eastAsia="宋体"/>
                <w:color w:val="auto"/>
                <w:sz w:val="21"/>
                <w:szCs w:val="21"/>
              </w:rPr>
            </w:pPr>
            <w:r>
              <w:rPr>
                <w:rFonts w:hint="default" w:ascii="Times New Roman" w:hAnsi="Times New Roman" w:eastAsia="宋体" w:cs="Times New Roman"/>
                <w:i w:val="0"/>
                <w:color w:val="auto"/>
                <w:kern w:val="0"/>
                <w:sz w:val="21"/>
                <w:szCs w:val="21"/>
                <w:u w:val="none"/>
                <w:lang w:val="en-US" w:eastAsia="zh-CN" w:bidi="ar"/>
              </w:rPr>
              <w:t>0.204</w:t>
            </w:r>
          </w:p>
        </w:tc>
        <w:tc>
          <w:tcPr>
            <w:tcW w:w="399" w:type="pct"/>
            <w:vMerge w:val="continue"/>
            <w:vAlign w:val="center"/>
          </w:tcPr>
          <w:p>
            <w:pPr>
              <w:pStyle w:val="435"/>
              <w:widowControl/>
              <w:snapToGrid w:val="0"/>
              <w:rPr>
                <w:b/>
                <w:bCs/>
                <w:color w:val="auto"/>
                <w:sz w:val="21"/>
                <w:szCs w:val="21"/>
              </w:rPr>
            </w:pPr>
          </w:p>
        </w:tc>
        <w:tc>
          <w:tcPr>
            <w:tcW w:w="490" w:type="pct"/>
            <w:vMerge w:val="continue"/>
            <w:vAlign w:val="center"/>
          </w:tcPr>
          <w:p>
            <w:pPr>
              <w:rPr>
                <w:color w:val="auto"/>
              </w:rPr>
            </w:pPr>
          </w:p>
        </w:tc>
        <w:tc>
          <w:tcPr>
            <w:tcW w:w="481" w:type="pct"/>
            <w:vMerge w:val="continue"/>
            <w:vAlign w:val="center"/>
          </w:tcPr>
          <w:p>
            <w:pPr>
              <w:pStyle w:val="435"/>
              <w:widowControl/>
              <w:snapToGrid w:val="0"/>
              <w:rPr>
                <w:b/>
                <w:bCs/>
                <w:color w:val="auto"/>
                <w:sz w:val="21"/>
                <w:szCs w:val="21"/>
              </w:rPr>
            </w:pPr>
          </w:p>
        </w:tc>
        <w:tc>
          <w:tcPr>
            <w:tcW w:w="993" w:type="pct"/>
            <w:vMerge w:val="continue"/>
            <w:vAlign w:val="center"/>
          </w:tcPr>
          <w:p>
            <w:pPr>
              <w:pStyle w:val="435"/>
              <w:widowControl/>
              <w:snapToGrid w:val="0"/>
              <w:rPr>
                <w:b/>
                <w:bCs/>
                <w:color w:val="auto"/>
                <w:sz w:val="21"/>
                <w:szCs w:val="21"/>
              </w:rPr>
            </w:pPr>
          </w:p>
        </w:tc>
      </w:tr>
    </w:tbl>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3.3.3全场</w:t>
      </w:r>
      <w:r>
        <w:rPr>
          <w:rFonts w:ascii="Times New Roman" w:eastAsia="宋体"/>
          <w:b/>
          <w:bCs/>
          <w:color w:val="auto"/>
          <w:kern w:val="2"/>
          <w:sz w:val="24"/>
        </w:rPr>
        <w:t>污染物排放清单</w:t>
      </w:r>
    </w:p>
    <w:p>
      <w:pPr>
        <w:pStyle w:val="301"/>
        <w:spacing w:line="360" w:lineRule="auto"/>
        <w:ind w:firstLine="497"/>
        <w:rPr>
          <w:rFonts w:ascii="Times New Roman" w:eastAsia="宋体"/>
          <w:color w:val="auto"/>
        </w:rPr>
        <w:sectPr>
          <w:pgSz w:w="11906" w:h="16838"/>
          <w:pgMar w:top="1440" w:right="1803" w:bottom="1440" w:left="1803" w:header="850" w:footer="992" w:gutter="0"/>
          <w:pgNumType w:fmt="decimal"/>
          <w:cols w:space="720" w:num="1"/>
          <w:docGrid w:type="linesAndChars" w:linePitch="319" w:charSpace="1724"/>
        </w:sectPr>
      </w:pPr>
      <w:r>
        <w:rPr>
          <w:rFonts w:ascii="Times New Roman" w:eastAsia="宋体"/>
          <w:color w:val="auto"/>
        </w:rPr>
        <w:t>本项目</w:t>
      </w:r>
      <w:r>
        <w:rPr>
          <w:rFonts w:hint="eastAsia" w:ascii="Times New Roman" w:eastAsia="宋体"/>
          <w:color w:val="auto"/>
        </w:rPr>
        <w:t>全场</w:t>
      </w:r>
      <w:r>
        <w:rPr>
          <w:rFonts w:ascii="Times New Roman" w:eastAsia="宋体"/>
          <w:color w:val="auto"/>
        </w:rPr>
        <w:t>污染物排放清单详见</w:t>
      </w:r>
      <w:r>
        <w:rPr>
          <w:rFonts w:hint="eastAsia" w:ascii="Times New Roman" w:eastAsia="宋体"/>
          <w:color w:val="auto"/>
        </w:rPr>
        <w:t>表3.3-17</w:t>
      </w:r>
      <w:r>
        <w:rPr>
          <w:rFonts w:ascii="Times New Roman" w:eastAsia="宋体"/>
          <w:color w:val="auto"/>
        </w:rPr>
        <w:t>。</w:t>
      </w:r>
    </w:p>
    <w:p>
      <w:pPr>
        <w:pStyle w:val="358"/>
        <w:jc w:val="center"/>
        <w:rPr>
          <w:rStyle w:val="144"/>
          <w:color w:val="auto"/>
          <w:kern w:val="2"/>
          <w:sz w:val="21"/>
        </w:rPr>
      </w:pPr>
      <w:r>
        <w:rPr>
          <w:rFonts w:ascii="Times New Roman" w:hAnsi="Times New Roman" w:eastAsia="宋体" w:cs="Times New Roman"/>
          <w:b/>
          <w:bCs/>
          <w:color w:val="auto"/>
        </w:rPr>
        <w:t>表</w:t>
      </w:r>
      <w:bookmarkEnd w:id="313"/>
      <w:r>
        <w:rPr>
          <w:rFonts w:hint="eastAsia" w:ascii="Times New Roman" w:hAnsi="Times New Roman" w:eastAsia="宋体" w:cs="Times New Roman"/>
          <w:b/>
          <w:bCs/>
          <w:color w:val="auto"/>
        </w:rPr>
        <w:t>3.3-</w:t>
      </w:r>
      <w:r>
        <w:rPr>
          <w:rFonts w:ascii="Times New Roman" w:hAnsi="Times New Roman" w:eastAsia="宋体" w:cs="Times New Roman"/>
          <w:b/>
          <w:bCs/>
          <w:color w:val="auto"/>
        </w:rPr>
        <w:t>1</w:t>
      </w:r>
      <w:r>
        <w:rPr>
          <w:rFonts w:hint="eastAsia" w:ascii="Times New Roman" w:hAnsi="Times New Roman" w:eastAsia="宋体" w:cs="Times New Roman"/>
          <w:b/>
          <w:bCs/>
          <w:color w:val="auto"/>
        </w:rPr>
        <w:t>7</w:t>
      </w:r>
      <w:r>
        <w:rPr>
          <w:rStyle w:val="144"/>
          <w:color w:val="auto"/>
          <w:kern w:val="2"/>
          <w:sz w:val="21"/>
        </w:rPr>
        <w:t>污染物排放清单一览表</w:t>
      </w:r>
    </w:p>
    <w:tbl>
      <w:tblPr>
        <w:tblStyle w:val="47"/>
        <w:tblW w:w="143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345"/>
        <w:gridCol w:w="1016"/>
        <w:gridCol w:w="1952"/>
        <w:gridCol w:w="1129"/>
        <w:gridCol w:w="1404"/>
        <w:gridCol w:w="2016"/>
        <w:gridCol w:w="1877"/>
        <w:gridCol w:w="28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tcBorders>
              <w:tl2br w:val="nil"/>
              <w:tr2bl w:val="nil"/>
            </w:tcBorders>
            <w:vAlign w:val="center"/>
          </w:tcPr>
          <w:p>
            <w:pPr>
              <w:pStyle w:val="373"/>
              <w:rPr>
                <w:b/>
                <w:color w:val="auto"/>
              </w:rPr>
            </w:pPr>
            <w:r>
              <w:rPr>
                <w:b/>
                <w:color w:val="auto"/>
              </w:rPr>
              <w:t>分类</w:t>
            </w:r>
          </w:p>
        </w:tc>
        <w:tc>
          <w:tcPr>
            <w:tcW w:w="1345" w:type="dxa"/>
            <w:tcBorders>
              <w:tl2br w:val="nil"/>
              <w:tr2bl w:val="nil"/>
            </w:tcBorders>
            <w:vAlign w:val="center"/>
          </w:tcPr>
          <w:p>
            <w:pPr>
              <w:pStyle w:val="373"/>
              <w:rPr>
                <w:b/>
                <w:color w:val="auto"/>
              </w:rPr>
            </w:pPr>
            <w:r>
              <w:rPr>
                <w:b/>
                <w:color w:val="auto"/>
              </w:rPr>
              <w:t>工序/设备</w:t>
            </w:r>
          </w:p>
        </w:tc>
        <w:tc>
          <w:tcPr>
            <w:tcW w:w="1016" w:type="dxa"/>
            <w:tcBorders>
              <w:tl2br w:val="nil"/>
              <w:tr2bl w:val="nil"/>
            </w:tcBorders>
            <w:vAlign w:val="center"/>
          </w:tcPr>
          <w:p>
            <w:pPr>
              <w:pStyle w:val="373"/>
              <w:rPr>
                <w:b/>
                <w:color w:val="auto"/>
              </w:rPr>
            </w:pPr>
            <w:r>
              <w:rPr>
                <w:b/>
                <w:color w:val="auto"/>
              </w:rPr>
              <w:t>主要</w:t>
            </w:r>
          </w:p>
          <w:p>
            <w:pPr>
              <w:pStyle w:val="373"/>
              <w:rPr>
                <w:b/>
                <w:color w:val="auto"/>
              </w:rPr>
            </w:pPr>
            <w:r>
              <w:rPr>
                <w:b/>
                <w:color w:val="auto"/>
              </w:rPr>
              <w:t>污染物</w:t>
            </w:r>
          </w:p>
        </w:tc>
        <w:tc>
          <w:tcPr>
            <w:tcW w:w="1952" w:type="dxa"/>
            <w:tcBorders>
              <w:tl2br w:val="nil"/>
              <w:tr2bl w:val="nil"/>
            </w:tcBorders>
            <w:vAlign w:val="center"/>
          </w:tcPr>
          <w:p>
            <w:pPr>
              <w:pStyle w:val="373"/>
              <w:rPr>
                <w:b/>
                <w:color w:val="auto"/>
              </w:rPr>
            </w:pPr>
            <w:r>
              <w:rPr>
                <w:b/>
                <w:color w:val="auto"/>
              </w:rPr>
              <w:t>排放浓度</w:t>
            </w:r>
          </w:p>
          <w:p>
            <w:pPr>
              <w:pStyle w:val="373"/>
              <w:rPr>
                <w:b/>
                <w:color w:val="auto"/>
              </w:rPr>
            </w:pPr>
            <w:r>
              <w:rPr>
                <w:b/>
                <w:color w:val="auto"/>
              </w:rPr>
              <w:t>（</w:t>
            </w:r>
            <w:r>
              <w:rPr>
                <w:color w:val="auto"/>
              </w:rPr>
              <w:t>mg/m</w:t>
            </w:r>
            <w:r>
              <w:rPr>
                <w:color w:val="auto"/>
                <w:vertAlign w:val="superscript"/>
              </w:rPr>
              <w:t>3</w:t>
            </w:r>
            <w:r>
              <w:rPr>
                <w:rFonts w:hint="eastAsia"/>
                <w:bCs/>
                <w:color w:val="auto"/>
                <w:lang w:val="en-US" w:eastAsia="zh-CN"/>
              </w:rPr>
              <w:t>或</w:t>
            </w:r>
            <w:r>
              <w:rPr>
                <w:bCs/>
                <w:color w:val="auto"/>
              </w:rPr>
              <w:t>mg/L</w:t>
            </w:r>
            <w:r>
              <w:rPr>
                <w:b/>
                <w:color w:val="auto"/>
              </w:rPr>
              <w:t>）</w:t>
            </w:r>
          </w:p>
        </w:tc>
        <w:tc>
          <w:tcPr>
            <w:tcW w:w="1129" w:type="dxa"/>
            <w:tcBorders>
              <w:tl2br w:val="nil"/>
              <w:tr2bl w:val="nil"/>
            </w:tcBorders>
            <w:vAlign w:val="center"/>
          </w:tcPr>
          <w:p>
            <w:pPr>
              <w:pStyle w:val="373"/>
              <w:rPr>
                <w:b/>
                <w:color w:val="auto"/>
              </w:rPr>
            </w:pPr>
            <w:r>
              <w:rPr>
                <w:b/>
                <w:color w:val="auto"/>
              </w:rPr>
              <w:t>排放总量</w:t>
            </w:r>
          </w:p>
          <w:p>
            <w:pPr>
              <w:pStyle w:val="373"/>
              <w:rPr>
                <w:b/>
                <w:color w:val="auto"/>
              </w:rPr>
            </w:pPr>
            <w:r>
              <w:rPr>
                <w:b/>
                <w:color w:val="auto"/>
              </w:rPr>
              <w:t>（</w:t>
            </w:r>
            <w:r>
              <w:rPr>
                <w:color w:val="auto"/>
              </w:rPr>
              <w:t>t/a</w:t>
            </w:r>
            <w:r>
              <w:rPr>
                <w:b/>
                <w:color w:val="auto"/>
              </w:rPr>
              <w:t>）</w:t>
            </w:r>
          </w:p>
        </w:tc>
        <w:tc>
          <w:tcPr>
            <w:tcW w:w="1404" w:type="dxa"/>
            <w:tcBorders>
              <w:tl2br w:val="nil"/>
              <w:tr2bl w:val="nil"/>
            </w:tcBorders>
            <w:vAlign w:val="center"/>
          </w:tcPr>
          <w:p>
            <w:pPr>
              <w:pStyle w:val="373"/>
              <w:rPr>
                <w:b/>
                <w:color w:val="auto"/>
              </w:rPr>
            </w:pPr>
            <w:r>
              <w:rPr>
                <w:b/>
                <w:color w:val="auto"/>
              </w:rPr>
              <w:t>污染物</w:t>
            </w:r>
          </w:p>
          <w:p>
            <w:pPr>
              <w:pStyle w:val="373"/>
              <w:rPr>
                <w:b/>
                <w:color w:val="auto"/>
              </w:rPr>
            </w:pPr>
            <w:r>
              <w:rPr>
                <w:b/>
                <w:color w:val="auto"/>
              </w:rPr>
              <w:t>排放时段</w:t>
            </w:r>
          </w:p>
        </w:tc>
        <w:tc>
          <w:tcPr>
            <w:tcW w:w="2016" w:type="dxa"/>
            <w:tcBorders>
              <w:tl2br w:val="nil"/>
              <w:tr2bl w:val="nil"/>
            </w:tcBorders>
            <w:vAlign w:val="center"/>
          </w:tcPr>
          <w:p>
            <w:pPr>
              <w:pStyle w:val="373"/>
              <w:rPr>
                <w:b/>
                <w:color w:val="auto"/>
              </w:rPr>
            </w:pPr>
            <w:r>
              <w:rPr>
                <w:b/>
                <w:color w:val="auto"/>
              </w:rPr>
              <w:t>拟采取措施</w:t>
            </w:r>
          </w:p>
        </w:tc>
        <w:tc>
          <w:tcPr>
            <w:tcW w:w="1877" w:type="dxa"/>
            <w:tcBorders>
              <w:tl2br w:val="nil"/>
              <w:tr2bl w:val="nil"/>
            </w:tcBorders>
            <w:vAlign w:val="center"/>
          </w:tcPr>
          <w:p>
            <w:pPr>
              <w:pStyle w:val="373"/>
              <w:rPr>
                <w:b/>
                <w:color w:val="auto"/>
              </w:rPr>
            </w:pPr>
            <w:r>
              <w:rPr>
                <w:b/>
                <w:color w:val="auto"/>
              </w:rPr>
              <w:t>主要运行参数</w:t>
            </w:r>
          </w:p>
        </w:tc>
        <w:tc>
          <w:tcPr>
            <w:tcW w:w="2891" w:type="dxa"/>
            <w:tcBorders>
              <w:tl2br w:val="nil"/>
              <w:tr2bl w:val="nil"/>
            </w:tcBorders>
            <w:vAlign w:val="center"/>
          </w:tcPr>
          <w:p>
            <w:pPr>
              <w:pStyle w:val="373"/>
              <w:rPr>
                <w:b/>
                <w:color w:val="auto"/>
              </w:rPr>
            </w:pPr>
            <w:r>
              <w:rPr>
                <w:b/>
                <w:color w:val="auto"/>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restart"/>
            <w:tcBorders>
              <w:tl2br w:val="nil"/>
              <w:tr2bl w:val="nil"/>
            </w:tcBorders>
            <w:vAlign w:val="center"/>
          </w:tcPr>
          <w:p>
            <w:pPr>
              <w:pStyle w:val="373"/>
              <w:rPr>
                <w:color w:val="auto"/>
              </w:rPr>
            </w:pPr>
            <w:r>
              <w:rPr>
                <w:color w:val="auto"/>
              </w:rPr>
              <w:t>废气</w:t>
            </w:r>
          </w:p>
        </w:tc>
        <w:tc>
          <w:tcPr>
            <w:tcW w:w="1345" w:type="dxa"/>
            <w:vMerge w:val="restart"/>
            <w:tcBorders>
              <w:tl2br w:val="nil"/>
              <w:tr2bl w:val="nil"/>
            </w:tcBorders>
            <w:vAlign w:val="center"/>
          </w:tcPr>
          <w:p>
            <w:pPr>
              <w:pStyle w:val="373"/>
              <w:rPr>
                <w:color w:val="auto"/>
              </w:rPr>
            </w:pPr>
            <w:r>
              <w:rPr>
                <w:color w:val="auto"/>
              </w:rPr>
              <w:t>生物质锅炉</w:t>
            </w:r>
          </w:p>
        </w:tc>
        <w:tc>
          <w:tcPr>
            <w:tcW w:w="1016" w:type="dxa"/>
            <w:tcBorders>
              <w:tl2br w:val="nil"/>
              <w:tr2bl w:val="nil"/>
            </w:tcBorders>
            <w:vAlign w:val="center"/>
          </w:tcPr>
          <w:p>
            <w:pPr>
              <w:pStyle w:val="373"/>
              <w:rPr>
                <w:color w:val="auto"/>
              </w:rPr>
            </w:pPr>
            <w:r>
              <w:rPr>
                <w:color w:val="auto"/>
              </w:rPr>
              <w:t>颗粒物</w:t>
            </w:r>
          </w:p>
        </w:tc>
        <w:tc>
          <w:tcPr>
            <w:tcW w:w="1952" w:type="dxa"/>
            <w:tcBorders>
              <w:tl2br w:val="nil"/>
              <w:tr2bl w:val="nil"/>
            </w:tcBorders>
            <w:vAlign w:val="center"/>
          </w:tcPr>
          <w:p>
            <w:pPr>
              <w:snapToGrid w:val="0"/>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3.9</w:t>
            </w:r>
          </w:p>
        </w:tc>
        <w:tc>
          <w:tcPr>
            <w:tcW w:w="1129" w:type="dxa"/>
            <w:tcBorders>
              <w:tl2br w:val="nil"/>
              <w:tr2bl w:val="nil"/>
            </w:tcBorders>
            <w:vAlign w:val="center"/>
          </w:tcPr>
          <w:p>
            <w:pPr>
              <w:pStyle w:val="373"/>
              <w:rPr>
                <w:rFonts w:hint="default"/>
                <w:bCs/>
                <w:color w:val="auto"/>
                <w:lang w:val="en-US"/>
              </w:rPr>
            </w:pPr>
            <w:r>
              <w:rPr>
                <w:rFonts w:hint="eastAsia"/>
                <w:bCs/>
                <w:color w:val="auto"/>
                <w:lang w:val="en-US" w:eastAsia="zh-CN"/>
              </w:rPr>
              <w:t>0.029</w:t>
            </w:r>
          </w:p>
        </w:tc>
        <w:tc>
          <w:tcPr>
            <w:tcW w:w="1404" w:type="dxa"/>
            <w:vMerge w:val="restart"/>
            <w:tcBorders>
              <w:tl2br w:val="nil"/>
              <w:tr2bl w:val="nil"/>
            </w:tcBorders>
            <w:vAlign w:val="center"/>
          </w:tcPr>
          <w:p>
            <w:pPr>
              <w:pStyle w:val="373"/>
              <w:rPr>
                <w:color w:val="auto"/>
              </w:rPr>
            </w:pPr>
            <w:r>
              <w:rPr>
                <w:color w:val="auto"/>
              </w:rPr>
              <w:t>运营期</w:t>
            </w:r>
          </w:p>
          <w:p>
            <w:pPr>
              <w:pStyle w:val="373"/>
              <w:rPr>
                <w:color w:val="auto"/>
              </w:rPr>
            </w:pPr>
            <w:r>
              <w:rPr>
                <w:color w:val="auto"/>
              </w:rPr>
              <w:t>供热时段</w:t>
            </w:r>
          </w:p>
        </w:tc>
        <w:tc>
          <w:tcPr>
            <w:tcW w:w="2016" w:type="dxa"/>
            <w:vMerge w:val="restart"/>
            <w:tcBorders>
              <w:tl2br w:val="nil"/>
              <w:tr2bl w:val="nil"/>
            </w:tcBorders>
            <w:vAlign w:val="center"/>
          </w:tcPr>
          <w:p>
            <w:pPr>
              <w:pStyle w:val="373"/>
              <w:rPr>
                <w:color w:val="auto"/>
              </w:rPr>
            </w:pPr>
            <w:r>
              <w:rPr>
                <w:rFonts w:hint="eastAsia"/>
                <w:color w:val="auto"/>
                <w:lang w:val="en-US" w:eastAsia="zh-CN"/>
              </w:rPr>
              <w:t>布袋除尘器（2套）+</w:t>
            </w:r>
            <w:r>
              <w:rPr>
                <w:rFonts w:hint="eastAsia"/>
                <w:color w:val="auto"/>
              </w:rPr>
              <w:t>3</w:t>
            </w:r>
            <w:r>
              <w:rPr>
                <w:color w:val="auto"/>
              </w:rPr>
              <w:t>0m高排气筒</w:t>
            </w:r>
            <w:r>
              <w:rPr>
                <w:rFonts w:hint="eastAsia"/>
                <w:color w:val="auto"/>
                <w:lang w:eastAsia="zh-CN"/>
              </w:rPr>
              <w:t>（</w:t>
            </w:r>
            <w:r>
              <w:rPr>
                <w:rFonts w:hint="eastAsia"/>
                <w:color w:val="auto"/>
                <w:lang w:val="en-US" w:eastAsia="zh-CN"/>
              </w:rPr>
              <w:t>DA001</w:t>
            </w:r>
            <w:r>
              <w:rPr>
                <w:rFonts w:hint="eastAsia"/>
                <w:color w:val="auto"/>
                <w:lang w:eastAsia="zh-CN"/>
              </w:rPr>
              <w:t>）</w:t>
            </w:r>
            <w:r>
              <w:rPr>
                <w:color w:val="auto"/>
              </w:rPr>
              <w:t>有组织排放</w:t>
            </w:r>
          </w:p>
        </w:tc>
        <w:tc>
          <w:tcPr>
            <w:tcW w:w="1877" w:type="dxa"/>
            <w:vMerge w:val="restart"/>
            <w:tcBorders>
              <w:tl2br w:val="nil"/>
              <w:tr2bl w:val="nil"/>
            </w:tcBorders>
            <w:vAlign w:val="center"/>
          </w:tcPr>
          <w:p>
            <w:pPr>
              <w:pStyle w:val="373"/>
              <w:rPr>
                <w:rFonts w:hint="default" w:eastAsia="宋体"/>
                <w:color w:val="auto"/>
                <w:lang w:val="en-US" w:eastAsia="zh-CN"/>
              </w:rPr>
            </w:pPr>
            <w:r>
              <w:rPr>
                <w:color w:val="auto"/>
              </w:rPr>
              <w:t>锅炉吨位</w:t>
            </w:r>
            <w:r>
              <w:rPr>
                <w:rFonts w:hint="eastAsia"/>
                <w:color w:val="auto"/>
              </w:rPr>
              <w:t>1</w:t>
            </w:r>
            <w:r>
              <w:rPr>
                <w:color w:val="auto"/>
              </w:rPr>
              <w:t>t/h</w:t>
            </w:r>
            <w:r>
              <w:rPr>
                <w:rFonts w:hint="eastAsia"/>
                <w:color w:val="auto"/>
              </w:rPr>
              <w:t>，</w:t>
            </w:r>
            <w:r>
              <w:rPr>
                <w:rFonts w:hint="eastAsia"/>
                <w:color w:val="auto"/>
                <w:lang w:eastAsia="zh-CN"/>
              </w:rPr>
              <w:t>单台风机风量</w:t>
            </w:r>
            <w:r>
              <w:rPr>
                <w:rFonts w:hint="eastAsia"/>
                <w:color w:val="auto"/>
                <w:lang w:val="en-US" w:eastAsia="zh-CN"/>
              </w:rPr>
              <w:t>3100</w:t>
            </w:r>
            <w:r>
              <w:rPr>
                <w:color w:val="auto"/>
              </w:rPr>
              <w:t>m</w:t>
            </w:r>
            <w:r>
              <w:rPr>
                <w:color w:val="auto"/>
                <w:vertAlign w:val="superscript"/>
              </w:rPr>
              <w:t>3</w:t>
            </w:r>
            <w:r>
              <w:rPr>
                <w:color w:val="auto"/>
              </w:rPr>
              <w:t>/h</w:t>
            </w:r>
            <w:r>
              <w:rPr>
                <w:rFonts w:hint="eastAsia"/>
                <w:color w:val="auto"/>
                <w:lang w:eastAsia="zh-CN"/>
              </w:rPr>
              <w:t>，排气筒风量</w:t>
            </w:r>
            <w:r>
              <w:rPr>
                <w:rFonts w:hint="eastAsia"/>
                <w:color w:val="auto"/>
                <w:lang w:val="en-US" w:eastAsia="zh-CN"/>
              </w:rPr>
              <w:t>6200</w:t>
            </w:r>
            <w:r>
              <w:rPr>
                <w:color w:val="auto"/>
              </w:rPr>
              <w:t>m</w:t>
            </w:r>
            <w:r>
              <w:rPr>
                <w:color w:val="auto"/>
                <w:vertAlign w:val="superscript"/>
              </w:rPr>
              <w:t>3</w:t>
            </w:r>
            <w:r>
              <w:rPr>
                <w:color w:val="auto"/>
              </w:rPr>
              <w:t>/h</w:t>
            </w:r>
          </w:p>
        </w:tc>
        <w:tc>
          <w:tcPr>
            <w:tcW w:w="2891" w:type="dxa"/>
            <w:vMerge w:val="restart"/>
            <w:tcBorders>
              <w:tl2br w:val="nil"/>
              <w:tr2bl w:val="nil"/>
            </w:tcBorders>
            <w:vAlign w:val="center"/>
          </w:tcPr>
          <w:p>
            <w:pPr>
              <w:pStyle w:val="373"/>
              <w:rPr>
                <w:color w:val="auto"/>
              </w:rPr>
            </w:pPr>
            <w:r>
              <w:rPr>
                <w:color w:val="auto"/>
              </w:rPr>
              <w:t>《锅炉大气污染物排放标准》（GB13271-2014）表3新建锅炉大气污染物排放浓度限值中燃煤锅炉的标准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rPr>
            </w:pPr>
            <w:r>
              <w:rPr>
                <w:color w:val="auto"/>
              </w:rPr>
              <w:t>SO</w:t>
            </w:r>
            <w:r>
              <w:rPr>
                <w:color w:val="auto"/>
                <w:vertAlign w:val="subscript"/>
              </w:rPr>
              <w:t>2</w:t>
            </w:r>
          </w:p>
        </w:tc>
        <w:tc>
          <w:tcPr>
            <w:tcW w:w="1952" w:type="dxa"/>
            <w:tcBorders>
              <w:tl2br w:val="nil"/>
              <w:tr2bl w:val="nil"/>
            </w:tcBorders>
            <w:vAlign w:val="center"/>
          </w:tcPr>
          <w:p>
            <w:pPr>
              <w:widowControl/>
              <w:snapToGrid w:val="0"/>
              <w:jc w:val="center"/>
              <w:textAlignment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76.8</w:t>
            </w:r>
          </w:p>
        </w:tc>
        <w:tc>
          <w:tcPr>
            <w:tcW w:w="1129" w:type="dxa"/>
            <w:tcBorders>
              <w:tl2br w:val="nil"/>
              <w:tr2bl w:val="nil"/>
            </w:tcBorders>
            <w:vAlign w:val="center"/>
          </w:tcPr>
          <w:p>
            <w:pPr>
              <w:pStyle w:val="373"/>
              <w:rPr>
                <w:rFonts w:hint="eastAsia"/>
                <w:bCs/>
                <w:color w:val="auto"/>
              </w:rPr>
            </w:pPr>
            <w:r>
              <w:rPr>
                <w:rFonts w:hint="eastAsia"/>
                <w:bCs/>
                <w:color w:val="auto"/>
                <w:lang w:val="en-US" w:eastAsia="zh-CN"/>
              </w:rPr>
              <w:t>0.571</w:t>
            </w:r>
          </w:p>
        </w:tc>
        <w:tc>
          <w:tcPr>
            <w:tcW w:w="1404" w:type="dxa"/>
            <w:vMerge w:val="continue"/>
            <w:tcBorders>
              <w:tl2br w:val="nil"/>
              <w:tr2bl w:val="nil"/>
            </w:tcBorders>
            <w:vAlign w:val="center"/>
          </w:tcPr>
          <w:p>
            <w:pPr>
              <w:pStyle w:val="373"/>
              <w:rPr>
                <w:color w:val="auto"/>
              </w:rPr>
            </w:pPr>
          </w:p>
        </w:tc>
        <w:tc>
          <w:tcPr>
            <w:tcW w:w="2016" w:type="dxa"/>
            <w:vMerge w:val="continue"/>
            <w:tcBorders>
              <w:tl2br w:val="nil"/>
              <w:tr2bl w:val="nil"/>
            </w:tcBorders>
            <w:vAlign w:val="center"/>
          </w:tcPr>
          <w:p>
            <w:pPr>
              <w:pStyle w:val="373"/>
              <w:rPr>
                <w:color w:val="auto"/>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rPr>
            </w:pPr>
            <w:r>
              <w:rPr>
                <w:color w:val="auto"/>
              </w:rPr>
              <w:t>NO</w:t>
            </w:r>
            <w:r>
              <w:rPr>
                <w:color w:val="auto"/>
                <w:vertAlign w:val="subscript"/>
              </w:rPr>
              <w:t>x</w:t>
            </w:r>
          </w:p>
        </w:tc>
        <w:tc>
          <w:tcPr>
            <w:tcW w:w="1952" w:type="dxa"/>
            <w:tcBorders>
              <w:tl2br w:val="nil"/>
              <w:tr2bl w:val="nil"/>
            </w:tcBorders>
            <w:vAlign w:val="center"/>
          </w:tcPr>
          <w:p>
            <w:pPr>
              <w:widowControl/>
              <w:snapToGrid w:val="0"/>
              <w:jc w:val="center"/>
              <w:textAlignment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65.8</w:t>
            </w:r>
          </w:p>
        </w:tc>
        <w:tc>
          <w:tcPr>
            <w:tcW w:w="1129" w:type="dxa"/>
            <w:tcBorders>
              <w:tl2br w:val="nil"/>
              <w:tr2bl w:val="nil"/>
            </w:tcBorders>
            <w:vAlign w:val="center"/>
          </w:tcPr>
          <w:p>
            <w:pPr>
              <w:pStyle w:val="373"/>
              <w:rPr>
                <w:rFonts w:hint="default"/>
                <w:bCs/>
                <w:color w:val="auto"/>
                <w:lang w:val="en-US"/>
              </w:rPr>
            </w:pPr>
            <w:r>
              <w:rPr>
                <w:rFonts w:hint="eastAsia"/>
                <w:bCs/>
                <w:color w:val="auto"/>
                <w:lang w:val="en-US" w:eastAsia="zh-CN"/>
              </w:rPr>
              <w:t>0.490</w:t>
            </w:r>
          </w:p>
        </w:tc>
        <w:tc>
          <w:tcPr>
            <w:tcW w:w="1404" w:type="dxa"/>
            <w:vMerge w:val="continue"/>
            <w:tcBorders>
              <w:tl2br w:val="nil"/>
              <w:tr2bl w:val="nil"/>
            </w:tcBorders>
            <w:vAlign w:val="center"/>
          </w:tcPr>
          <w:p>
            <w:pPr>
              <w:pStyle w:val="373"/>
              <w:rPr>
                <w:color w:val="auto"/>
              </w:rPr>
            </w:pPr>
          </w:p>
        </w:tc>
        <w:tc>
          <w:tcPr>
            <w:tcW w:w="2016" w:type="dxa"/>
            <w:vMerge w:val="continue"/>
            <w:tcBorders>
              <w:tl2br w:val="nil"/>
              <w:tr2bl w:val="nil"/>
            </w:tcBorders>
            <w:vAlign w:val="center"/>
          </w:tcPr>
          <w:p>
            <w:pPr>
              <w:pStyle w:val="373"/>
              <w:rPr>
                <w:color w:val="auto"/>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tcBorders>
              <w:tl2br w:val="nil"/>
              <w:tr2bl w:val="nil"/>
            </w:tcBorders>
            <w:vAlign w:val="center"/>
          </w:tcPr>
          <w:p>
            <w:pPr>
              <w:pStyle w:val="373"/>
              <w:rPr>
                <w:color w:val="auto"/>
              </w:rPr>
            </w:pPr>
            <w:r>
              <w:rPr>
                <w:color w:val="auto"/>
              </w:rPr>
              <w:t>食堂油烟</w:t>
            </w:r>
          </w:p>
        </w:tc>
        <w:tc>
          <w:tcPr>
            <w:tcW w:w="1016" w:type="dxa"/>
            <w:tcBorders>
              <w:tl2br w:val="nil"/>
              <w:tr2bl w:val="nil"/>
            </w:tcBorders>
            <w:vAlign w:val="center"/>
          </w:tcPr>
          <w:p>
            <w:pPr>
              <w:pStyle w:val="373"/>
              <w:rPr>
                <w:color w:val="auto"/>
              </w:rPr>
            </w:pPr>
            <w:r>
              <w:rPr>
                <w:color w:val="auto"/>
              </w:rPr>
              <w:t>食堂</w:t>
            </w:r>
          </w:p>
          <w:p>
            <w:pPr>
              <w:pStyle w:val="373"/>
              <w:rPr>
                <w:color w:val="auto"/>
              </w:rPr>
            </w:pPr>
            <w:r>
              <w:rPr>
                <w:color w:val="auto"/>
              </w:rPr>
              <w:t>油烟</w:t>
            </w:r>
          </w:p>
        </w:tc>
        <w:tc>
          <w:tcPr>
            <w:tcW w:w="1952" w:type="dxa"/>
            <w:tcBorders>
              <w:tl2br w:val="nil"/>
              <w:tr2bl w:val="nil"/>
            </w:tcBorders>
            <w:vAlign w:val="center"/>
          </w:tcPr>
          <w:p>
            <w:pPr>
              <w:pStyle w:val="373"/>
              <w:rPr>
                <w:bCs/>
                <w:color w:val="auto"/>
              </w:rPr>
            </w:pPr>
            <w:r>
              <w:rPr>
                <w:rFonts w:hint="eastAsia"/>
                <w:bCs/>
                <w:color w:val="auto"/>
              </w:rPr>
              <w:t>1.18</w:t>
            </w:r>
          </w:p>
        </w:tc>
        <w:tc>
          <w:tcPr>
            <w:tcW w:w="1129" w:type="dxa"/>
            <w:tcBorders>
              <w:tl2br w:val="nil"/>
              <w:tr2bl w:val="nil"/>
            </w:tcBorders>
            <w:vAlign w:val="center"/>
          </w:tcPr>
          <w:p>
            <w:pPr>
              <w:pStyle w:val="373"/>
              <w:rPr>
                <w:rFonts w:hint="eastAsia"/>
                <w:bCs/>
                <w:color w:val="auto"/>
              </w:rPr>
            </w:pPr>
            <w:r>
              <w:rPr>
                <w:rFonts w:hint="eastAsia"/>
                <w:bCs/>
                <w:color w:val="auto"/>
              </w:rPr>
              <w:t>0.0024</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rPr>
            </w:pPr>
            <w:r>
              <w:rPr>
                <w:color w:val="auto"/>
              </w:rPr>
              <w:t>油烟净化装置（不小于65%）处理后由专用烟道排放</w:t>
            </w:r>
          </w:p>
        </w:tc>
        <w:tc>
          <w:tcPr>
            <w:tcW w:w="1877" w:type="dxa"/>
            <w:tcBorders>
              <w:tl2br w:val="nil"/>
              <w:tr2bl w:val="nil"/>
            </w:tcBorders>
            <w:vAlign w:val="center"/>
          </w:tcPr>
          <w:p>
            <w:pPr>
              <w:pStyle w:val="373"/>
              <w:rPr>
                <w:color w:val="auto"/>
              </w:rPr>
            </w:pPr>
            <w:r>
              <w:rPr>
                <w:color w:val="auto"/>
              </w:rPr>
              <w:t>处理效率65%</w:t>
            </w:r>
          </w:p>
        </w:tc>
        <w:tc>
          <w:tcPr>
            <w:tcW w:w="2891" w:type="dxa"/>
            <w:tcBorders>
              <w:tl2br w:val="nil"/>
              <w:tr2bl w:val="nil"/>
            </w:tcBorders>
            <w:vAlign w:val="center"/>
          </w:tcPr>
          <w:p>
            <w:pPr>
              <w:pStyle w:val="373"/>
              <w:rPr>
                <w:color w:val="auto"/>
              </w:rPr>
            </w:pPr>
            <w:r>
              <w:rPr>
                <w:color w:val="auto"/>
              </w:rPr>
              <w:t>《饮食业油烟排放标准》（GB18438-2001）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鸡舍恶臭</w:t>
            </w:r>
          </w:p>
        </w:tc>
        <w:tc>
          <w:tcPr>
            <w:tcW w:w="1016" w:type="dxa"/>
            <w:tcBorders>
              <w:tl2br w:val="nil"/>
              <w:tr2bl w:val="nil"/>
            </w:tcBorders>
            <w:vAlign w:val="center"/>
          </w:tcPr>
          <w:p>
            <w:pPr>
              <w:pStyle w:val="373"/>
              <w:rPr>
                <w:color w:val="auto"/>
              </w:rPr>
            </w:pPr>
            <w:r>
              <w:rPr>
                <w:color w:val="auto"/>
                <w:kern w:val="0"/>
              </w:rPr>
              <w:t>NH</w:t>
            </w:r>
            <w:r>
              <w:rPr>
                <w:color w:val="auto"/>
                <w:kern w:val="0"/>
                <w:vertAlign w:val="subscript"/>
              </w:rPr>
              <w:t>3</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tabs>
                <w:tab w:val="left" w:pos="0"/>
              </w:tabs>
              <w:adjustRightInd w:val="0"/>
              <w:snapToGrid w:val="0"/>
              <w:spacing w:line="280" w:lineRule="exact"/>
              <w:jc w:val="center"/>
              <w:rPr>
                <w:rFonts w:ascii="Times New Roman" w:eastAsia="宋体"/>
                <w:bCs/>
                <w:color w:val="auto"/>
                <w:kern w:val="2"/>
                <w:sz w:val="21"/>
                <w:szCs w:val="21"/>
              </w:rPr>
            </w:pPr>
            <w:r>
              <w:rPr>
                <w:rFonts w:ascii="Times New Roman" w:eastAsia="宋体"/>
                <w:bCs/>
                <w:color w:val="auto"/>
                <w:sz w:val="21"/>
                <w:szCs w:val="21"/>
              </w:rPr>
              <w:t>0.</w:t>
            </w:r>
            <w:r>
              <w:rPr>
                <w:rFonts w:hint="eastAsia" w:ascii="Times New Roman" w:eastAsia="宋体"/>
                <w:bCs/>
                <w:color w:val="auto"/>
                <w:sz w:val="21"/>
                <w:szCs w:val="21"/>
                <w:lang w:val="en-US" w:eastAsia="zh-CN"/>
              </w:rPr>
              <w:t>0825</w:t>
            </w:r>
          </w:p>
        </w:tc>
        <w:tc>
          <w:tcPr>
            <w:tcW w:w="1404" w:type="dxa"/>
            <w:vMerge w:val="restart"/>
            <w:tcBorders>
              <w:tl2br w:val="nil"/>
              <w:tr2bl w:val="nil"/>
            </w:tcBorders>
            <w:vAlign w:val="center"/>
          </w:tcPr>
          <w:p>
            <w:pPr>
              <w:pStyle w:val="373"/>
              <w:rPr>
                <w:color w:val="auto"/>
              </w:rPr>
            </w:pPr>
            <w:r>
              <w:rPr>
                <w:color w:val="auto"/>
              </w:rPr>
              <w:t>运营期</w:t>
            </w:r>
          </w:p>
          <w:p>
            <w:pPr>
              <w:pStyle w:val="373"/>
              <w:rPr>
                <w:color w:val="auto"/>
              </w:rPr>
            </w:pPr>
            <w:r>
              <w:rPr>
                <w:color w:val="auto"/>
              </w:rPr>
              <w:t>饲养时段</w:t>
            </w:r>
          </w:p>
        </w:tc>
        <w:tc>
          <w:tcPr>
            <w:tcW w:w="2016" w:type="dxa"/>
            <w:vMerge w:val="restart"/>
            <w:tcBorders>
              <w:tl2br w:val="nil"/>
              <w:tr2bl w:val="nil"/>
            </w:tcBorders>
            <w:vAlign w:val="center"/>
          </w:tcPr>
          <w:p>
            <w:pPr>
              <w:pStyle w:val="373"/>
              <w:rPr>
                <w:color w:val="auto"/>
              </w:rPr>
            </w:pPr>
            <w:r>
              <w:rPr>
                <w:color w:val="auto"/>
              </w:rPr>
              <w:t>使用优质饲料、合理设计鸡舍、干清粪工艺、</w:t>
            </w:r>
            <w:r>
              <w:rPr>
                <w:rFonts w:hint="eastAsia"/>
                <w:color w:val="auto"/>
              </w:rPr>
              <w:t>添加</w:t>
            </w:r>
            <w:r>
              <w:rPr>
                <w:color w:val="auto"/>
              </w:rPr>
              <w:t>除臭物质</w:t>
            </w:r>
            <w:r>
              <w:rPr>
                <w:rFonts w:hint="eastAsia"/>
                <w:color w:val="auto"/>
              </w:rPr>
              <w:t>、机械单侧通风、水帘除臭</w:t>
            </w:r>
          </w:p>
        </w:tc>
        <w:tc>
          <w:tcPr>
            <w:tcW w:w="1877" w:type="dxa"/>
            <w:vMerge w:val="restart"/>
            <w:tcBorders>
              <w:tl2br w:val="nil"/>
              <w:tr2bl w:val="nil"/>
            </w:tcBorders>
            <w:vAlign w:val="center"/>
          </w:tcPr>
          <w:p>
            <w:pPr>
              <w:pStyle w:val="373"/>
              <w:rPr>
                <w:color w:val="auto"/>
              </w:rPr>
            </w:pPr>
            <w:r>
              <w:rPr>
                <w:rFonts w:hint="eastAsia"/>
                <w:color w:val="auto"/>
              </w:rPr>
              <w:t>除臭水帘房屋顶排放，排放高度约8m</w:t>
            </w:r>
          </w:p>
        </w:tc>
        <w:tc>
          <w:tcPr>
            <w:tcW w:w="2891" w:type="dxa"/>
            <w:vMerge w:val="restart"/>
            <w:tcBorders>
              <w:tl2br w:val="nil"/>
              <w:tr2bl w:val="nil"/>
            </w:tcBorders>
            <w:vAlign w:val="center"/>
          </w:tcPr>
          <w:p>
            <w:pPr>
              <w:pStyle w:val="373"/>
              <w:rPr>
                <w:color w:val="auto"/>
              </w:rPr>
            </w:pPr>
            <w:r>
              <w:rPr>
                <w:color w:val="auto"/>
              </w:rPr>
              <w:t>《恶臭污染物排放标准》（GB14554-93）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rPr>
            </w:pPr>
            <w:r>
              <w:rPr>
                <w:color w:val="auto"/>
                <w:kern w:val="0"/>
              </w:rPr>
              <w:t>H</w:t>
            </w:r>
            <w:r>
              <w:rPr>
                <w:color w:val="auto"/>
                <w:kern w:val="0"/>
                <w:vertAlign w:val="subscript"/>
              </w:rPr>
              <w:t>2</w:t>
            </w:r>
            <w:r>
              <w:rPr>
                <w:color w:val="auto"/>
                <w:kern w:val="0"/>
              </w:rPr>
              <w:t>S</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tabs>
                <w:tab w:val="left" w:pos="0"/>
              </w:tabs>
              <w:adjustRightInd w:val="0"/>
              <w:snapToGrid w:val="0"/>
              <w:spacing w:line="280" w:lineRule="exact"/>
              <w:jc w:val="center"/>
              <w:rPr>
                <w:rFonts w:hint="default" w:ascii="Times New Roman" w:eastAsia="宋体"/>
                <w:bCs/>
                <w:color w:val="auto"/>
                <w:kern w:val="2"/>
                <w:sz w:val="21"/>
                <w:szCs w:val="21"/>
                <w:lang w:val="en-US"/>
              </w:rPr>
            </w:pPr>
            <w:r>
              <w:rPr>
                <w:rFonts w:ascii="Times New Roman" w:eastAsia="宋体"/>
                <w:bCs/>
                <w:color w:val="auto"/>
                <w:sz w:val="21"/>
                <w:szCs w:val="21"/>
              </w:rPr>
              <w:t>0.</w:t>
            </w:r>
            <w:r>
              <w:rPr>
                <w:rFonts w:hint="eastAsia" w:ascii="Times New Roman" w:eastAsia="宋体"/>
                <w:bCs/>
                <w:color w:val="auto"/>
                <w:sz w:val="21"/>
                <w:szCs w:val="21"/>
                <w:lang w:val="en-US" w:eastAsia="zh-CN"/>
              </w:rPr>
              <w:t>0083</w:t>
            </w:r>
          </w:p>
        </w:tc>
        <w:tc>
          <w:tcPr>
            <w:tcW w:w="1404" w:type="dxa"/>
            <w:vMerge w:val="continue"/>
            <w:tcBorders>
              <w:tl2br w:val="nil"/>
              <w:tr2bl w:val="nil"/>
            </w:tcBorders>
            <w:vAlign w:val="center"/>
          </w:tcPr>
          <w:p>
            <w:pPr>
              <w:pStyle w:val="373"/>
              <w:rPr>
                <w:color w:val="auto"/>
              </w:rPr>
            </w:pPr>
          </w:p>
        </w:tc>
        <w:tc>
          <w:tcPr>
            <w:tcW w:w="2016" w:type="dxa"/>
            <w:vMerge w:val="continue"/>
            <w:tcBorders>
              <w:tl2br w:val="nil"/>
              <w:tr2bl w:val="nil"/>
            </w:tcBorders>
            <w:vAlign w:val="center"/>
          </w:tcPr>
          <w:p>
            <w:pPr>
              <w:pStyle w:val="373"/>
              <w:rPr>
                <w:color w:val="auto"/>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restart"/>
            <w:tcBorders>
              <w:tl2br w:val="nil"/>
              <w:tr2bl w:val="nil"/>
            </w:tcBorders>
            <w:vAlign w:val="center"/>
          </w:tcPr>
          <w:p>
            <w:pPr>
              <w:pStyle w:val="373"/>
              <w:rPr>
                <w:color w:val="auto"/>
              </w:rPr>
            </w:pPr>
            <w:r>
              <w:rPr>
                <w:rFonts w:hint="eastAsia"/>
                <w:color w:val="auto"/>
              </w:rPr>
              <w:t>污水沉淀池</w:t>
            </w:r>
            <w:r>
              <w:rPr>
                <w:color w:val="auto"/>
              </w:rPr>
              <w:t>恶臭</w:t>
            </w:r>
          </w:p>
        </w:tc>
        <w:tc>
          <w:tcPr>
            <w:tcW w:w="1016" w:type="dxa"/>
            <w:tcBorders>
              <w:tl2br w:val="nil"/>
              <w:tr2bl w:val="nil"/>
            </w:tcBorders>
            <w:vAlign w:val="center"/>
          </w:tcPr>
          <w:p>
            <w:pPr>
              <w:pStyle w:val="373"/>
              <w:rPr>
                <w:color w:val="auto"/>
                <w:kern w:val="0"/>
              </w:rPr>
            </w:pPr>
            <w:r>
              <w:rPr>
                <w:color w:val="auto"/>
                <w:kern w:val="0"/>
              </w:rPr>
              <w:t>NH</w:t>
            </w:r>
            <w:r>
              <w:rPr>
                <w:color w:val="auto"/>
                <w:kern w:val="0"/>
                <w:vertAlign w:val="subscript"/>
              </w:rPr>
              <w:t>3</w:t>
            </w:r>
          </w:p>
        </w:tc>
        <w:tc>
          <w:tcPr>
            <w:tcW w:w="1952"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w:t>
            </w:r>
          </w:p>
        </w:tc>
        <w:tc>
          <w:tcPr>
            <w:tcW w:w="1129" w:type="dxa"/>
            <w:tcBorders>
              <w:tl2br w:val="nil"/>
              <w:tr2bl w:val="nil"/>
            </w:tcBorders>
            <w:vAlign w:val="center"/>
          </w:tcPr>
          <w:p>
            <w:pPr>
              <w:adjustRightInd w:val="0"/>
              <w:snapToGrid w:val="0"/>
              <w:spacing w:line="280" w:lineRule="exact"/>
              <w:jc w:val="center"/>
              <w:rPr>
                <w:rFonts w:ascii="Times New Roman" w:eastAsia="宋体"/>
                <w:bCs/>
                <w:color w:val="auto"/>
                <w:kern w:val="2"/>
                <w:sz w:val="21"/>
                <w:szCs w:val="21"/>
              </w:rPr>
            </w:pPr>
            <w:r>
              <w:rPr>
                <w:rFonts w:ascii="Times New Roman" w:eastAsia="宋体"/>
                <w:bCs/>
                <w:color w:val="auto"/>
                <w:sz w:val="21"/>
                <w:szCs w:val="21"/>
              </w:rPr>
              <w:t>0.0</w:t>
            </w:r>
            <w:r>
              <w:rPr>
                <w:rFonts w:hint="eastAsia" w:ascii="Times New Roman" w:eastAsia="宋体"/>
                <w:bCs/>
                <w:color w:val="auto"/>
                <w:sz w:val="21"/>
                <w:szCs w:val="21"/>
              </w:rPr>
              <w:t>1228</w:t>
            </w:r>
          </w:p>
        </w:tc>
        <w:tc>
          <w:tcPr>
            <w:tcW w:w="140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运营期</w:t>
            </w:r>
          </w:p>
        </w:tc>
        <w:tc>
          <w:tcPr>
            <w:tcW w:w="2016" w:type="dxa"/>
            <w:vMerge w:val="restart"/>
            <w:tcBorders>
              <w:tl2br w:val="nil"/>
              <w:tr2bl w:val="nil"/>
            </w:tcBorders>
            <w:vAlign w:val="center"/>
          </w:tcPr>
          <w:p>
            <w:pPr>
              <w:pStyle w:val="373"/>
              <w:rPr>
                <w:color w:val="auto"/>
              </w:rPr>
            </w:pPr>
            <w:r>
              <w:rPr>
                <w:color w:val="auto"/>
              </w:rPr>
              <w:t>地埋式，加盖密闭，防止雨水进入、降低臭气散</w:t>
            </w:r>
          </w:p>
        </w:tc>
        <w:tc>
          <w:tcPr>
            <w:tcW w:w="1877" w:type="dxa"/>
            <w:vMerge w:val="restart"/>
            <w:tcBorders>
              <w:tl2br w:val="nil"/>
              <w:tr2bl w:val="nil"/>
            </w:tcBorders>
            <w:vAlign w:val="center"/>
          </w:tcPr>
          <w:p>
            <w:pPr>
              <w:pStyle w:val="373"/>
              <w:rPr>
                <w:color w:val="auto"/>
              </w:rPr>
            </w:pPr>
            <w:r>
              <w:rPr>
                <w:color w:val="auto"/>
              </w:rPr>
              <w:t>容积</w:t>
            </w:r>
            <w:r>
              <w:rPr>
                <w:rFonts w:hint="eastAsia"/>
                <w:color w:val="auto"/>
              </w:rPr>
              <w:t>400m</w:t>
            </w:r>
            <w:r>
              <w:rPr>
                <w:rFonts w:hint="eastAsia"/>
                <w:color w:val="auto"/>
                <w:vertAlign w:val="superscript"/>
              </w:rPr>
              <w:t>3</w:t>
            </w: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kern w:val="0"/>
              </w:rPr>
            </w:pPr>
            <w:r>
              <w:rPr>
                <w:color w:val="auto"/>
                <w:kern w:val="0"/>
              </w:rPr>
              <w:t>H</w:t>
            </w:r>
            <w:r>
              <w:rPr>
                <w:color w:val="auto"/>
                <w:kern w:val="0"/>
                <w:vertAlign w:val="subscript"/>
              </w:rPr>
              <w:t>2</w:t>
            </w:r>
            <w:r>
              <w:rPr>
                <w:color w:val="auto"/>
                <w:kern w:val="0"/>
              </w:rPr>
              <w:t>S</w:t>
            </w:r>
          </w:p>
        </w:tc>
        <w:tc>
          <w:tcPr>
            <w:tcW w:w="1952"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w:t>
            </w:r>
          </w:p>
        </w:tc>
        <w:tc>
          <w:tcPr>
            <w:tcW w:w="1129" w:type="dxa"/>
            <w:tcBorders>
              <w:tl2br w:val="nil"/>
              <w:tr2bl w:val="nil"/>
            </w:tcBorders>
            <w:vAlign w:val="center"/>
          </w:tcPr>
          <w:p>
            <w:pPr>
              <w:adjustRightInd w:val="0"/>
              <w:snapToGrid w:val="0"/>
              <w:spacing w:line="280" w:lineRule="exact"/>
              <w:jc w:val="center"/>
              <w:rPr>
                <w:rFonts w:ascii="Times New Roman" w:eastAsia="宋体"/>
                <w:bCs/>
                <w:color w:val="auto"/>
                <w:kern w:val="2"/>
                <w:sz w:val="21"/>
                <w:szCs w:val="21"/>
              </w:rPr>
            </w:pPr>
            <w:r>
              <w:rPr>
                <w:rFonts w:ascii="Times New Roman" w:eastAsia="宋体"/>
                <w:bCs/>
                <w:color w:val="auto"/>
                <w:sz w:val="21"/>
                <w:szCs w:val="21"/>
              </w:rPr>
              <w:t>0.00</w:t>
            </w:r>
            <w:r>
              <w:rPr>
                <w:rFonts w:hint="eastAsia" w:ascii="Times New Roman" w:eastAsia="宋体"/>
                <w:bCs/>
                <w:color w:val="auto"/>
                <w:sz w:val="21"/>
                <w:szCs w:val="21"/>
              </w:rPr>
              <w:t>076</w:t>
            </w:r>
          </w:p>
        </w:tc>
        <w:tc>
          <w:tcPr>
            <w:tcW w:w="1404" w:type="dxa"/>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运营期</w:t>
            </w:r>
          </w:p>
        </w:tc>
        <w:tc>
          <w:tcPr>
            <w:tcW w:w="2016" w:type="dxa"/>
            <w:vMerge w:val="continue"/>
            <w:tcBorders>
              <w:tl2br w:val="nil"/>
              <w:tr2bl w:val="nil"/>
            </w:tcBorders>
            <w:vAlign w:val="center"/>
          </w:tcPr>
          <w:p>
            <w:pPr>
              <w:pStyle w:val="373"/>
              <w:rPr>
                <w:color w:val="auto"/>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restart"/>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备用发电机废气</w:t>
            </w:r>
          </w:p>
        </w:tc>
        <w:tc>
          <w:tcPr>
            <w:tcW w:w="1016" w:type="dxa"/>
            <w:tcBorders>
              <w:tl2br w:val="nil"/>
              <w:tr2bl w:val="nil"/>
            </w:tcBorders>
            <w:vAlign w:val="center"/>
          </w:tcPr>
          <w:p>
            <w:pPr>
              <w:pStyle w:val="23"/>
              <w:rPr>
                <w:color w:val="auto"/>
                <w:kern w:val="0"/>
              </w:rPr>
            </w:pPr>
            <w:r>
              <w:rPr>
                <w:rFonts w:hint="eastAsia" w:ascii="Times New Roman" w:eastAsia="宋体"/>
                <w:color w:val="auto"/>
                <w:sz w:val="21"/>
                <w:szCs w:val="21"/>
              </w:rPr>
              <w:t>SO</w:t>
            </w:r>
            <w:r>
              <w:rPr>
                <w:rFonts w:hint="eastAsia" w:ascii="Times New Roman" w:eastAsia="宋体"/>
                <w:color w:val="auto"/>
                <w:sz w:val="21"/>
                <w:szCs w:val="21"/>
                <w:vertAlign w:val="subscript"/>
              </w:rPr>
              <w:t>2</w:t>
            </w:r>
          </w:p>
        </w:tc>
        <w:tc>
          <w:tcPr>
            <w:tcW w:w="1952" w:type="dxa"/>
            <w:tcBorders>
              <w:tl2br w:val="nil"/>
              <w:tr2bl w:val="nil"/>
            </w:tcBorders>
            <w:vAlign w:val="center"/>
          </w:tcPr>
          <w:p>
            <w:pPr>
              <w:pStyle w:val="23"/>
              <w:jc w:val="center"/>
              <w:rPr>
                <w:rFonts w:ascii="Times New Roman" w:eastAsia="宋体"/>
                <w:color w:val="auto"/>
                <w:sz w:val="21"/>
                <w:szCs w:val="21"/>
              </w:rPr>
            </w:pPr>
            <w:r>
              <w:rPr>
                <w:rFonts w:hint="eastAsia" w:ascii="Times New Roman" w:eastAsia="宋体"/>
                <w:color w:val="auto"/>
                <w:sz w:val="21"/>
                <w:szCs w:val="21"/>
              </w:rPr>
              <w:t>9.36</w:t>
            </w:r>
          </w:p>
        </w:tc>
        <w:tc>
          <w:tcPr>
            <w:tcW w:w="1129" w:type="dxa"/>
            <w:tcBorders>
              <w:tl2br w:val="nil"/>
              <w:tr2bl w:val="nil"/>
            </w:tcBorders>
            <w:vAlign w:val="center"/>
          </w:tcPr>
          <w:p>
            <w:pPr>
              <w:pStyle w:val="23"/>
              <w:jc w:val="center"/>
              <w:rPr>
                <w:rFonts w:hint="eastAsia" w:ascii="Times New Roman" w:eastAsia="宋体"/>
                <w:bCs/>
                <w:color w:val="auto"/>
                <w:sz w:val="21"/>
                <w:szCs w:val="21"/>
                <w:lang w:eastAsia="zh-CN"/>
              </w:rPr>
            </w:pPr>
            <w:r>
              <w:rPr>
                <w:rFonts w:hint="eastAsia" w:ascii="Times New Roman" w:eastAsia="宋体"/>
                <w:color w:val="auto"/>
                <w:sz w:val="21"/>
                <w:szCs w:val="21"/>
              </w:rPr>
              <w:t>0.00</w:t>
            </w:r>
            <w:r>
              <w:rPr>
                <w:rFonts w:hint="eastAsia" w:ascii="Times New Roman" w:eastAsia="宋体"/>
                <w:color w:val="auto"/>
                <w:sz w:val="21"/>
                <w:szCs w:val="21"/>
                <w:lang w:val="en-US" w:eastAsia="zh-CN"/>
              </w:rPr>
              <w:t>4</w:t>
            </w:r>
          </w:p>
        </w:tc>
        <w:tc>
          <w:tcPr>
            <w:tcW w:w="1404" w:type="dxa"/>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运营期</w:t>
            </w:r>
            <w:r>
              <w:rPr>
                <w:rFonts w:hint="eastAsia" w:ascii="Times New Roman" w:eastAsia="宋体"/>
                <w:color w:val="auto"/>
                <w:sz w:val="21"/>
                <w:szCs w:val="21"/>
                <w:lang w:eastAsia="zh-CN"/>
              </w:rPr>
              <w:t>，</w:t>
            </w:r>
            <w:r>
              <w:rPr>
                <w:rFonts w:hint="eastAsia" w:ascii="Times New Roman" w:eastAsia="宋体"/>
                <w:color w:val="auto"/>
                <w:sz w:val="21"/>
                <w:szCs w:val="21"/>
              </w:rPr>
              <w:t>外电源停电时</w:t>
            </w:r>
          </w:p>
        </w:tc>
        <w:tc>
          <w:tcPr>
            <w:tcW w:w="2016" w:type="dxa"/>
            <w:vMerge w:val="restart"/>
            <w:tcBorders>
              <w:tl2br w:val="nil"/>
              <w:tr2bl w:val="nil"/>
            </w:tcBorders>
            <w:vAlign w:val="center"/>
          </w:tcPr>
          <w:p>
            <w:pPr>
              <w:pStyle w:val="373"/>
              <w:rPr>
                <w:rFonts w:hint="default" w:eastAsia="宋体"/>
                <w:color w:val="auto"/>
                <w:lang w:val="en-US" w:eastAsia="zh-CN"/>
              </w:rPr>
            </w:pPr>
            <w:r>
              <w:rPr>
                <w:rFonts w:hint="eastAsia"/>
                <w:color w:val="auto"/>
                <w:lang w:val="en-US" w:eastAsia="zh-CN"/>
              </w:rPr>
              <w:t>屋顶排放</w:t>
            </w:r>
          </w:p>
        </w:tc>
        <w:tc>
          <w:tcPr>
            <w:tcW w:w="1877" w:type="dxa"/>
            <w:vMerge w:val="restart"/>
            <w:tcBorders>
              <w:tl2br w:val="nil"/>
              <w:tr2bl w:val="nil"/>
            </w:tcBorders>
            <w:vAlign w:val="center"/>
          </w:tcPr>
          <w:p>
            <w:pPr>
              <w:pStyle w:val="373"/>
              <w:rPr>
                <w:color w:val="auto"/>
              </w:rPr>
            </w:pPr>
            <w:r>
              <w:rPr>
                <w:rFonts w:hint="eastAsia"/>
                <w:color w:val="auto"/>
              </w:rPr>
              <w:t>排放高度约8m</w:t>
            </w:r>
          </w:p>
        </w:tc>
        <w:tc>
          <w:tcPr>
            <w:tcW w:w="2891" w:type="dxa"/>
            <w:vMerge w:val="restart"/>
            <w:tcBorders>
              <w:tl2br w:val="nil"/>
              <w:tr2bl w:val="nil"/>
            </w:tcBorders>
            <w:vAlign w:val="center"/>
          </w:tcPr>
          <w:p>
            <w:pPr>
              <w:pStyle w:val="373"/>
              <w:rPr>
                <w:color w:val="auto"/>
              </w:rPr>
            </w:pPr>
            <w:r>
              <w:rPr>
                <w:rFonts w:hint="eastAsia"/>
                <w:color w:val="auto"/>
              </w:rPr>
              <w:t>《大气污染物综合排放限值》（GB16297-1996）表2 污染物最高允许排放限值要求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rFonts w:hint="eastAsia"/>
                <w:color w:val="auto"/>
                <w:lang w:val="en-US" w:eastAsia="zh-CN"/>
              </w:rPr>
            </w:pPr>
          </w:p>
        </w:tc>
        <w:tc>
          <w:tcPr>
            <w:tcW w:w="1016" w:type="dxa"/>
            <w:tcBorders>
              <w:tl2br w:val="nil"/>
              <w:tr2bl w:val="nil"/>
            </w:tcBorders>
            <w:vAlign w:val="center"/>
          </w:tcPr>
          <w:p>
            <w:pPr>
              <w:pStyle w:val="23"/>
              <w:rPr>
                <w:color w:val="auto"/>
                <w:kern w:val="0"/>
              </w:rPr>
            </w:pPr>
            <w:r>
              <w:rPr>
                <w:rFonts w:hint="eastAsia" w:ascii="Times New Roman" w:eastAsia="宋体"/>
                <w:color w:val="auto"/>
                <w:sz w:val="21"/>
                <w:szCs w:val="21"/>
              </w:rPr>
              <w:t>NOx</w:t>
            </w:r>
          </w:p>
        </w:tc>
        <w:tc>
          <w:tcPr>
            <w:tcW w:w="1952" w:type="dxa"/>
            <w:tcBorders>
              <w:tl2br w:val="nil"/>
              <w:tr2bl w:val="nil"/>
            </w:tcBorders>
            <w:vAlign w:val="center"/>
          </w:tcPr>
          <w:p>
            <w:pPr>
              <w:pStyle w:val="23"/>
              <w:jc w:val="center"/>
              <w:rPr>
                <w:rFonts w:ascii="Times New Roman" w:eastAsia="宋体"/>
                <w:color w:val="auto"/>
                <w:sz w:val="21"/>
                <w:szCs w:val="21"/>
              </w:rPr>
            </w:pPr>
            <w:r>
              <w:rPr>
                <w:rFonts w:hint="eastAsia" w:ascii="Times New Roman" w:eastAsia="宋体"/>
                <w:color w:val="auto"/>
                <w:sz w:val="21"/>
                <w:szCs w:val="21"/>
              </w:rPr>
              <w:t>169</w:t>
            </w:r>
          </w:p>
        </w:tc>
        <w:tc>
          <w:tcPr>
            <w:tcW w:w="1129" w:type="dxa"/>
            <w:tcBorders>
              <w:tl2br w:val="nil"/>
              <w:tr2bl w:val="nil"/>
            </w:tcBorders>
            <w:vAlign w:val="center"/>
          </w:tcPr>
          <w:p>
            <w:pPr>
              <w:pStyle w:val="23"/>
              <w:jc w:val="center"/>
              <w:rPr>
                <w:rFonts w:hint="default" w:ascii="Times New Roman" w:eastAsia="宋体"/>
                <w:bCs/>
                <w:color w:val="auto"/>
                <w:sz w:val="21"/>
                <w:szCs w:val="21"/>
                <w:lang w:val="en-US" w:eastAsia="zh-CN"/>
              </w:rPr>
            </w:pPr>
            <w:r>
              <w:rPr>
                <w:rFonts w:hint="eastAsia" w:ascii="Times New Roman" w:eastAsia="宋体"/>
                <w:color w:val="auto"/>
                <w:sz w:val="21"/>
                <w:szCs w:val="21"/>
              </w:rPr>
              <w:t>0.0</w:t>
            </w:r>
            <w:r>
              <w:rPr>
                <w:rFonts w:hint="eastAsia" w:ascii="Times New Roman" w:eastAsia="宋体"/>
                <w:color w:val="auto"/>
                <w:sz w:val="21"/>
                <w:szCs w:val="21"/>
                <w:lang w:val="en-US" w:eastAsia="zh-CN"/>
              </w:rPr>
              <w:t>72</w:t>
            </w:r>
          </w:p>
        </w:tc>
        <w:tc>
          <w:tcPr>
            <w:tcW w:w="1404" w:type="dxa"/>
            <w:vMerge w:val="continue"/>
            <w:tcBorders>
              <w:tl2br w:val="nil"/>
              <w:tr2bl w:val="nil"/>
            </w:tcBorders>
            <w:vAlign w:val="center"/>
          </w:tcPr>
          <w:p>
            <w:pPr>
              <w:snapToGrid w:val="0"/>
              <w:jc w:val="center"/>
              <w:rPr>
                <w:rFonts w:ascii="Times New Roman" w:eastAsia="宋体"/>
                <w:color w:val="auto"/>
                <w:sz w:val="21"/>
                <w:szCs w:val="21"/>
              </w:rPr>
            </w:pPr>
          </w:p>
        </w:tc>
        <w:tc>
          <w:tcPr>
            <w:tcW w:w="2016" w:type="dxa"/>
            <w:vMerge w:val="continue"/>
            <w:tcBorders>
              <w:tl2br w:val="nil"/>
              <w:tr2bl w:val="nil"/>
            </w:tcBorders>
            <w:vAlign w:val="center"/>
          </w:tcPr>
          <w:p>
            <w:pPr>
              <w:pStyle w:val="373"/>
              <w:rPr>
                <w:color w:val="auto"/>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rFonts w:hint="eastAsia"/>
                <w:color w:val="auto"/>
                <w:lang w:val="en-US" w:eastAsia="zh-CN"/>
              </w:rPr>
            </w:pPr>
          </w:p>
        </w:tc>
        <w:tc>
          <w:tcPr>
            <w:tcW w:w="1016" w:type="dxa"/>
            <w:tcBorders>
              <w:tl2br w:val="nil"/>
              <w:tr2bl w:val="nil"/>
            </w:tcBorders>
            <w:vAlign w:val="center"/>
          </w:tcPr>
          <w:p>
            <w:pPr>
              <w:pStyle w:val="23"/>
              <w:rPr>
                <w:color w:val="auto"/>
                <w:kern w:val="0"/>
              </w:rPr>
            </w:pPr>
            <w:r>
              <w:rPr>
                <w:rFonts w:hint="eastAsia" w:hAnsi="宋体" w:eastAsia="宋体" w:cs="宋体"/>
                <w:color w:val="auto"/>
                <w:sz w:val="21"/>
                <w:szCs w:val="16"/>
              </w:rPr>
              <w:t>颗粒物</w:t>
            </w:r>
          </w:p>
        </w:tc>
        <w:tc>
          <w:tcPr>
            <w:tcW w:w="1952" w:type="dxa"/>
            <w:tcBorders>
              <w:tl2br w:val="nil"/>
              <w:tr2bl w:val="nil"/>
            </w:tcBorders>
            <w:vAlign w:val="center"/>
          </w:tcPr>
          <w:p>
            <w:pPr>
              <w:pStyle w:val="23"/>
              <w:jc w:val="center"/>
              <w:rPr>
                <w:rFonts w:ascii="Times New Roman" w:eastAsia="宋体"/>
                <w:color w:val="auto"/>
                <w:sz w:val="21"/>
                <w:szCs w:val="21"/>
              </w:rPr>
            </w:pPr>
            <w:r>
              <w:rPr>
                <w:rFonts w:hint="eastAsia" w:ascii="Times New Roman" w:eastAsia="宋体"/>
                <w:color w:val="auto"/>
                <w:sz w:val="21"/>
                <w:szCs w:val="21"/>
              </w:rPr>
              <w:t>14.5</w:t>
            </w:r>
          </w:p>
        </w:tc>
        <w:tc>
          <w:tcPr>
            <w:tcW w:w="1129" w:type="dxa"/>
            <w:tcBorders>
              <w:tl2br w:val="nil"/>
              <w:tr2bl w:val="nil"/>
            </w:tcBorders>
            <w:vAlign w:val="center"/>
          </w:tcPr>
          <w:p>
            <w:pPr>
              <w:pStyle w:val="23"/>
              <w:jc w:val="center"/>
              <w:rPr>
                <w:rFonts w:hint="default" w:ascii="Times New Roman" w:eastAsia="宋体"/>
                <w:bCs/>
                <w:color w:val="auto"/>
                <w:sz w:val="21"/>
                <w:szCs w:val="21"/>
                <w:lang w:val="en-US" w:eastAsia="zh-CN"/>
              </w:rPr>
            </w:pPr>
            <w:r>
              <w:rPr>
                <w:rFonts w:hint="eastAsia" w:ascii="Times New Roman" w:eastAsia="宋体"/>
                <w:color w:val="auto"/>
                <w:sz w:val="21"/>
                <w:szCs w:val="21"/>
              </w:rPr>
              <w:t>0.00</w:t>
            </w:r>
            <w:r>
              <w:rPr>
                <w:rFonts w:hint="eastAsia" w:ascii="Times New Roman" w:eastAsia="宋体"/>
                <w:color w:val="auto"/>
                <w:sz w:val="21"/>
                <w:szCs w:val="21"/>
                <w:lang w:val="en-US" w:eastAsia="zh-CN"/>
              </w:rPr>
              <w:t>62</w:t>
            </w:r>
          </w:p>
        </w:tc>
        <w:tc>
          <w:tcPr>
            <w:tcW w:w="1404" w:type="dxa"/>
            <w:vMerge w:val="continue"/>
            <w:tcBorders>
              <w:tl2br w:val="nil"/>
              <w:tr2bl w:val="nil"/>
            </w:tcBorders>
            <w:vAlign w:val="center"/>
          </w:tcPr>
          <w:p>
            <w:pPr>
              <w:snapToGrid w:val="0"/>
              <w:jc w:val="center"/>
              <w:rPr>
                <w:rFonts w:ascii="Times New Roman" w:eastAsia="宋体"/>
                <w:color w:val="auto"/>
                <w:sz w:val="21"/>
                <w:szCs w:val="21"/>
              </w:rPr>
            </w:pPr>
          </w:p>
        </w:tc>
        <w:tc>
          <w:tcPr>
            <w:tcW w:w="2016" w:type="dxa"/>
            <w:vMerge w:val="continue"/>
            <w:tcBorders>
              <w:tl2br w:val="nil"/>
              <w:tr2bl w:val="nil"/>
            </w:tcBorders>
            <w:vAlign w:val="center"/>
          </w:tcPr>
          <w:p>
            <w:pPr>
              <w:pStyle w:val="373"/>
              <w:rPr>
                <w:color w:val="auto"/>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rFonts w:hint="default" w:eastAsia="宋体"/>
                <w:color w:val="auto"/>
                <w:lang w:val="en-US" w:eastAsia="zh-CN"/>
              </w:rPr>
            </w:pPr>
          </w:p>
        </w:tc>
        <w:tc>
          <w:tcPr>
            <w:tcW w:w="1016" w:type="dxa"/>
            <w:tcBorders>
              <w:tl2br w:val="nil"/>
              <w:tr2bl w:val="nil"/>
            </w:tcBorders>
            <w:vAlign w:val="center"/>
          </w:tcPr>
          <w:p>
            <w:pPr>
              <w:pStyle w:val="23"/>
              <w:rPr>
                <w:color w:val="auto"/>
                <w:kern w:val="0"/>
              </w:rPr>
            </w:pPr>
            <w:r>
              <w:rPr>
                <w:rFonts w:hint="eastAsia" w:hAnsi="宋体" w:eastAsia="宋体" w:cs="宋体"/>
                <w:color w:val="auto"/>
                <w:sz w:val="21"/>
                <w:szCs w:val="16"/>
              </w:rPr>
              <w:t>烟气黑度</w:t>
            </w:r>
          </w:p>
        </w:tc>
        <w:tc>
          <w:tcPr>
            <w:tcW w:w="1952" w:type="dxa"/>
            <w:tcBorders>
              <w:tl2br w:val="nil"/>
              <w:tr2bl w:val="nil"/>
            </w:tcBorders>
            <w:vAlign w:val="center"/>
          </w:tcPr>
          <w:p>
            <w:pPr>
              <w:jc w:val="center"/>
              <w:rPr>
                <w:rFonts w:ascii="Times New Roman" w:eastAsia="宋体"/>
                <w:color w:val="auto"/>
                <w:sz w:val="21"/>
                <w:szCs w:val="21"/>
              </w:rPr>
            </w:pPr>
            <w:r>
              <w:rPr>
                <w:rFonts w:hint="eastAsia" w:hAnsi="宋体" w:eastAsia="宋体" w:cs="宋体"/>
                <w:color w:val="auto"/>
                <w:sz w:val="21"/>
                <w:szCs w:val="16"/>
              </w:rPr>
              <w:t>＜1 级</w:t>
            </w:r>
          </w:p>
        </w:tc>
        <w:tc>
          <w:tcPr>
            <w:tcW w:w="1129" w:type="dxa"/>
            <w:tcBorders>
              <w:tl2br w:val="nil"/>
              <w:tr2bl w:val="nil"/>
            </w:tcBorders>
            <w:vAlign w:val="center"/>
          </w:tcPr>
          <w:p>
            <w:pPr>
              <w:pStyle w:val="23"/>
              <w:jc w:val="center"/>
              <w:rPr>
                <w:rFonts w:ascii="Times New Roman" w:eastAsia="宋体"/>
                <w:bCs/>
                <w:color w:val="auto"/>
                <w:sz w:val="21"/>
                <w:szCs w:val="21"/>
              </w:rPr>
            </w:pPr>
            <w:r>
              <w:rPr>
                <w:rFonts w:hint="eastAsia"/>
                <w:color w:val="auto"/>
                <w:sz w:val="21"/>
                <w:szCs w:val="16"/>
              </w:rPr>
              <w:t>/</w:t>
            </w:r>
          </w:p>
        </w:tc>
        <w:tc>
          <w:tcPr>
            <w:tcW w:w="1404" w:type="dxa"/>
            <w:vMerge w:val="continue"/>
            <w:tcBorders>
              <w:tl2br w:val="nil"/>
              <w:tr2bl w:val="nil"/>
            </w:tcBorders>
            <w:vAlign w:val="center"/>
          </w:tcPr>
          <w:p>
            <w:pPr>
              <w:snapToGrid w:val="0"/>
              <w:jc w:val="center"/>
              <w:rPr>
                <w:rFonts w:ascii="Times New Roman" w:eastAsia="宋体"/>
                <w:color w:val="auto"/>
                <w:sz w:val="21"/>
                <w:szCs w:val="21"/>
              </w:rPr>
            </w:pPr>
          </w:p>
        </w:tc>
        <w:tc>
          <w:tcPr>
            <w:tcW w:w="2016" w:type="dxa"/>
            <w:vMerge w:val="continue"/>
            <w:tcBorders>
              <w:tl2br w:val="nil"/>
              <w:tr2bl w:val="nil"/>
            </w:tcBorders>
            <w:vAlign w:val="center"/>
          </w:tcPr>
          <w:p>
            <w:pPr>
              <w:pStyle w:val="373"/>
              <w:rPr>
                <w:color w:val="auto"/>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restart"/>
            <w:tcBorders>
              <w:tl2br w:val="nil"/>
              <w:tr2bl w:val="nil"/>
            </w:tcBorders>
            <w:vAlign w:val="center"/>
          </w:tcPr>
          <w:p>
            <w:pPr>
              <w:pStyle w:val="373"/>
              <w:rPr>
                <w:color w:val="auto"/>
              </w:rPr>
            </w:pPr>
            <w:r>
              <w:rPr>
                <w:color w:val="auto"/>
              </w:rPr>
              <w:t>废水</w:t>
            </w:r>
          </w:p>
        </w:tc>
        <w:tc>
          <w:tcPr>
            <w:tcW w:w="1345" w:type="dxa"/>
            <w:tcBorders>
              <w:tl2br w:val="nil"/>
              <w:tr2bl w:val="nil"/>
            </w:tcBorders>
            <w:vAlign w:val="center"/>
          </w:tcPr>
          <w:p>
            <w:pPr>
              <w:pStyle w:val="373"/>
              <w:rPr>
                <w:color w:val="auto"/>
              </w:rPr>
            </w:pPr>
            <w:r>
              <w:rPr>
                <w:color w:val="auto"/>
              </w:rPr>
              <w:t>鸡舍</w:t>
            </w:r>
          </w:p>
          <w:p>
            <w:pPr>
              <w:pStyle w:val="373"/>
              <w:rPr>
                <w:color w:val="auto"/>
              </w:rPr>
            </w:pPr>
            <w:r>
              <w:rPr>
                <w:color w:val="auto"/>
              </w:rPr>
              <w:t>冲洗废水</w:t>
            </w:r>
          </w:p>
        </w:tc>
        <w:tc>
          <w:tcPr>
            <w:tcW w:w="4097" w:type="dxa"/>
            <w:gridSpan w:val="3"/>
            <w:tcBorders>
              <w:tl2br w:val="nil"/>
              <w:tr2bl w:val="nil"/>
            </w:tcBorders>
            <w:vAlign w:val="center"/>
          </w:tcPr>
          <w:p>
            <w:pPr>
              <w:pStyle w:val="373"/>
              <w:rPr>
                <w:color w:val="auto"/>
              </w:rPr>
            </w:pPr>
            <w:r>
              <w:rPr>
                <w:rFonts w:hint="eastAsia"/>
                <w:color w:val="auto"/>
              </w:rPr>
              <w:t>600t/a</w:t>
            </w:r>
          </w:p>
        </w:tc>
        <w:tc>
          <w:tcPr>
            <w:tcW w:w="1404" w:type="dxa"/>
            <w:tcBorders>
              <w:tl2br w:val="nil"/>
              <w:tr2bl w:val="nil"/>
            </w:tcBorders>
            <w:vAlign w:val="center"/>
          </w:tcPr>
          <w:p>
            <w:pPr>
              <w:pStyle w:val="373"/>
              <w:rPr>
                <w:color w:val="auto"/>
              </w:rPr>
            </w:pPr>
            <w:r>
              <w:rPr>
                <w:color w:val="auto"/>
              </w:rPr>
              <w:t>运营期</w:t>
            </w:r>
          </w:p>
          <w:p>
            <w:pPr>
              <w:pStyle w:val="373"/>
              <w:rPr>
                <w:color w:val="auto"/>
              </w:rPr>
            </w:pPr>
            <w:r>
              <w:rPr>
                <w:color w:val="auto"/>
              </w:rPr>
              <w:t>鸡舍冲洗时段</w:t>
            </w:r>
          </w:p>
        </w:tc>
        <w:tc>
          <w:tcPr>
            <w:tcW w:w="2016" w:type="dxa"/>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进入</w:t>
            </w:r>
            <w:r>
              <w:rPr>
                <w:rFonts w:hint="eastAsia" w:ascii="Times New Roman" w:eastAsia="宋体"/>
                <w:color w:val="auto"/>
                <w:sz w:val="21"/>
                <w:szCs w:val="21"/>
              </w:rPr>
              <w:t>场区污水沉淀池</w:t>
            </w:r>
            <w:r>
              <w:rPr>
                <w:rFonts w:ascii="Times New Roman" w:eastAsia="宋体"/>
                <w:color w:val="auto"/>
                <w:sz w:val="21"/>
                <w:szCs w:val="21"/>
              </w:rPr>
              <w:t>存储，由密闭槽罐车运送至新华养殖场处理</w:t>
            </w:r>
          </w:p>
        </w:tc>
        <w:tc>
          <w:tcPr>
            <w:tcW w:w="1877" w:type="dxa"/>
            <w:vMerge w:val="restart"/>
            <w:tcBorders>
              <w:tl2br w:val="nil"/>
              <w:tr2bl w:val="nil"/>
            </w:tcBorders>
            <w:vAlign w:val="center"/>
          </w:tcPr>
          <w:p>
            <w:pPr>
              <w:pStyle w:val="373"/>
              <w:rPr>
                <w:color w:val="auto"/>
              </w:rPr>
            </w:pPr>
            <w:r>
              <w:rPr>
                <w:rFonts w:hint="eastAsia"/>
                <w:color w:val="auto"/>
              </w:rPr>
              <w:t>污水沉淀池</w:t>
            </w:r>
            <w:r>
              <w:rPr>
                <w:color w:val="auto"/>
              </w:rPr>
              <w:t>容积为</w:t>
            </w:r>
            <w:r>
              <w:rPr>
                <w:rFonts w:hint="eastAsia"/>
                <w:color w:val="auto"/>
              </w:rPr>
              <w:t>400m</w:t>
            </w:r>
            <w:r>
              <w:rPr>
                <w:rFonts w:hint="eastAsia"/>
                <w:color w:val="auto"/>
                <w:vertAlign w:val="superscript"/>
              </w:rPr>
              <w:t>3</w:t>
            </w:r>
          </w:p>
        </w:tc>
        <w:tc>
          <w:tcPr>
            <w:tcW w:w="2891" w:type="dxa"/>
            <w:vMerge w:val="restart"/>
            <w:tcBorders>
              <w:tl2br w:val="nil"/>
              <w:tr2bl w:val="nil"/>
            </w:tcBorders>
            <w:vAlign w:val="center"/>
          </w:tcPr>
          <w:p>
            <w:pPr>
              <w:pStyle w:val="373"/>
              <w:rPr>
                <w:color w:val="auto"/>
                <w:kern w:val="0"/>
              </w:rPr>
            </w:pPr>
            <w:r>
              <w:rPr>
                <w:color w:val="auto"/>
              </w:rPr>
              <w:t>《畜禽养殖业污染物排放标准》（GB18596-2001）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tcBorders>
              <w:tl2br w:val="nil"/>
              <w:tr2bl w:val="nil"/>
            </w:tcBorders>
            <w:vAlign w:val="center"/>
          </w:tcPr>
          <w:p>
            <w:pPr>
              <w:pStyle w:val="373"/>
              <w:rPr>
                <w:color w:val="auto"/>
              </w:rPr>
            </w:pPr>
            <w:r>
              <w:rPr>
                <w:color w:val="auto"/>
              </w:rPr>
              <w:t>鸡舍</w:t>
            </w:r>
            <w:r>
              <w:rPr>
                <w:rFonts w:hint="eastAsia"/>
                <w:color w:val="auto"/>
              </w:rPr>
              <w:t>除臭水帘</w:t>
            </w:r>
            <w:r>
              <w:rPr>
                <w:color w:val="auto"/>
              </w:rPr>
              <w:t>废水</w:t>
            </w:r>
          </w:p>
        </w:tc>
        <w:tc>
          <w:tcPr>
            <w:tcW w:w="4097" w:type="dxa"/>
            <w:gridSpan w:val="3"/>
            <w:tcBorders>
              <w:tl2br w:val="nil"/>
              <w:tr2bl w:val="nil"/>
            </w:tcBorders>
            <w:vAlign w:val="center"/>
          </w:tcPr>
          <w:p>
            <w:pPr>
              <w:pStyle w:val="373"/>
              <w:rPr>
                <w:color w:val="auto"/>
              </w:rPr>
            </w:pPr>
            <w:r>
              <w:rPr>
                <w:rFonts w:hint="eastAsia"/>
                <w:color w:val="auto"/>
              </w:rPr>
              <w:t>204t/a</w:t>
            </w:r>
          </w:p>
        </w:tc>
        <w:tc>
          <w:tcPr>
            <w:tcW w:w="1404" w:type="dxa"/>
            <w:tcBorders>
              <w:tl2br w:val="nil"/>
              <w:tr2bl w:val="nil"/>
            </w:tcBorders>
            <w:vAlign w:val="center"/>
          </w:tcPr>
          <w:p>
            <w:pPr>
              <w:pStyle w:val="373"/>
              <w:rPr>
                <w:color w:val="auto"/>
              </w:rPr>
            </w:pPr>
            <w:r>
              <w:rPr>
                <w:rFonts w:hint="eastAsia"/>
                <w:color w:val="auto"/>
              </w:rPr>
              <w:t>运营期鸡舍废气除臭</w:t>
            </w:r>
          </w:p>
        </w:tc>
        <w:tc>
          <w:tcPr>
            <w:tcW w:w="2016" w:type="dxa"/>
            <w:vMerge w:val="continue"/>
            <w:tcBorders>
              <w:tl2br w:val="nil"/>
              <w:tr2bl w:val="nil"/>
            </w:tcBorders>
            <w:vAlign w:val="center"/>
          </w:tcPr>
          <w:p>
            <w:pPr>
              <w:snapToGrid w:val="0"/>
              <w:jc w:val="center"/>
              <w:rPr>
                <w:rFonts w:ascii="Times New Roman" w:eastAsia="宋体"/>
                <w:color w:val="auto"/>
                <w:sz w:val="21"/>
                <w:szCs w:val="21"/>
              </w:rPr>
            </w:pPr>
          </w:p>
        </w:tc>
        <w:tc>
          <w:tcPr>
            <w:tcW w:w="1877" w:type="dxa"/>
            <w:vMerge w:val="continue"/>
            <w:tcBorders>
              <w:tl2br w:val="nil"/>
              <w:tr2bl w:val="nil"/>
            </w:tcBorders>
            <w:vAlign w:val="center"/>
          </w:tcPr>
          <w:p>
            <w:pPr>
              <w:pStyle w:val="373"/>
              <w:rPr>
                <w:color w:val="auto"/>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w w:val="98"/>
                <w:kern w:val="0"/>
              </w:rPr>
            </w:pPr>
          </w:p>
        </w:tc>
        <w:tc>
          <w:tcPr>
            <w:tcW w:w="1345" w:type="dxa"/>
            <w:tcBorders>
              <w:tl2br w:val="nil"/>
              <w:tr2bl w:val="nil"/>
            </w:tcBorders>
            <w:vAlign w:val="center"/>
          </w:tcPr>
          <w:p>
            <w:pPr>
              <w:pStyle w:val="373"/>
              <w:rPr>
                <w:color w:val="auto"/>
              </w:rPr>
            </w:pPr>
            <w:r>
              <w:rPr>
                <w:color w:val="auto"/>
              </w:rPr>
              <w:t>生活污水</w:t>
            </w:r>
          </w:p>
        </w:tc>
        <w:tc>
          <w:tcPr>
            <w:tcW w:w="4097" w:type="dxa"/>
            <w:gridSpan w:val="3"/>
            <w:tcBorders>
              <w:tl2br w:val="nil"/>
              <w:tr2bl w:val="nil"/>
            </w:tcBorders>
            <w:vAlign w:val="center"/>
          </w:tcPr>
          <w:p>
            <w:pPr>
              <w:pStyle w:val="373"/>
              <w:rPr>
                <w:color w:val="auto"/>
              </w:rPr>
            </w:pPr>
            <w:r>
              <w:rPr>
                <w:rFonts w:hint="eastAsia"/>
                <w:color w:val="auto"/>
              </w:rPr>
              <w:t>556.8t</w:t>
            </w:r>
            <w:r>
              <w:rPr>
                <w:color w:val="auto"/>
              </w:rPr>
              <w:t>/a</w:t>
            </w:r>
          </w:p>
        </w:tc>
        <w:tc>
          <w:tcPr>
            <w:tcW w:w="1404" w:type="dxa"/>
            <w:tcBorders>
              <w:tl2br w:val="nil"/>
              <w:tr2bl w:val="nil"/>
            </w:tcBorders>
            <w:vAlign w:val="center"/>
          </w:tcPr>
          <w:p>
            <w:pPr>
              <w:pStyle w:val="373"/>
              <w:rPr>
                <w:color w:val="auto"/>
              </w:rPr>
            </w:pPr>
            <w:r>
              <w:rPr>
                <w:color w:val="auto"/>
              </w:rPr>
              <w:t>运营期</w:t>
            </w:r>
          </w:p>
        </w:tc>
        <w:tc>
          <w:tcPr>
            <w:tcW w:w="2016" w:type="dxa"/>
            <w:vMerge w:val="continue"/>
            <w:tcBorders>
              <w:tl2br w:val="nil"/>
              <w:tr2bl w:val="nil"/>
            </w:tcBorders>
            <w:vAlign w:val="center"/>
          </w:tcPr>
          <w:p>
            <w:pPr>
              <w:pStyle w:val="373"/>
              <w:rPr>
                <w:color w:val="auto"/>
                <w:w w:val="98"/>
                <w:kern w:val="0"/>
              </w:rPr>
            </w:pPr>
          </w:p>
        </w:tc>
        <w:tc>
          <w:tcPr>
            <w:tcW w:w="1877" w:type="dxa"/>
            <w:vMerge w:val="continue"/>
            <w:tcBorders>
              <w:tl2br w:val="nil"/>
              <w:tr2bl w:val="nil"/>
            </w:tcBorders>
            <w:vAlign w:val="center"/>
          </w:tcPr>
          <w:p>
            <w:pPr>
              <w:pStyle w:val="373"/>
              <w:rPr>
                <w:color w:val="auto"/>
                <w:w w:val="98"/>
                <w:kern w:val="0"/>
              </w:rPr>
            </w:pPr>
          </w:p>
        </w:tc>
        <w:tc>
          <w:tcPr>
            <w:tcW w:w="2891" w:type="dxa"/>
            <w:vMerge w:val="continue"/>
            <w:tcBorders>
              <w:tl2br w:val="nil"/>
              <w:tr2bl w:val="nil"/>
            </w:tcBorders>
            <w:vAlign w:val="center"/>
          </w:tcPr>
          <w:p>
            <w:pPr>
              <w:pStyle w:val="373"/>
              <w:rPr>
                <w:color w:val="auto"/>
                <w:w w:val="98"/>
                <w:kern w:val="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w w:val="98"/>
                <w:kern w:val="0"/>
              </w:rPr>
            </w:pPr>
          </w:p>
        </w:tc>
        <w:tc>
          <w:tcPr>
            <w:tcW w:w="1345" w:type="dxa"/>
            <w:tcBorders>
              <w:tl2br w:val="nil"/>
              <w:tr2bl w:val="nil"/>
            </w:tcBorders>
            <w:vAlign w:val="center"/>
          </w:tcPr>
          <w:p>
            <w:pPr>
              <w:pStyle w:val="373"/>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锅炉废水</w:t>
            </w:r>
          </w:p>
        </w:tc>
        <w:tc>
          <w:tcPr>
            <w:tcW w:w="4097" w:type="dxa"/>
            <w:gridSpan w:val="3"/>
            <w:tcBorders>
              <w:tl2br w:val="nil"/>
              <w:tr2bl w:val="nil"/>
            </w:tcBorders>
            <w:vAlign w:val="center"/>
          </w:tcPr>
          <w:p>
            <w:pPr>
              <w:pStyle w:val="373"/>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44.03</w:t>
            </w:r>
            <w:r>
              <w:rPr>
                <w:rFonts w:hint="eastAsia"/>
                <w:color w:val="auto"/>
              </w:rPr>
              <w:t>t</w:t>
            </w:r>
            <w:r>
              <w:rPr>
                <w:color w:val="auto"/>
              </w:rPr>
              <w:t>/a</w:t>
            </w:r>
          </w:p>
        </w:tc>
        <w:tc>
          <w:tcPr>
            <w:tcW w:w="1404" w:type="dxa"/>
            <w:tcBorders>
              <w:tl2br w:val="nil"/>
              <w:tr2bl w:val="nil"/>
            </w:tcBorders>
            <w:vAlign w:val="center"/>
          </w:tcPr>
          <w:p>
            <w:pPr>
              <w:pStyle w:val="373"/>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供热结束时</w:t>
            </w:r>
          </w:p>
        </w:tc>
        <w:tc>
          <w:tcPr>
            <w:tcW w:w="2016" w:type="dxa"/>
            <w:tcBorders>
              <w:tl2br w:val="nil"/>
              <w:tr2bl w:val="nil"/>
            </w:tcBorders>
            <w:vAlign w:val="center"/>
          </w:tcPr>
          <w:p>
            <w:pPr>
              <w:pStyle w:val="373"/>
              <w:rPr>
                <w:rFonts w:hint="eastAsia" w:eastAsia="宋体"/>
                <w:color w:val="auto"/>
                <w:w w:val="98"/>
                <w:kern w:val="0"/>
                <w:lang w:val="en-US" w:eastAsia="zh-CN"/>
              </w:rPr>
            </w:pPr>
            <w:r>
              <w:rPr>
                <w:rFonts w:hint="eastAsia"/>
                <w:color w:val="auto"/>
                <w:w w:val="98"/>
                <w:kern w:val="0"/>
                <w:lang w:val="en-US" w:eastAsia="zh-CN"/>
              </w:rPr>
              <w:t>洒水抑尘</w:t>
            </w:r>
          </w:p>
        </w:tc>
        <w:tc>
          <w:tcPr>
            <w:tcW w:w="1877" w:type="dxa"/>
            <w:tcBorders>
              <w:tl2br w:val="nil"/>
              <w:tr2bl w:val="nil"/>
            </w:tcBorders>
            <w:vAlign w:val="center"/>
          </w:tcPr>
          <w:p>
            <w:pPr>
              <w:pStyle w:val="373"/>
              <w:rPr>
                <w:rFonts w:hint="default" w:eastAsia="宋体"/>
                <w:color w:val="auto"/>
                <w:w w:val="98"/>
                <w:kern w:val="0"/>
                <w:lang w:val="en-US" w:eastAsia="zh-CN"/>
              </w:rPr>
            </w:pPr>
            <w:r>
              <w:rPr>
                <w:rFonts w:hint="eastAsia"/>
                <w:color w:val="auto"/>
                <w:w w:val="98"/>
                <w:kern w:val="0"/>
                <w:lang w:val="en-US" w:eastAsia="zh-CN"/>
              </w:rPr>
              <w:t>不外排</w:t>
            </w:r>
          </w:p>
        </w:tc>
        <w:tc>
          <w:tcPr>
            <w:tcW w:w="2891" w:type="dxa"/>
            <w:tcBorders>
              <w:tl2br w:val="nil"/>
              <w:tr2bl w:val="nil"/>
            </w:tcBorders>
            <w:vAlign w:val="center"/>
          </w:tcPr>
          <w:p>
            <w:pPr>
              <w:pStyle w:val="373"/>
              <w:rPr>
                <w:rFonts w:hint="default" w:eastAsia="宋体"/>
                <w:color w:val="auto"/>
                <w:w w:val="98"/>
                <w:kern w:val="0"/>
                <w:lang w:val="en-US" w:eastAsia="zh-CN"/>
              </w:rPr>
            </w:pPr>
            <w:r>
              <w:rPr>
                <w:rFonts w:hint="eastAsia"/>
                <w:color w:val="auto"/>
                <w:w w:val="98"/>
                <w:kern w:val="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tcBorders>
              <w:tl2br w:val="nil"/>
              <w:tr2bl w:val="nil"/>
            </w:tcBorders>
            <w:vAlign w:val="center"/>
          </w:tcPr>
          <w:p>
            <w:pPr>
              <w:pStyle w:val="373"/>
              <w:rPr>
                <w:color w:val="auto"/>
              </w:rPr>
            </w:pPr>
            <w:r>
              <w:rPr>
                <w:color w:val="auto"/>
              </w:rPr>
              <w:t>噪声</w:t>
            </w:r>
          </w:p>
        </w:tc>
        <w:tc>
          <w:tcPr>
            <w:tcW w:w="2361" w:type="dxa"/>
            <w:gridSpan w:val="2"/>
            <w:tcBorders>
              <w:tl2br w:val="nil"/>
              <w:tr2bl w:val="nil"/>
            </w:tcBorders>
            <w:vAlign w:val="center"/>
          </w:tcPr>
          <w:p>
            <w:pPr>
              <w:pStyle w:val="373"/>
              <w:rPr>
                <w:color w:val="auto"/>
              </w:rPr>
            </w:pPr>
            <w:r>
              <w:rPr>
                <w:color w:val="auto"/>
              </w:rPr>
              <w:t>设备噪声</w:t>
            </w:r>
          </w:p>
        </w:tc>
        <w:tc>
          <w:tcPr>
            <w:tcW w:w="3081" w:type="dxa"/>
            <w:gridSpan w:val="2"/>
            <w:tcBorders>
              <w:tl2br w:val="nil"/>
              <w:tr2bl w:val="nil"/>
            </w:tcBorders>
            <w:vAlign w:val="center"/>
          </w:tcPr>
          <w:p>
            <w:pPr>
              <w:pStyle w:val="373"/>
              <w:rPr>
                <w:color w:val="auto"/>
              </w:rPr>
            </w:pPr>
            <w:r>
              <w:rPr>
                <w:color w:val="auto"/>
                <w:kern w:val="0"/>
              </w:rPr>
              <w:t>60~85dB（A）</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w w:val="99"/>
                <w:kern w:val="0"/>
              </w:rPr>
            </w:pPr>
            <w:r>
              <w:rPr>
                <w:color w:val="auto"/>
              </w:rPr>
              <w:t>选择低噪声设备，置于厂房内，采取隔声等措施</w:t>
            </w:r>
          </w:p>
        </w:tc>
        <w:tc>
          <w:tcPr>
            <w:tcW w:w="1877" w:type="dxa"/>
            <w:tcBorders>
              <w:tl2br w:val="nil"/>
              <w:tr2bl w:val="nil"/>
            </w:tcBorders>
            <w:vAlign w:val="center"/>
          </w:tcPr>
          <w:p>
            <w:pPr>
              <w:pStyle w:val="373"/>
              <w:rPr>
                <w:color w:val="auto"/>
              </w:rPr>
            </w:pPr>
            <w:r>
              <w:rPr>
                <w:color w:val="auto"/>
                <w:w w:val="98"/>
                <w:kern w:val="0"/>
              </w:rPr>
              <w:t>/</w:t>
            </w:r>
          </w:p>
        </w:tc>
        <w:tc>
          <w:tcPr>
            <w:tcW w:w="2891" w:type="dxa"/>
            <w:tcBorders>
              <w:tl2br w:val="nil"/>
              <w:tr2bl w:val="nil"/>
            </w:tcBorders>
            <w:vAlign w:val="center"/>
          </w:tcPr>
          <w:p>
            <w:pPr>
              <w:pStyle w:val="373"/>
              <w:rPr>
                <w:color w:val="auto"/>
              </w:rPr>
            </w:pPr>
            <w:r>
              <w:rPr>
                <w:color w:val="auto"/>
              </w:rPr>
              <w:t>《工业企业厂界环境噪声排放标准》</w:t>
            </w:r>
            <w:r>
              <w:rPr>
                <w:rFonts w:hint="eastAsia"/>
                <w:color w:val="auto"/>
              </w:rPr>
              <w:t>（</w:t>
            </w:r>
            <w:r>
              <w:rPr>
                <w:color w:val="auto"/>
              </w:rPr>
              <w:t>GB 12348-2008</w:t>
            </w:r>
            <w:r>
              <w:rPr>
                <w:rFonts w:hint="eastAsia"/>
                <w:color w:val="auto"/>
              </w:rPr>
              <w:t>）2</w:t>
            </w:r>
            <w:r>
              <w:rPr>
                <w:color w:val="auto"/>
              </w:rPr>
              <w:t>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restart"/>
            <w:tcBorders>
              <w:tl2br w:val="nil"/>
              <w:tr2bl w:val="nil"/>
            </w:tcBorders>
            <w:vAlign w:val="center"/>
          </w:tcPr>
          <w:p>
            <w:pPr>
              <w:pStyle w:val="373"/>
              <w:rPr>
                <w:color w:val="auto"/>
              </w:rPr>
            </w:pPr>
            <w:r>
              <w:rPr>
                <w:color w:val="auto"/>
              </w:rPr>
              <w:t>固废</w:t>
            </w:r>
          </w:p>
        </w:tc>
        <w:tc>
          <w:tcPr>
            <w:tcW w:w="1345" w:type="dxa"/>
            <w:tcBorders>
              <w:tl2br w:val="nil"/>
              <w:tr2bl w:val="nil"/>
            </w:tcBorders>
            <w:vAlign w:val="center"/>
          </w:tcPr>
          <w:p>
            <w:pPr>
              <w:pStyle w:val="373"/>
              <w:rPr>
                <w:color w:val="auto"/>
              </w:rPr>
            </w:pPr>
            <w:r>
              <w:rPr>
                <w:color w:val="auto"/>
              </w:rPr>
              <w:t>职工生活</w:t>
            </w:r>
          </w:p>
        </w:tc>
        <w:tc>
          <w:tcPr>
            <w:tcW w:w="1016" w:type="dxa"/>
            <w:tcBorders>
              <w:tl2br w:val="nil"/>
              <w:tr2bl w:val="nil"/>
            </w:tcBorders>
            <w:vAlign w:val="center"/>
          </w:tcPr>
          <w:p>
            <w:pPr>
              <w:pStyle w:val="373"/>
              <w:rPr>
                <w:color w:val="auto"/>
              </w:rPr>
            </w:pPr>
            <w:r>
              <w:rPr>
                <w:color w:val="auto"/>
              </w:rPr>
              <w:t>生活</w:t>
            </w:r>
          </w:p>
          <w:p>
            <w:pPr>
              <w:pStyle w:val="373"/>
              <w:rPr>
                <w:color w:val="auto"/>
              </w:rPr>
            </w:pPr>
            <w:r>
              <w:rPr>
                <w:color w:val="auto"/>
              </w:rPr>
              <w:t>垃圾</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pStyle w:val="373"/>
              <w:rPr>
                <w:bCs/>
                <w:color w:val="auto"/>
              </w:rPr>
            </w:pPr>
            <w:r>
              <w:rPr>
                <w:rFonts w:hint="eastAsia"/>
                <w:color w:val="auto"/>
              </w:rPr>
              <w:t>3.84</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kern w:val="0"/>
              </w:rPr>
            </w:pPr>
            <w:r>
              <w:rPr>
                <w:color w:val="auto"/>
              </w:rPr>
              <w:t>收集至自备的垃圾收集桶，及时清理外送至指定垃圾堆放点</w:t>
            </w:r>
          </w:p>
        </w:tc>
        <w:tc>
          <w:tcPr>
            <w:tcW w:w="1877" w:type="dxa"/>
            <w:tcBorders>
              <w:tl2br w:val="nil"/>
              <w:tr2bl w:val="nil"/>
            </w:tcBorders>
            <w:vAlign w:val="center"/>
          </w:tcPr>
          <w:p>
            <w:pPr>
              <w:pStyle w:val="373"/>
              <w:rPr>
                <w:color w:val="auto"/>
              </w:rPr>
            </w:pPr>
            <w:r>
              <w:rPr>
                <w:color w:val="auto"/>
                <w:w w:val="98"/>
                <w:kern w:val="0"/>
              </w:rPr>
              <w:t>/</w:t>
            </w:r>
          </w:p>
        </w:tc>
        <w:tc>
          <w:tcPr>
            <w:tcW w:w="2891" w:type="dxa"/>
            <w:tcBorders>
              <w:tl2br w:val="nil"/>
              <w:tr2bl w:val="nil"/>
            </w:tcBorders>
            <w:vAlign w:val="center"/>
          </w:tcPr>
          <w:p>
            <w:pPr>
              <w:pStyle w:val="373"/>
              <w:rPr>
                <w:color w:val="auto"/>
                <w:kern w:val="0"/>
              </w:rPr>
            </w:pPr>
            <w:r>
              <w:rPr>
                <w:color w:val="auto"/>
              </w:rPr>
              <w:t>《生活垃圾填埋场控制标准》（GB16889-2008）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restart"/>
            <w:tcBorders>
              <w:tl2br w:val="nil"/>
              <w:tr2bl w:val="nil"/>
            </w:tcBorders>
            <w:vAlign w:val="center"/>
          </w:tcPr>
          <w:p>
            <w:pPr>
              <w:pStyle w:val="373"/>
              <w:rPr>
                <w:color w:val="auto"/>
              </w:rPr>
            </w:pPr>
            <w:r>
              <w:rPr>
                <w:color w:val="auto"/>
              </w:rPr>
              <w:t>肉鸡养殖</w:t>
            </w:r>
          </w:p>
        </w:tc>
        <w:tc>
          <w:tcPr>
            <w:tcW w:w="1016" w:type="dxa"/>
            <w:tcBorders>
              <w:tl2br w:val="nil"/>
              <w:tr2bl w:val="nil"/>
            </w:tcBorders>
            <w:vAlign w:val="center"/>
          </w:tcPr>
          <w:p>
            <w:pPr>
              <w:pStyle w:val="373"/>
              <w:rPr>
                <w:color w:val="auto"/>
              </w:rPr>
            </w:pPr>
            <w:r>
              <w:rPr>
                <w:color w:val="auto"/>
              </w:rPr>
              <w:t>鸡粪</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pStyle w:val="373"/>
              <w:rPr>
                <w:bCs/>
                <w:color w:val="auto"/>
              </w:rPr>
            </w:pPr>
            <w:r>
              <w:rPr>
                <w:rFonts w:hint="eastAsia"/>
                <w:color w:val="auto"/>
              </w:rPr>
              <w:t>6270</w:t>
            </w:r>
          </w:p>
        </w:tc>
        <w:tc>
          <w:tcPr>
            <w:tcW w:w="1404" w:type="dxa"/>
            <w:vMerge w:val="restart"/>
            <w:tcBorders>
              <w:tl2br w:val="nil"/>
              <w:tr2bl w:val="nil"/>
            </w:tcBorders>
            <w:vAlign w:val="center"/>
          </w:tcPr>
          <w:p>
            <w:pPr>
              <w:pStyle w:val="373"/>
              <w:rPr>
                <w:color w:val="auto"/>
              </w:rPr>
            </w:pPr>
            <w:r>
              <w:rPr>
                <w:color w:val="auto"/>
              </w:rPr>
              <w:t>运营期</w:t>
            </w:r>
          </w:p>
        </w:tc>
        <w:tc>
          <w:tcPr>
            <w:tcW w:w="2016" w:type="dxa"/>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日产日清，</w:t>
            </w:r>
            <w:r>
              <w:rPr>
                <w:rFonts w:hint="eastAsia" w:ascii="Times New Roman" w:eastAsia="宋体" w:cs="宋体"/>
                <w:color w:val="auto"/>
                <w:sz w:val="21"/>
                <w:szCs w:val="21"/>
              </w:rPr>
              <w:t>暂存于</w:t>
            </w:r>
            <w:r>
              <w:rPr>
                <w:rFonts w:hint="eastAsia" w:ascii="Times New Roman" w:eastAsia="宋体" w:cs="宋体"/>
                <w:color w:val="auto"/>
                <w:sz w:val="21"/>
                <w:szCs w:val="21"/>
                <w:lang w:eastAsia="zh-CN"/>
              </w:rPr>
              <w:t>鸡舍内的</w:t>
            </w:r>
            <w:r>
              <w:rPr>
                <w:rFonts w:hint="eastAsia" w:ascii="Times New Roman" w:eastAsia="宋体" w:cs="宋体"/>
                <w:color w:val="auto"/>
                <w:sz w:val="21"/>
                <w:szCs w:val="21"/>
              </w:rPr>
              <w:t>鸡粪暂存</w:t>
            </w:r>
            <w:r>
              <w:rPr>
                <w:rFonts w:hint="eastAsia" w:ascii="Times New Roman" w:eastAsia="宋体" w:cs="宋体"/>
                <w:color w:val="auto"/>
                <w:sz w:val="21"/>
                <w:szCs w:val="21"/>
                <w:lang w:eastAsia="zh-CN"/>
              </w:rPr>
              <w:t>区</w:t>
            </w:r>
            <w:r>
              <w:rPr>
                <w:rFonts w:hint="eastAsia" w:ascii="Times New Roman" w:eastAsia="宋体" w:cs="宋体"/>
                <w:color w:val="auto"/>
                <w:sz w:val="21"/>
                <w:szCs w:val="21"/>
              </w:rPr>
              <w:t>，后定期外售制肥</w:t>
            </w:r>
          </w:p>
        </w:tc>
        <w:tc>
          <w:tcPr>
            <w:tcW w:w="1877" w:type="dxa"/>
            <w:vMerge w:val="restart"/>
            <w:tcBorders>
              <w:tl2br w:val="nil"/>
              <w:tr2bl w:val="nil"/>
            </w:tcBorders>
            <w:vAlign w:val="center"/>
          </w:tcPr>
          <w:p>
            <w:pPr>
              <w:pStyle w:val="373"/>
              <w:rPr>
                <w:color w:val="auto"/>
              </w:rPr>
            </w:pPr>
            <w:r>
              <w:rPr>
                <w:color w:val="auto"/>
                <w:w w:val="98"/>
                <w:kern w:val="0"/>
              </w:rPr>
              <w:t>/</w:t>
            </w:r>
          </w:p>
        </w:tc>
        <w:tc>
          <w:tcPr>
            <w:tcW w:w="2891" w:type="dxa"/>
            <w:vMerge w:val="restart"/>
            <w:tcBorders>
              <w:tl2br w:val="nil"/>
              <w:tr2bl w:val="nil"/>
            </w:tcBorders>
            <w:vAlign w:val="center"/>
          </w:tcPr>
          <w:p>
            <w:pPr>
              <w:pStyle w:val="373"/>
              <w:rPr>
                <w:color w:val="auto"/>
                <w:kern w:val="0"/>
              </w:rPr>
            </w:pPr>
            <w:r>
              <w:rPr>
                <w:color w:val="auto"/>
              </w:rPr>
              <w:t>《畜禽养殖业污染物排放标准》（GB18596-2001）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rPr>
            </w:pPr>
            <w:r>
              <w:rPr>
                <w:color w:val="auto"/>
              </w:rPr>
              <w:t>饲料残渣和落地羽毛</w:t>
            </w:r>
          </w:p>
        </w:tc>
        <w:tc>
          <w:tcPr>
            <w:tcW w:w="1952" w:type="dxa"/>
            <w:tcBorders>
              <w:tl2br w:val="nil"/>
              <w:tr2bl w:val="nil"/>
            </w:tcBorders>
            <w:vAlign w:val="center"/>
          </w:tcPr>
          <w:p>
            <w:pPr>
              <w:pStyle w:val="373"/>
              <w:rPr>
                <w:color w:val="auto"/>
              </w:rPr>
            </w:pPr>
            <w:r>
              <w:rPr>
                <w:rFonts w:hint="eastAsia"/>
                <w:color w:val="auto"/>
              </w:rPr>
              <w:t>/</w:t>
            </w:r>
          </w:p>
        </w:tc>
        <w:tc>
          <w:tcPr>
            <w:tcW w:w="1129" w:type="dxa"/>
            <w:tcBorders>
              <w:tl2br w:val="nil"/>
              <w:tr2bl w:val="nil"/>
            </w:tcBorders>
            <w:vAlign w:val="center"/>
          </w:tcPr>
          <w:p>
            <w:pPr>
              <w:pStyle w:val="373"/>
              <w:rPr>
                <w:color w:val="auto"/>
              </w:rPr>
            </w:pPr>
            <w:r>
              <w:rPr>
                <w:rFonts w:hint="eastAsia"/>
                <w:color w:val="auto"/>
              </w:rPr>
              <w:t>12</w:t>
            </w:r>
          </w:p>
        </w:tc>
        <w:tc>
          <w:tcPr>
            <w:tcW w:w="1404" w:type="dxa"/>
            <w:vMerge w:val="continue"/>
            <w:tcBorders>
              <w:tl2br w:val="nil"/>
              <w:tr2bl w:val="nil"/>
            </w:tcBorders>
            <w:vAlign w:val="center"/>
          </w:tcPr>
          <w:p>
            <w:pPr>
              <w:pStyle w:val="373"/>
              <w:rPr>
                <w:color w:val="auto"/>
              </w:rPr>
            </w:pPr>
          </w:p>
        </w:tc>
        <w:tc>
          <w:tcPr>
            <w:tcW w:w="2016" w:type="dxa"/>
            <w:vMerge w:val="continue"/>
            <w:tcBorders>
              <w:tl2br w:val="nil"/>
              <w:tr2bl w:val="nil"/>
            </w:tcBorders>
            <w:vAlign w:val="center"/>
          </w:tcPr>
          <w:p>
            <w:pPr>
              <w:snapToGrid w:val="0"/>
              <w:jc w:val="center"/>
              <w:rPr>
                <w:rFonts w:ascii="Times New Roman" w:eastAsia="宋体"/>
                <w:color w:val="auto"/>
                <w:sz w:val="21"/>
                <w:szCs w:val="21"/>
              </w:rPr>
            </w:pPr>
          </w:p>
        </w:tc>
        <w:tc>
          <w:tcPr>
            <w:tcW w:w="1877" w:type="dxa"/>
            <w:vMerge w:val="continue"/>
            <w:tcBorders>
              <w:tl2br w:val="nil"/>
              <w:tr2bl w:val="nil"/>
            </w:tcBorders>
            <w:vAlign w:val="center"/>
          </w:tcPr>
          <w:p>
            <w:pPr>
              <w:pStyle w:val="373"/>
              <w:rPr>
                <w:color w:val="auto"/>
                <w:w w:val="98"/>
                <w:kern w:val="0"/>
              </w:rPr>
            </w:pPr>
          </w:p>
        </w:tc>
        <w:tc>
          <w:tcPr>
            <w:tcW w:w="2891" w:type="dxa"/>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rPr>
            </w:pPr>
            <w:r>
              <w:rPr>
                <w:color w:val="auto"/>
              </w:rPr>
              <w:t>物料废包装物</w:t>
            </w:r>
          </w:p>
        </w:tc>
        <w:tc>
          <w:tcPr>
            <w:tcW w:w="1952" w:type="dxa"/>
            <w:tcBorders>
              <w:tl2br w:val="nil"/>
              <w:tr2bl w:val="nil"/>
            </w:tcBorders>
            <w:vAlign w:val="center"/>
          </w:tcPr>
          <w:p>
            <w:pPr>
              <w:pStyle w:val="373"/>
              <w:rPr>
                <w:color w:val="auto"/>
              </w:rPr>
            </w:pPr>
            <w:r>
              <w:rPr>
                <w:rFonts w:hint="eastAsia"/>
                <w:color w:val="auto"/>
              </w:rPr>
              <w:t>/</w:t>
            </w:r>
          </w:p>
        </w:tc>
        <w:tc>
          <w:tcPr>
            <w:tcW w:w="1129" w:type="dxa"/>
            <w:tcBorders>
              <w:tl2br w:val="nil"/>
              <w:tr2bl w:val="nil"/>
            </w:tcBorders>
            <w:vAlign w:val="center"/>
          </w:tcPr>
          <w:p>
            <w:pPr>
              <w:pStyle w:val="373"/>
              <w:rPr>
                <w:color w:val="auto"/>
                <w:kern w:val="0"/>
              </w:rPr>
            </w:pPr>
            <w:r>
              <w:rPr>
                <w:rFonts w:hint="eastAsia"/>
                <w:color w:val="auto"/>
                <w:kern w:val="0"/>
              </w:rPr>
              <w:t>0.1</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rFonts w:cs="宋体"/>
                <w:color w:val="auto"/>
                <w:kern w:val="0"/>
              </w:rPr>
            </w:pPr>
            <w:r>
              <w:rPr>
                <w:rFonts w:hint="eastAsia" w:cs="宋体"/>
                <w:color w:val="auto"/>
                <w:kern w:val="0"/>
              </w:rPr>
              <w:t>暂存于固废暂存间，由废品回收站回收处理。</w:t>
            </w:r>
          </w:p>
        </w:tc>
        <w:tc>
          <w:tcPr>
            <w:tcW w:w="1877" w:type="dxa"/>
            <w:tcBorders>
              <w:tl2br w:val="nil"/>
              <w:tr2bl w:val="nil"/>
            </w:tcBorders>
            <w:vAlign w:val="center"/>
          </w:tcPr>
          <w:p>
            <w:pPr>
              <w:pStyle w:val="373"/>
              <w:rPr>
                <w:color w:val="auto"/>
              </w:rPr>
            </w:pPr>
            <w:r>
              <w:rPr>
                <w:color w:val="auto"/>
                <w:w w:val="98"/>
                <w:kern w:val="0"/>
              </w:rPr>
              <w:t>/</w:t>
            </w:r>
          </w:p>
        </w:tc>
        <w:tc>
          <w:tcPr>
            <w:tcW w:w="2891" w:type="dxa"/>
            <w:tcBorders>
              <w:tl2br w:val="nil"/>
              <w:tr2bl w:val="nil"/>
            </w:tcBorders>
            <w:vAlign w:val="center"/>
          </w:tcPr>
          <w:p>
            <w:pPr>
              <w:pStyle w:val="373"/>
              <w:rPr>
                <w:color w:val="auto"/>
              </w:rPr>
            </w:pPr>
            <w:r>
              <w:rPr>
                <w:color w:val="auto"/>
              </w:rPr>
              <w:t>《一般工业固体废物贮存</w:t>
            </w:r>
            <w:r>
              <w:rPr>
                <w:rFonts w:hint="eastAsia"/>
                <w:color w:val="auto"/>
              </w:rPr>
              <w:t>和填埋</w:t>
            </w:r>
            <w:r>
              <w:rPr>
                <w:color w:val="auto"/>
              </w:rPr>
              <w:t>场污染控制标准》（GB18599-20</w:t>
            </w:r>
            <w:r>
              <w:rPr>
                <w:rFonts w:hint="eastAsia"/>
                <w:color w:val="auto"/>
              </w:rPr>
              <w:t>20</w:t>
            </w: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rPr>
            </w:pPr>
            <w:r>
              <w:rPr>
                <w:color w:val="auto"/>
              </w:rPr>
              <w:t>病死鸡</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pStyle w:val="373"/>
              <w:rPr>
                <w:bCs/>
                <w:color w:val="auto"/>
              </w:rPr>
            </w:pPr>
            <w:r>
              <w:rPr>
                <w:rFonts w:hint="eastAsia"/>
                <w:color w:val="auto"/>
                <w:kern w:val="0"/>
              </w:rPr>
              <w:t>2.2</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kern w:val="0"/>
              </w:rPr>
            </w:pPr>
            <w:r>
              <w:rPr>
                <w:rFonts w:hint="eastAsia" w:cs="宋体"/>
                <w:color w:val="auto"/>
                <w:kern w:val="0"/>
              </w:rPr>
              <w:t>暂存</w:t>
            </w:r>
            <w:r>
              <w:rPr>
                <w:rFonts w:hint="eastAsia" w:cs="宋体"/>
                <w:color w:val="auto"/>
                <w:kern w:val="0"/>
                <w:lang w:val="en-US" w:eastAsia="zh-CN"/>
              </w:rPr>
              <w:t>冷藏</w:t>
            </w:r>
            <w:r>
              <w:rPr>
                <w:rFonts w:hint="eastAsia" w:cs="宋体"/>
                <w:color w:val="auto"/>
                <w:kern w:val="0"/>
              </w:rPr>
              <w:t>柜，后定期</w:t>
            </w:r>
            <w:r>
              <w:rPr>
                <w:rFonts w:hint="eastAsia" w:cs="宋体"/>
                <w:color w:val="auto"/>
                <w:kern w:val="0"/>
                <w:lang w:val="en-US" w:eastAsia="zh-CN"/>
              </w:rPr>
              <w:t>交</w:t>
            </w:r>
            <w:r>
              <w:rPr>
                <w:rFonts w:hint="eastAsia" w:cs="宋体"/>
                <w:color w:val="auto"/>
                <w:kern w:val="0"/>
              </w:rPr>
              <w:t>由岳阳县病死禽无害化处理厂处置</w:t>
            </w:r>
          </w:p>
        </w:tc>
        <w:tc>
          <w:tcPr>
            <w:tcW w:w="1877" w:type="dxa"/>
            <w:tcBorders>
              <w:tl2br w:val="nil"/>
              <w:tr2bl w:val="nil"/>
            </w:tcBorders>
            <w:vAlign w:val="center"/>
          </w:tcPr>
          <w:p>
            <w:pPr>
              <w:pStyle w:val="373"/>
              <w:rPr>
                <w:color w:val="auto"/>
              </w:rPr>
            </w:pPr>
            <w:r>
              <w:rPr>
                <w:rFonts w:hint="eastAsia"/>
                <w:color w:val="auto"/>
                <w:lang w:val="en-US" w:eastAsia="zh-CN"/>
              </w:rPr>
              <w:t>冷藏</w:t>
            </w:r>
            <w:r>
              <w:rPr>
                <w:rFonts w:hint="eastAsia"/>
                <w:color w:val="auto"/>
              </w:rPr>
              <w:t>柜1</w:t>
            </w:r>
            <w:r>
              <w:rPr>
                <w:color w:val="auto"/>
              </w:rPr>
              <w:t>个</w:t>
            </w:r>
          </w:p>
        </w:tc>
        <w:tc>
          <w:tcPr>
            <w:tcW w:w="2891" w:type="dxa"/>
            <w:tcBorders>
              <w:tl2br w:val="nil"/>
              <w:tr2bl w:val="nil"/>
            </w:tcBorders>
            <w:vAlign w:val="center"/>
          </w:tcPr>
          <w:p>
            <w:pPr>
              <w:pStyle w:val="373"/>
              <w:rPr>
                <w:color w:val="auto"/>
                <w:kern w:val="0"/>
              </w:rPr>
            </w:pPr>
            <w:r>
              <w:rPr>
                <w:color w:val="auto"/>
              </w:rPr>
              <w:t>《畜禽养殖业污染防治技术规范》（HJ/81-2001）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tcBorders>
              <w:tl2br w:val="nil"/>
              <w:tr2bl w:val="nil"/>
            </w:tcBorders>
            <w:vAlign w:val="center"/>
          </w:tcPr>
          <w:p>
            <w:pPr>
              <w:pStyle w:val="373"/>
              <w:rPr>
                <w:color w:val="auto"/>
              </w:rPr>
            </w:pPr>
            <w:r>
              <w:rPr>
                <w:rFonts w:hint="eastAsia"/>
                <w:color w:val="auto"/>
              </w:rPr>
              <w:t>废水沉淀池</w:t>
            </w:r>
          </w:p>
        </w:tc>
        <w:tc>
          <w:tcPr>
            <w:tcW w:w="1016" w:type="dxa"/>
            <w:tcBorders>
              <w:tl2br w:val="nil"/>
              <w:tr2bl w:val="nil"/>
            </w:tcBorders>
            <w:vAlign w:val="center"/>
          </w:tcPr>
          <w:p>
            <w:pPr>
              <w:pStyle w:val="373"/>
              <w:rPr>
                <w:color w:val="auto"/>
                <w:kern w:val="0"/>
              </w:rPr>
            </w:pPr>
            <w:r>
              <w:rPr>
                <w:rFonts w:hint="eastAsia"/>
                <w:color w:val="auto"/>
                <w:kern w:val="0"/>
              </w:rPr>
              <w:t>污泥</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pStyle w:val="373"/>
              <w:rPr>
                <w:color w:val="auto"/>
                <w:kern w:val="0"/>
              </w:rPr>
            </w:pPr>
            <w:r>
              <w:rPr>
                <w:rFonts w:hint="eastAsia" w:cs="宋体"/>
                <w:color w:val="auto"/>
                <w:kern w:val="0"/>
              </w:rPr>
              <w:t>1.40</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kern w:val="0"/>
              </w:rPr>
            </w:pPr>
            <w:r>
              <w:rPr>
                <w:rFonts w:hint="eastAsia" w:cs="宋体"/>
                <w:color w:val="auto"/>
              </w:rPr>
              <w:t>不暂存，与鸡粪一同外售处理</w:t>
            </w:r>
          </w:p>
        </w:tc>
        <w:tc>
          <w:tcPr>
            <w:tcW w:w="1877" w:type="dxa"/>
            <w:tcBorders>
              <w:tl2br w:val="nil"/>
              <w:tr2bl w:val="nil"/>
            </w:tcBorders>
            <w:vAlign w:val="center"/>
          </w:tcPr>
          <w:p>
            <w:pPr>
              <w:pStyle w:val="373"/>
              <w:rPr>
                <w:color w:val="auto"/>
              </w:rPr>
            </w:pPr>
            <w:r>
              <w:rPr>
                <w:color w:val="auto"/>
              </w:rPr>
              <w:t>/</w:t>
            </w:r>
          </w:p>
        </w:tc>
        <w:tc>
          <w:tcPr>
            <w:tcW w:w="2891" w:type="dxa"/>
            <w:tcBorders>
              <w:tl2br w:val="nil"/>
              <w:tr2bl w:val="nil"/>
            </w:tcBorders>
            <w:vAlign w:val="center"/>
          </w:tcPr>
          <w:p>
            <w:pPr>
              <w:pStyle w:val="373"/>
              <w:rPr>
                <w:color w:val="auto"/>
                <w:kern w:val="0"/>
              </w:rPr>
            </w:pPr>
            <w:r>
              <w:rPr>
                <w:color w:val="auto"/>
              </w:rPr>
              <w:t>《一般工业固体废物贮存</w:t>
            </w:r>
            <w:r>
              <w:rPr>
                <w:rFonts w:hint="eastAsia"/>
                <w:color w:val="auto"/>
              </w:rPr>
              <w:t>和填埋</w:t>
            </w:r>
            <w:r>
              <w:rPr>
                <w:color w:val="auto"/>
              </w:rPr>
              <w:t>场污染控制标准》（GB18599-20</w:t>
            </w:r>
            <w:r>
              <w:rPr>
                <w:rFonts w:hint="eastAsia"/>
                <w:color w:val="auto"/>
              </w:rPr>
              <w:t>20</w:t>
            </w: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tcBorders>
              <w:tl2br w:val="nil"/>
              <w:tr2bl w:val="nil"/>
            </w:tcBorders>
            <w:vAlign w:val="center"/>
          </w:tcPr>
          <w:p>
            <w:pPr>
              <w:pStyle w:val="373"/>
              <w:rPr>
                <w:color w:val="auto"/>
              </w:rPr>
            </w:pPr>
            <w:r>
              <w:rPr>
                <w:color w:val="auto"/>
              </w:rPr>
              <w:t>肉鸡防疫</w:t>
            </w:r>
          </w:p>
        </w:tc>
        <w:tc>
          <w:tcPr>
            <w:tcW w:w="1016" w:type="dxa"/>
            <w:tcBorders>
              <w:tl2br w:val="nil"/>
              <w:tr2bl w:val="nil"/>
            </w:tcBorders>
            <w:vAlign w:val="center"/>
          </w:tcPr>
          <w:p>
            <w:pPr>
              <w:pStyle w:val="373"/>
              <w:rPr>
                <w:color w:val="auto"/>
              </w:rPr>
            </w:pPr>
            <w:r>
              <w:rPr>
                <w:color w:val="auto"/>
              </w:rPr>
              <w:t>医疗</w:t>
            </w:r>
          </w:p>
          <w:p>
            <w:pPr>
              <w:pStyle w:val="373"/>
              <w:rPr>
                <w:color w:val="auto"/>
              </w:rPr>
            </w:pPr>
            <w:r>
              <w:rPr>
                <w:color w:val="auto"/>
              </w:rPr>
              <w:t>废物</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pStyle w:val="373"/>
              <w:rPr>
                <w:bCs/>
                <w:color w:val="auto"/>
              </w:rPr>
            </w:pPr>
            <w:r>
              <w:rPr>
                <w:bCs/>
                <w:color w:val="auto"/>
              </w:rPr>
              <w:t>0.05</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rPr>
            </w:pPr>
            <w:r>
              <w:rPr>
                <w:color w:val="auto"/>
              </w:rPr>
              <w:t>外委给专业有资质的防疫公司，产生的医疗废物由防疫公司带走集中交由有资质单位进行处置。</w:t>
            </w:r>
          </w:p>
        </w:tc>
        <w:tc>
          <w:tcPr>
            <w:tcW w:w="1877" w:type="dxa"/>
            <w:tcBorders>
              <w:tl2br w:val="nil"/>
              <w:tr2bl w:val="nil"/>
            </w:tcBorders>
            <w:vAlign w:val="center"/>
          </w:tcPr>
          <w:p>
            <w:pPr>
              <w:pStyle w:val="373"/>
              <w:rPr>
                <w:color w:val="auto"/>
              </w:rPr>
            </w:pPr>
            <w:r>
              <w:rPr>
                <w:rFonts w:hint="eastAsia"/>
                <w:color w:val="auto"/>
              </w:rPr>
              <w:t>危险废物暂存间</w:t>
            </w:r>
          </w:p>
        </w:tc>
        <w:tc>
          <w:tcPr>
            <w:tcW w:w="2891" w:type="dxa"/>
            <w:tcBorders>
              <w:tl2br w:val="nil"/>
              <w:tr2bl w:val="nil"/>
            </w:tcBorders>
            <w:vAlign w:val="center"/>
          </w:tcPr>
          <w:p>
            <w:pPr>
              <w:pStyle w:val="373"/>
              <w:rPr>
                <w:color w:val="auto"/>
              </w:rPr>
            </w:pPr>
            <w:r>
              <w:rPr>
                <w:rFonts w:hint="eastAsia"/>
                <w:color w:val="auto"/>
              </w:rPr>
              <w:t>《危险废物贮存污染控制标准》（GB18597-2023）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restart"/>
            <w:tcBorders>
              <w:tl2br w:val="nil"/>
              <w:tr2bl w:val="nil"/>
            </w:tcBorders>
            <w:vAlign w:val="center"/>
          </w:tcPr>
          <w:p>
            <w:pPr>
              <w:pStyle w:val="373"/>
              <w:rPr>
                <w:color w:val="auto"/>
              </w:rPr>
            </w:pPr>
            <w:r>
              <w:rPr>
                <w:color w:val="auto"/>
              </w:rPr>
              <w:t>生物质成型燃料锅炉</w:t>
            </w:r>
          </w:p>
        </w:tc>
        <w:tc>
          <w:tcPr>
            <w:tcW w:w="1016" w:type="dxa"/>
            <w:tcBorders>
              <w:tl2br w:val="nil"/>
              <w:tr2bl w:val="nil"/>
            </w:tcBorders>
            <w:vAlign w:val="center"/>
          </w:tcPr>
          <w:p>
            <w:pPr>
              <w:pStyle w:val="373"/>
              <w:rPr>
                <w:color w:val="auto"/>
              </w:rPr>
            </w:pPr>
            <w:r>
              <w:rPr>
                <w:rFonts w:hint="eastAsia"/>
                <w:color w:val="auto"/>
              </w:rPr>
              <w:t>废布袋</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pStyle w:val="373"/>
              <w:rPr>
                <w:bCs/>
                <w:color w:val="auto"/>
              </w:rPr>
            </w:pPr>
            <w:r>
              <w:rPr>
                <w:rFonts w:hint="eastAsia"/>
                <w:bCs/>
                <w:color w:val="auto"/>
              </w:rPr>
              <w:t>0.005</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rPr>
            </w:pPr>
            <w:r>
              <w:rPr>
                <w:rFonts w:hint="eastAsia" w:ascii="Times New Roman" w:eastAsia="宋体" w:cs="宋体"/>
                <w:color w:val="auto"/>
                <w:sz w:val="21"/>
                <w:szCs w:val="21"/>
                <w:u w:val="none"/>
              </w:rPr>
              <w:t>暂存于</w:t>
            </w:r>
            <w:r>
              <w:rPr>
                <w:rFonts w:hint="eastAsia" w:ascii="Times New Roman" w:eastAsia="宋体" w:cs="宋体"/>
                <w:color w:val="auto"/>
                <w:sz w:val="21"/>
                <w:szCs w:val="21"/>
                <w:u w:val="none"/>
                <w:lang w:val="en-US" w:eastAsia="zh-CN"/>
              </w:rPr>
              <w:t>锅炉房内一般固废暂存间</w:t>
            </w:r>
            <w:r>
              <w:rPr>
                <w:rFonts w:hint="eastAsia" w:ascii="Times New Roman" w:eastAsia="宋体" w:cs="宋体"/>
                <w:color w:val="auto"/>
                <w:sz w:val="21"/>
                <w:szCs w:val="21"/>
                <w:u w:val="none"/>
              </w:rPr>
              <w:t>，废品回收站回收处理</w:t>
            </w:r>
          </w:p>
        </w:tc>
        <w:tc>
          <w:tcPr>
            <w:tcW w:w="1877" w:type="dxa"/>
            <w:tcBorders>
              <w:tl2br w:val="nil"/>
              <w:tr2bl w:val="nil"/>
            </w:tcBorders>
            <w:vAlign w:val="center"/>
          </w:tcPr>
          <w:p>
            <w:pPr>
              <w:pStyle w:val="373"/>
              <w:rPr>
                <w:color w:val="auto"/>
              </w:rPr>
            </w:pPr>
            <w:r>
              <w:rPr>
                <w:rFonts w:hint="eastAsia"/>
                <w:color w:val="auto"/>
              </w:rPr>
              <w:t>一般固废暂存间</w:t>
            </w:r>
          </w:p>
        </w:tc>
        <w:tc>
          <w:tcPr>
            <w:tcW w:w="2891" w:type="dxa"/>
            <w:vMerge w:val="restart"/>
            <w:tcBorders>
              <w:tl2br w:val="nil"/>
              <w:tr2bl w:val="nil"/>
            </w:tcBorders>
            <w:vAlign w:val="center"/>
          </w:tcPr>
          <w:p>
            <w:pPr>
              <w:pStyle w:val="373"/>
              <w:rPr>
                <w:color w:val="auto"/>
              </w:rPr>
            </w:pPr>
            <w:r>
              <w:rPr>
                <w:color w:val="auto"/>
              </w:rPr>
              <w:t>《一般工业固体废物贮存</w:t>
            </w:r>
            <w:r>
              <w:rPr>
                <w:rFonts w:hint="eastAsia"/>
                <w:color w:val="auto"/>
              </w:rPr>
              <w:t>和填埋</w:t>
            </w:r>
            <w:r>
              <w:rPr>
                <w:color w:val="auto"/>
              </w:rPr>
              <w:t>场污染控制标准》（GB18599-20</w:t>
            </w:r>
            <w:r>
              <w:rPr>
                <w:rFonts w:hint="eastAsia"/>
                <w:color w:val="auto"/>
              </w:rPr>
              <w:t>20</w:t>
            </w: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4" w:type="dxa"/>
            <w:vMerge w:val="continue"/>
            <w:tcBorders>
              <w:tl2br w:val="nil"/>
              <w:tr2bl w:val="nil"/>
            </w:tcBorders>
            <w:vAlign w:val="center"/>
          </w:tcPr>
          <w:p>
            <w:pPr>
              <w:pStyle w:val="373"/>
              <w:rPr>
                <w:color w:val="auto"/>
              </w:rPr>
            </w:pPr>
          </w:p>
        </w:tc>
        <w:tc>
          <w:tcPr>
            <w:tcW w:w="1345" w:type="dxa"/>
            <w:vMerge w:val="continue"/>
            <w:tcBorders>
              <w:tl2br w:val="nil"/>
              <w:tr2bl w:val="nil"/>
            </w:tcBorders>
            <w:vAlign w:val="center"/>
          </w:tcPr>
          <w:p>
            <w:pPr>
              <w:pStyle w:val="373"/>
              <w:rPr>
                <w:color w:val="auto"/>
              </w:rPr>
            </w:pPr>
          </w:p>
        </w:tc>
        <w:tc>
          <w:tcPr>
            <w:tcW w:w="1016" w:type="dxa"/>
            <w:tcBorders>
              <w:tl2br w:val="nil"/>
              <w:tr2bl w:val="nil"/>
            </w:tcBorders>
            <w:vAlign w:val="center"/>
          </w:tcPr>
          <w:p>
            <w:pPr>
              <w:pStyle w:val="373"/>
              <w:rPr>
                <w:color w:val="auto"/>
              </w:rPr>
            </w:pPr>
            <w:r>
              <w:rPr>
                <w:color w:val="auto"/>
              </w:rPr>
              <w:t>锅炉炉灰和布袋除尘器收尘</w:t>
            </w:r>
          </w:p>
        </w:tc>
        <w:tc>
          <w:tcPr>
            <w:tcW w:w="1952" w:type="dxa"/>
            <w:tcBorders>
              <w:tl2br w:val="nil"/>
              <w:tr2bl w:val="nil"/>
            </w:tcBorders>
            <w:vAlign w:val="center"/>
          </w:tcPr>
          <w:p>
            <w:pPr>
              <w:pStyle w:val="373"/>
              <w:rPr>
                <w:color w:val="auto"/>
              </w:rPr>
            </w:pPr>
            <w:r>
              <w:rPr>
                <w:color w:val="auto"/>
              </w:rPr>
              <w:t>/</w:t>
            </w:r>
          </w:p>
        </w:tc>
        <w:tc>
          <w:tcPr>
            <w:tcW w:w="1129" w:type="dxa"/>
            <w:tcBorders>
              <w:tl2br w:val="nil"/>
              <w:tr2bl w:val="nil"/>
            </w:tcBorders>
            <w:vAlign w:val="center"/>
          </w:tcPr>
          <w:p>
            <w:pPr>
              <w:pStyle w:val="373"/>
              <w:rPr>
                <w:bCs/>
                <w:color w:val="auto"/>
              </w:rPr>
            </w:pPr>
            <w:r>
              <w:rPr>
                <w:rFonts w:hint="eastAsia"/>
                <w:bCs/>
                <w:color w:val="auto"/>
              </w:rPr>
              <w:t>8.569</w:t>
            </w:r>
          </w:p>
        </w:tc>
        <w:tc>
          <w:tcPr>
            <w:tcW w:w="1404" w:type="dxa"/>
            <w:tcBorders>
              <w:tl2br w:val="nil"/>
              <w:tr2bl w:val="nil"/>
            </w:tcBorders>
            <w:vAlign w:val="center"/>
          </w:tcPr>
          <w:p>
            <w:pPr>
              <w:pStyle w:val="373"/>
              <w:rPr>
                <w:color w:val="auto"/>
              </w:rPr>
            </w:pPr>
            <w:r>
              <w:rPr>
                <w:color w:val="auto"/>
              </w:rPr>
              <w:t>运营期</w:t>
            </w:r>
          </w:p>
        </w:tc>
        <w:tc>
          <w:tcPr>
            <w:tcW w:w="2016" w:type="dxa"/>
            <w:tcBorders>
              <w:tl2br w:val="nil"/>
              <w:tr2bl w:val="nil"/>
            </w:tcBorders>
            <w:vAlign w:val="center"/>
          </w:tcPr>
          <w:p>
            <w:pPr>
              <w:pStyle w:val="373"/>
              <w:rPr>
                <w:color w:val="auto"/>
              </w:rPr>
            </w:pPr>
            <w:r>
              <w:rPr>
                <w:rFonts w:hint="eastAsia" w:cs="宋体"/>
                <w:color w:val="auto"/>
              </w:rPr>
              <w:t>用于周边农田追肥</w:t>
            </w:r>
          </w:p>
        </w:tc>
        <w:tc>
          <w:tcPr>
            <w:tcW w:w="1877" w:type="dxa"/>
            <w:tcBorders>
              <w:tl2br w:val="nil"/>
              <w:tr2bl w:val="nil"/>
            </w:tcBorders>
            <w:vAlign w:val="center"/>
          </w:tcPr>
          <w:p>
            <w:pPr>
              <w:pStyle w:val="373"/>
              <w:rPr>
                <w:color w:val="auto"/>
                <w:w w:val="98"/>
                <w:kern w:val="0"/>
              </w:rPr>
            </w:pPr>
            <w:r>
              <w:rPr>
                <w:color w:val="auto"/>
                <w:w w:val="98"/>
                <w:kern w:val="0"/>
              </w:rPr>
              <w:t>/</w:t>
            </w:r>
          </w:p>
        </w:tc>
        <w:tc>
          <w:tcPr>
            <w:tcW w:w="2891" w:type="dxa"/>
            <w:vMerge w:val="continue"/>
            <w:tcBorders>
              <w:tl2br w:val="nil"/>
              <w:tr2bl w:val="nil"/>
            </w:tcBorders>
            <w:vAlign w:val="center"/>
          </w:tcPr>
          <w:p>
            <w:pPr>
              <w:pStyle w:val="373"/>
              <w:rPr>
                <w:color w:val="auto"/>
              </w:rPr>
            </w:pPr>
          </w:p>
        </w:tc>
      </w:tr>
    </w:tbl>
    <w:p>
      <w:pPr>
        <w:pStyle w:val="373"/>
        <w:ind w:firstLine="218" w:firstLineChars="100"/>
        <w:jc w:val="both"/>
        <w:rPr>
          <w:color w:val="auto"/>
        </w:rPr>
        <w:sectPr>
          <w:footerReference r:id="rId7" w:type="default"/>
          <w:pgSz w:w="16838" w:h="11906" w:orient="landscape"/>
          <w:pgMar w:top="1803" w:right="1440" w:bottom="1803" w:left="1440" w:header="850" w:footer="992" w:gutter="0"/>
          <w:pgNumType w:fmt="decimal"/>
          <w:cols w:space="720" w:num="1"/>
          <w:docGrid w:type="linesAndChars" w:linePitch="319" w:charSpace="1724"/>
        </w:sectPr>
      </w:pPr>
    </w:p>
    <w:p>
      <w:pPr>
        <w:pStyle w:val="31"/>
        <w:ind w:left="0" w:leftChars="0"/>
        <w:outlineLvl w:val="0"/>
        <w:rPr>
          <w:rFonts w:ascii="Times New Roman" w:eastAsia="宋体"/>
          <w:color w:val="auto"/>
          <w:sz w:val="36"/>
          <w:szCs w:val="36"/>
        </w:rPr>
      </w:pPr>
      <w:bookmarkStart w:id="318" w:name="_Toc3313"/>
      <w:bookmarkStart w:id="319" w:name="_Toc11354"/>
      <w:r>
        <w:rPr>
          <w:rStyle w:val="213"/>
          <w:rFonts w:ascii="Times New Roman"/>
          <w:color w:val="auto"/>
          <w:sz w:val="36"/>
          <w:szCs w:val="36"/>
        </w:rPr>
        <w:t>4环境现状调</w:t>
      </w:r>
      <w:bookmarkEnd w:id="314"/>
      <w:r>
        <w:rPr>
          <w:rStyle w:val="213"/>
          <w:rFonts w:ascii="Times New Roman"/>
          <w:color w:val="auto"/>
          <w:sz w:val="36"/>
          <w:szCs w:val="36"/>
        </w:rPr>
        <w:t>查与评价</w:t>
      </w:r>
      <w:bookmarkEnd w:id="318"/>
      <w:bookmarkEnd w:id="319"/>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20" w:name="_Toc5803"/>
      <w:bookmarkStart w:id="321" w:name="_Toc828"/>
      <w:bookmarkStart w:id="322" w:name="_Toc26853"/>
      <w:r>
        <w:rPr>
          <w:rFonts w:hint="eastAsia" w:ascii="Times New Roman" w:hAnsi="Times New Roman" w:eastAsia="宋体"/>
          <w:color w:val="auto"/>
          <w:kern w:val="2"/>
          <w:sz w:val="28"/>
          <w:szCs w:val="28"/>
        </w:rPr>
        <w:t>4</w:t>
      </w:r>
      <w:r>
        <w:rPr>
          <w:rFonts w:ascii="Times New Roman" w:hAnsi="Times New Roman" w:eastAsia="宋体"/>
          <w:color w:val="auto"/>
          <w:kern w:val="2"/>
          <w:sz w:val="28"/>
          <w:szCs w:val="28"/>
        </w:rPr>
        <w:t>.1项目地区环境概况</w:t>
      </w:r>
      <w:bookmarkEnd w:id="320"/>
      <w:bookmarkEnd w:id="321"/>
      <w:bookmarkEnd w:id="322"/>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4</w:t>
      </w:r>
      <w:r>
        <w:rPr>
          <w:rFonts w:ascii="Times New Roman" w:eastAsia="宋体"/>
          <w:b/>
          <w:bCs/>
          <w:color w:val="auto"/>
          <w:kern w:val="2"/>
          <w:sz w:val="24"/>
        </w:rPr>
        <w:t>.1</w:t>
      </w:r>
      <w:bookmarkStart w:id="323" w:name="_Toc131729485"/>
      <w:bookmarkStart w:id="324" w:name="_Toc131321081"/>
      <w:bookmarkStart w:id="325" w:name="_Toc68223016"/>
      <w:bookmarkStart w:id="326" w:name="_Toc69529744"/>
      <w:bookmarkStart w:id="327" w:name="_Toc101506560"/>
      <w:bookmarkStart w:id="328" w:name="_Toc68226010"/>
      <w:bookmarkStart w:id="329" w:name="_Toc110751148"/>
      <w:bookmarkStart w:id="330" w:name="_Toc114533200"/>
      <w:bookmarkStart w:id="331" w:name="_Toc131729557"/>
      <w:bookmarkStart w:id="332" w:name="_Toc129928044"/>
      <w:bookmarkStart w:id="333" w:name="_Toc94082813"/>
      <w:bookmarkStart w:id="334" w:name="_Toc101506763"/>
      <w:bookmarkStart w:id="335" w:name="_Toc93214077"/>
      <w:bookmarkStart w:id="336" w:name="_Toc101757737"/>
      <w:bookmarkStart w:id="337" w:name="_Toc94083040"/>
      <w:bookmarkStart w:id="338" w:name="_Toc200850827"/>
      <w:bookmarkStart w:id="339" w:name="_Toc136433474"/>
      <w:bookmarkStart w:id="340" w:name="_Toc131320028"/>
      <w:bookmarkStart w:id="341" w:name="_Toc136162578"/>
      <w:bookmarkStart w:id="342" w:name="_Toc110560414"/>
      <w:bookmarkStart w:id="343" w:name="_Toc68223236"/>
      <w:bookmarkStart w:id="344" w:name="_Toc69627081"/>
      <w:bookmarkStart w:id="345" w:name="_Toc114534123"/>
      <w:bookmarkStart w:id="346" w:name="_Toc10722"/>
      <w:bookmarkStart w:id="347" w:name="_Toc92443768"/>
      <w:bookmarkStart w:id="348" w:name="_Toc200853393"/>
      <w:bookmarkStart w:id="349" w:name="_Toc283036005"/>
      <w:bookmarkStart w:id="350" w:name="_Toc110497408"/>
      <w:bookmarkStart w:id="351" w:name="_Toc117907437"/>
      <w:bookmarkStart w:id="352" w:name="_Toc117865883"/>
      <w:bookmarkStart w:id="353" w:name="_Toc110497205"/>
      <w:bookmarkStart w:id="354" w:name="_Toc110496858"/>
      <w:bookmarkStart w:id="355" w:name="_Toc102363806"/>
      <w:r>
        <w:rPr>
          <w:rFonts w:ascii="Times New Roman" w:eastAsia="宋体"/>
          <w:b/>
          <w:bCs/>
          <w:color w:val="auto"/>
          <w:kern w:val="2"/>
          <w:sz w:val="24"/>
        </w:rPr>
        <w:t>.1自然环境概况</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4</w:t>
      </w:r>
      <w:r>
        <w:rPr>
          <w:rFonts w:ascii="Times New Roman" w:hAnsi="Times New Roman" w:eastAsia="宋体"/>
          <w:color w:val="auto"/>
        </w:rPr>
        <w:t>.1.1.1地理位置</w:t>
      </w:r>
    </w:p>
    <w:p>
      <w:pPr>
        <w:pStyle w:val="14"/>
        <w:ind w:firstLine="497"/>
        <w:rPr>
          <w:rFonts w:ascii="Times New Roman" w:eastAsia="宋体"/>
          <w:color w:val="auto"/>
        </w:rPr>
      </w:pPr>
      <w:r>
        <w:rPr>
          <w:rFonts w:ascii="Times New Roman" w:eastAsia="宋体"/>
          <w:color w:val="auto"/>
        </w:rPr>
        <w:t>岳阳县位于湖南省北部、岳阳市境中部，洞庭湖畔。地理坐标为东经112°44′14″-113°43′35″，北纬28°57′11″-29°38′41″。东接湖北省通城县，东南连平江县，南抵汨罗市，西南以湖州与沅江、南县交界，西与华容县毗邻，北与岳阳市区、临湘市接壤。东西相距98千米，南北相距76千米。全县土地总面积2716.12平方公里，占全市土地面积的19.51%。总人口7</w:t>
      </w:r>
      <w:r>
        <w:rPr>
          <w:rFonts w:hint="eastAsia" w:ascii="Times New Roman" w:eastAsia="宋体"/>
          <w:color w:val="auto"/>
        </w:rPr>
        <w:t>1.4</w:t>
      </w:r>
      <w:r>
        <w:rPr>
          <w:rFonts w:ascii="Times New Roman" w:eastAsia="宋体"/>
          <w:color w:val="auto"/>
        </w:rPr>
        <w:t>万人（20</w:t>
      </w:r>
      <w:r>
        <w:rPr>
          <w:rFonts w:hint="eastAsia" w:ascii="Times New Roman" w:eastAsia="宋体"/>
          <w:color w:val="auto"/>
        </w:rPr>
        <w:t>22</w:t>
      </w:r>
      <w:r>
        <w:rPr>
          <w:rFonts w:ascii="Times New Roman" w:eastAsia="宋体"/>
          <w:color w:val="auto"/>
        </w:rPr>
        <w:t>年）。</w:t>
      </w:r>
    </w:p>
    <w:p>
      <w:pPr>
        <w:pStyle w:val="14"/>
        <w:ind w:firstLine="497"/>
        <w:rPr>
          <w:rFonts w:ascii="Times New Roman" w:eastAsia="宋体"/>
          <w:color w:val="auto"/>
          <w:kern w:val="2"/>
          <w:szCs w:val="24"/>
        </w:rPr>
      </w:pPr>
      <w:r>
        <w:rPr>
          <w:rFonts w:hint="eastAsia" w:ascii="Times New Roman" w:eastAsia="宋体"/>
          <w:color w:val="auto"/>
          <w:kern w:val="2"/>
          <w:szCs w:val="24"/>
        </w:rPr>
        <w:t>新墙镇地处岳阳县东部，东临柏祥镇，南与长湖乡、黄沙街镇相接，西抵荣家湾镇，北靠新开镇、筻口镇，行政区域面积</w:t>
      </w:r>
      <w:r>
        <w:rPr>
          <w:rFonts w:hint="eastAsia" w:ascii="Times New Roman" w:eastAsia="宋体"/>
          <w:color w:val="auto"/>
          <w:kern w:val="2"/>
          <w:szCs w:val="24"/>
          <w:lang w:val="en-US" w:eastAsia="zh-CN"/>
        </w:rPr>
        <w:t>约</w:t>
      </w:r>
      <w:r>
        <w:rPr>
          <w:rFonts w:hint="eastAsia" w:ascii="Times New Roman" w:eastAsia="宋体"/>
          <w:color w:val="auto"/>
          <w:kern w:val="2"/>
          <w:szCs w:val="24"/>
        </w:rPr>
        <w:t>75.97平方千米</w:t>
      </w:r>
      <w:r>
        <w:rPr>
          <w:rFonts w:hint="eastAsia" w:ascii="Times New Roman" w:eastAsia="宋体"/>
          <w:color w:val="auto"/>
          <w:kern w:val="2"/>
          <w:szCs w:val="24"/>
          <w:lang w:eastAsia="zh-CN"/>
        </w:rPr>
        <w:t>，</w:t>
      </w:r>
      <w:r>
        <w:rPr>
          <w:rFonts w:hint="eastAsia" w:ascii="Times New Roman" w:eastAsia="宋体"/>
          <w:color w:val="auto"/>
          <w:kern w:val="2"/>
          <w:szCs w:val="24"/>
          <w:lang w:val="en-US" w:eastAsia="zh-CN"/>
        </w:rPr>
        <w:t>总人口约3.5万人（2022年）</w:t>
      </w:r>
      <w:r>
        <w:rPr>
          <w:rFonts w:hint="eastAsia" w:ascii="Times New Roman" w:eastAsia="宋体"/>
          <w:color w:val="auto"/>
          <w:kern w:val="2"/>
          <w:szCs w:val="24"/>
        </w:rPr>
        <w:t>。</w:t>
      </w:r>
    </w:p>
    <w:p>
      <w:pPr>
        <w:pStyle w:val="14"/>
        <w:ind w:firstLine="497"/>
        <w:rPr>
          <w:rFonts w:ascii="Times New Roman" w:eastAsia="宋体"/>
          <w:color w:val="auto"/>
          <w:kern w:val="2"/>
          <w:szCs w:val="24"/>
        </w:rPr>
      </w:pPr>
      <w:r>
        <w:rPr>
          <w:rFonts w:ascii="Times New Roman" w:eastAsia="宋体"/>
          <w:color w:val="auto"/>
          <w:kern w:val="2"/>
          <w:szCs w:val="24"/>
        </w:rPr>
        <w:t>项目拟</w:t>
      </w:r>
      <w:r>
        <w:rPr>
          <w:rFonts w:hint="eastAsia" w:ascii="Times New Roman" w:eastAsia="宋体"/>
          <w:color w:val="auto"/>
          <w:kern w:val="2"/>
          <w:szCs w:val="24"/>
          <w:lang w:val="en-US" w:eastAsia="zh-CN"/>
        </w:rPr>
        <w:t>建于</w:t>
      </w:r>
      <w:r>
        <w:rPr>
          <w:rFonts w:ascii="Times New Roman" w:eastAsia="宋体"/>
          <w:color w:val="auto"/>
          <w:kern w:val="2"/>
          <w:szCs w:val="24"/>
        </w:rPr>
        <w:t>岳阳县</w:t>
      </w:r>
      <w:r>
        <w:rPr>
          <w:rFonts w:hint="eastAsia" w:ascii="Times New Roman" w:eastAsia="宋体"/>
          <w:color w:val="auto"/>
          <w:kern w:val="2"/>
          <w:szCs w:val="24"/>
        </w:rPr>
        <w:t>新墙</w:t>
      </w:r>
      <w:r>
        <w:rPr>
          <w:rFonts w:ascii="Times New Roman" w:eastAsia="宋体"/>
          <w:color w:val="auto"/>
          <w:kern w:val="2"/>
          <w:szCs w:val="24"/>
        </w:rPr>
        <w:t>镇</w:t>
      </w:r>
      <w:r>
        <w:rPr>
          <w:rFonts w:hint="eastAsia" w:ascii="Times New Roman" w:eastAsia="宋体"/>
          <w:color w:val="auto"/>
        </w:rPr>
        <w:t>新华村</w:t>
      </w:r>
      <w:r>
        <w:rPr>
          <w:rFonts w:hint="eastAsia" w:ascii="Times New Roman" w:eastAsia="宋体"/>
          <w:color w:val="auto"/>
          <w:kern w:val="2"/>
          <w:szCs w:val="24"/>
        </w:rPr>
        <w:t>桃源片</w:t>
      </w:r>
      <w:r>
        <w:rPr>
          <w:rFonts w:ascii="Times New Roman" w:eastAsia="宋体"/>
          <w:color w:val="auto"/>
          <w:kern w:val="2"/>
          <w:szCs w:val="24"/>
        </w:rPr>
        <w:t>，中心地理坐标为东经</w:t>
      </w:r>
      <w:r>
        <w:rPr>
          <w:rFonts w:hint="eastAsia" w:ascii="Times New Roman" w:eastAsia="宋体"/>
          <w:color w:val="auto"/>
          <w:kern w:val="2"/>
          <w:szCs w:val="24"/>
        </w:rPr>
        <w:t>：</w:t>
      </w:r>
      <w:r>
        <w:rPr>
          <w:rFonts w:hint="eastAsia" w:ascii="Times New Roman" w:eastAsia="宋体"/>
          <w:color w:val="auto"/>
        </w:rPr>
        <w:t>113.177967</w:t>
      </w:r>
      <w:r>
        <w:rPr>
          <w:rFonts w:ascii="Times New Roman" w:eastAsia="宋体"/>
          <w:color w:val="auto"/>
          <w:kern w:val="2"/>
          <w:szCs w:val="24"/>
        </w:rPr>
        <w:t>，北纬</w:t>
      </w:r>
      <w:r>
        <w:rPr>
          <w:rFonts w:hint="eastAsia" w:ascii="Times New Roman" w:eastAsia="宋体"/>
          <w:color w:val="auto"/>
          <w:kern w:val="2"/>
          <w:szCs w:val="24"/>
        </w:rPr>
        <w:t>：</w:t>
      </w:r>
      <w:r>
        <w:rPr>
          <w:rFonts w:hint="eastAsia" w:ascii="Times New Roman" w:eastAsia="宋体"/>
          <w:color w:val="auto"/>
        </w:rPr>
        <w:t>29.095563</w:t>
      </w:r>
      <w:r>
        <w:rPr>
          <w:rFonts w:ascii="Times New Roman" w:eastAsia="宋体"/>
          <w:color w:val="auto"/>
          <w:kern w:val="2"/>
          <w:szCs w:val="24"/>
        </w:rPr>
        <w:t>。项目地理位置见图</w:t>
      </w:r>
      <w:r>
        <w:rPr>
          <w:rFonts w:hint="eastAsia" w:ascii="Times New Roman" w:eastAsia="宋体"/>
          <w:color w:val="auto"/>
          <w:kern w:val="2"/>
          <w:szCs w:val="24"/>
        </w:rPr>
        <w:t>4</w:t>
      </w:r>
      <w:r>
        <w:rPr>
          <w:rFonts w:ascii="Times New Roman" w:eastAsia="宋体"/>
          <w:color w:val="auto"/>
          <w:kern w:val="2"/>
          <w:szCs w:val="24"/>
        </w:rPr>
        <w:t>.1</w:t>
      </w:r>
      <w:r>
        <w:rPr>
          <w:rFonts w:hint="eastAsia" w:ascii="Times New Roman" w:eastAsia="宋体"/>
          <w:color w:val="auto"/>
          <w:kern w:val="2"/>
          <w:szCs w:val="24"/>
        </w:rPr>
        <w:t>.</w:t>
      </w:r>
      <w:r>
        <w:rPr>
          <w:rFonts w:ascii="Times New Roman" w:eastAsia="宋体"/>
          <w:color w:val="auto"/>
          <w:kern w:val="2"/>
          <w:szCs w:val="24"/>
        </w:rPr>
        <w:t>1。</w:t>
      </w:r>
    </w:p>
    <w:p>
      <w:pPr>
        <w:pStyle w:val="231"/>
        <w:ind w:left="497" w:firstLine="497"/>
        <w:rPr>
          <w:color w:val="auto"/>
        </w:rPr>
        <w:sectPr>
          <w:footerReference r:id="rId8" w:type="default"/>
          <w:pgSz w:w="11906" w:h="16838"/>
          <w:pgMar w:top="1440" w:right="1803" w:bottom="1440" w:left="1803" w:header="850" w:footer="992" w:gutter="0"/>
          <w:pgNumType w:fmt="decimal"/>
          <w:cols w:space="720" w:num="1"/>
          <w:docGrid w:type="linesAndChars" w:linePitch="319" w:charSpace="1724"/>
        </w:sectPr>
      </w:pPr>
    </w:p>
    <w:p>
      <w:pPr>
        <w:pStyle w:val="14"/>
        <w:ind w:firstLine="0" w:firstLineChars="0"/>
        <w:jc w:val="center"/>
        <w:rPr>
          <w:rFonts w:ascii="Times New Roman" w:eastAsia="宋体"/>
          <w:b/>
          <w:color w:val="auto"/>
          <w:sz w:val="21"/>
          <w:szCs w:val="21"/>
        </w:rPr>
      </w:pPr>
      <w:r>
        <w:rPr>
          <w:rFonts w:hint="eastAsia" w:ascii="Times New Roman" w:hAnsi="Times New Roman" w:eastAsia="宋体" w:cs="Times New Roman"/>
          <w:b/>
          <w:sz w:val="28"/>
          <w:szCs w:val="28"/>
          <w:lang w:val="en-US" w:eastAsia="zh-CN"/>
        </w:rPr>
        <w:drawing>
          <wp:anchor distT="0" distB="0" distL="114300" distR="114300" simplePos="0" relativeHeight="251717632" behindDoc="0" locked="0" layoutInCell="1" allowOverlap="1">
            <wp:simplePos x="0" y="0"/>
            <wp:positionH relativeFrom="column">
              <wp:posOffset>8140065</wp:posOffset>
            </wp:positionH>
            <wp:positionV relativeFrom="paragraph">
              <wp:posOffset>-76835</wp:posOffset>
            </wp:positionV>
            <wp:extent cx="360680" cy="645160"/>
            <wp:effectExtent l="0" t="0" r="7620" b="2540"/>
            <wp:wrapNone/>
            <wp:docPr id="124" name="图片 3" descr="a24107915dac3cc3baa6c1c4471a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3" descr="a24107915dac3cc3baa6c1c4471a862"/>
                    <pic:cNvPicPr>
                      <a:picLocks noChangeAspect="1"/>
                    </pic:cNvPicPr>
                  </pic:nvPicPr>
                  <pic:blipFill>
                    <a:blip r:embed="rId16"/>
                    <a:stretch>
                      <a:fillRect/>
                    </a:stretch>
                  </pic:blipFill>
                  <pic:spPr>
                    <a:xfrm>
                      <a:off x="0" y="0"/>
                      <a:ext cx="360680" cy="645160"/>
                    </a:xfrm>
                    <a:prstGeom prst="rect">
                      <a:avLst/>
                    </a:prstGeom>
                    <a:noFill/>
                    <a:ln>
                      <a:noFill/>
                    </a:ln>
                  </pic:spPr>
                </pic:pic>
              </a:graphicData>
            </a:graphic>
          </wp:anchor>
        </w:drawing>
      </w:r>
      <w:r>
        <w:rPr>
          <w:rFonts w:ascii="Times New Roman"/>
          <w:color w:val="auto"/>
          <w:sz w:val="21"/>
        </w:rPr>
        <mc:AlternateContent>
          <mc:Choice Requires="wps">
            <w:drawing>
              <wp:anchor distT="0" distB="0" distL="114300" distR="114300" simplePos="0" relativeHeight="251676672" behindDoc="0" locked="0" layoutInCell="1" allowOverlap="1">
                <wp:simplePos x="0" y="0"/>
                <wp:positionH relativeFrom="column">
                  <wp:posOffset>3991610</wp:posOffset>
                </wp:positionH>
                <wp:positionV relativeFrom="paragraph">
                  <wp:posOffset>2601595</wp:posOffset>
                </wp:positionV>
                <wp:extent cx="76200" cy="87630"/>
                <wp:effectExtent l="4445" t="4445" r="14605" b="22225"/>
                <wp:wrapNone/>
                <wp:docPr id="75" name="五角星 205"/>
                <wp:cNvGraphicFramePr/>
                <a:graphic xmlns:a="http://schemas.openxmlformats.org/drawingml/2006/main">
                  <a:graphicData uri="http://schemas.microsoft.com/office/word/2010/wordprocessingShape">
                    <wps:wsp>
                      <wps:cNvSpPr/>
                      <wps:spPr>
                        <a:xfrm>
                          <a:off x="0" y="0"/>
                          <a:ext cx="76200" cy="87630"/>
                        </a:xfrm>
                        <a:prstGeom prst="star5">
                          <a:avLst>
                            <a:gd name="adj" fmla="val 50000"/>
                            <a:gd name="hf" fmla="val 105146"/>
                            <a:gd name="vf" fmla="val 110557"/>
                          </a:avLst>
                        </a:prstGeom>
                        <a:gradFill>
                          <a:gsLst>
                            <a:gs pos="100000">
                              <a:srgbClr val="E30000"/>
                            </a:gs>
                            <a:gs pos="100000">
                              <a:srgbClr val="760303"/>
                            </a:gs>
                          </a:gsLst>
                          <a:lin ang="5400000" scaled="0"/>
                        </a:gradFill>
                        <a:ln w="3175">
                          <a:solidFill>
                            <a:srgbClr val="FF0000"/>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205" o:spid="_x0000_s1026" style="position:absolute;left:0pt;margin-left:314.3pt;margin-top:204.85pt;height:6.9pt;width:6pt;z-index:251676672;v-text-anchor:middle;mso-width-relative:page;mso-height-relative:page;" fillcolor="#E30000" filled="t" stroked="t" coordsize="76200,87630" o:gfxdata="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BbkOZ82gAAAAsBAAAPAAAAAAAAAAEAIAAAACIAAABkcnMvZG93bnJldi54bWxQSwECFAAUAAAA&#10;CACHTuJABp87XdACAADfBQAADgAAAAAAAAABACAAAAApAQAAZHJzL2Uyb0RvYy54bWxQSwUGAAAA&#10;AAYABgBZAQAAawYAAAAA&#10;" path="m0,33471l14552,9251,38100,0,61647,9251,76199,33471,76199,63409,61647,87629,38100,96881,14552,87629,0,63409xe">
                <v:path o:connectlocs="38100,0;0,33471;14552,87629;61647,87629;76199,33471" o:connectangles="247,164,82,82,0"/>
                <v:fill type="gradient" on="t" color2="#760303" focus="100%" focussize="0,0" rotate="t">
                  <o:fill type="gradientUnscaled" v:ext="backwardCompatible"/>
                </v:fill>
                <v:stroke weight="0.25pt" color="#FF0000 [3204]" joinstyle="round"/>
                <v:imagedata o:title=""/>
                <o:lock v:ext="edit" aspectratio="f"/>
              </v:shape>
            </w:pict>
          </mc:Fallback>
        </mc:AlternateContent>
      </w:r>
      <w:r>
        <w:rPr>
          <w:rFonts w:ascii="Times New Roman"/>
          <w:color w:val="auto"/>
          <w:sz w:val="21"/>
        </w:rPr>
        <mc:AlternateContent>
          <mc:Choice Requires="wps">
            <w:drawing>
              <wp:anchor distT="0" distB="0" distL="114300" distR="114300" simplePos="0" relativeHeight="251664384" behindDoc="0" locked="0" layoutInCell="1" allowOverlap="1">
                <wp:simplePos x="0" y="0"/>
                <wp:positionH relativeFrom="column">
                  <wp:posOffset>3228340</wp:posOffset>
                </wp:positionH>
                <wp:positionV relativeFrom="paragraph">
                  <wp:posOffset>2629535</wp:posOffset>
                </wp:positionV>
                <wp:extent cx="608965" cy="283210"/>
                <wp:effectExtent l="5080" t="5080" r="224155" b="16510"/>
                <wp:wrapNone/>
                <wp:docPr id="72" name="矩形标注 234"/>
                <wp:cNvGraphicFramePr/>
                <a:graphic xmlns:a="http://schemas.openxmlformats.org/drawingml/2006/main">
                  <a:graphicData uri="http://schemas.microsoft.com/office/word/2010/wordprocessingShape">
                    <wps:wsp>
                      <wps:cNvSpPr/>
                      <wps:spPr>
                        <a:xfrm>
                          <a:off x="0" y="0"/>
                          <a:ext cx="608965" cy="283210"/>
                        </a:xfrm>
                        <a:prstGeom prst="wedgeRectCallout">
                          <a:avLst>
                            <a:gd name="adj1" fmla="val 81074"/>
                            <a:gd name="adj2" fmla="val -41255"/>
                          </a:avLst>
                        </a:prstGeom>
                        <a:noFill/>
                        <a:ln w="6350" cap="flat" cmpd="sng">
                          <a:solidFill>
                            <a:srgbClr val="000000"/>
                          </a:solidFill>
                          <a:prstDash val="solid"/>
                          <a:miter/>
                          <a:headEnd type="none" w="med" len="med"/>
                          <a:tailEnd type="none" w="med" len="med"/>
                        </a:ln>
                      </wps:spPr>
                      <wps:txbx>
                        <w:txbxContent>
                          <w:p>
                            <w:pPr>
                              <w:spacing w:line="0" w:lineRule="atLeas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p>
                        </w:txbxContent>
                      </wps:txbx>
                      <wps:bodyPr anchor="ctr" anchorCtr="0" upright="1"/>
                    </wps:wsp>
                  </a:graphicData>
                </a:graphic>
              </wp:anchor>
            </w:drawing>
          </mc:Choice>
          <mc:Fallback>
            <w:pict>
              <v:shape id="矩形标注 234" o:spid="_x0000_s1026" o:spt="61" type="#_x0000_t61" style="position:absolute;left:0pt;margin-left:254.2pt;margin-top:207.05pt;height:22.3pt;width:47.95pt;z-index:251664384;v-text-anchor:middle;mso-width-relative:page;mso-height-relative:page;" filled="f" stroked="t" coordsize="21600,21600" o:gfxdata="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8W59ltoAAAALAQAADwAAAAAAAAAB&#10;ACAAAAAiAAAAZHJzL2Rvd25yZXYueG1sUEsBAhQAFAAAAAgAh07iQEguGuNHAgAAgQQAAA4AAAAA&#10;AAAAAQAgAAAAKQEAAGRycy9lMm9Eb2MueG1sUEsFBgAAAAAGAAYAWQEAAOIFAAAAAA==&#10;" adj="28312,1889">
                <v:fill on="f" focussize="0,0"/>
                <v:stroke weight="0.5pt" color="#000000" joinstyle="miter"/>
                <v:imagedata o:title=""/>
                <o:lock v:ext="edit" aspectratio="f"/>
                <v:textbox>
                  <w:txbxContent>
                    <w:p>
                      <w:pPr>
                        <w:spacing w:line="0" w:lineRule="atLeas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p>
                  </w:txbxContent>
                </v:textbox>
              </v:shape>
            </w:pict>
          </mc:Fallback>
        </mc:AlternateContent>
      </w:r>
      <w:r>
        <w:rPr>
          <w:rFonts w:ascii="Times New Roman" w:eastAsia="宋体" w:cs="宋体"/>
          <w:color w:val="auto"/>
          <w:szCs w:val="24"/>
        </w:rPr>
        <w:drawing>
          <wp:inline distT="0" distB="0" distL="114300" distR="114300">
            <wp:extent cx="7073900" cy="4986655"/>
            <wp:effectExtent l="0" t="0" r="12700" b="4445"/>
            <wp:docPr id="11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7" descr="IMG_256"/>
                    <pic:cNvPicPr>
                      <a:picLocks noChangeAspect="1"/>
                    </pic:cNvPicPr>
                  </pic:nvPicPr>
                  <pic:blipFill>
                    <a:blip r:embed="rId31"/>
                    <a:stretch>
                      <a:fillRect/>
                    </a:stretch>
                  </pic:blipFill>
                  <pic:spPr>
                    <a:xfrm>
                      <a:off x="0" y="0"/>
                      <a:ext cx="7073900" cy="4986655"/>
                    </a:xfrm>
                    <a:prstGeom prst="rect">
                      <a:avLst/>
                    </a:prstGeom>
                    <a:noFill/>
                    <a:ln w="9525">
                      <a:noFill/>
                    </a:ln>
                  </pic:spPr>
                </pic:pic>
              </a:graphicData>
            </a:graphic>
          </wp:inline>
        </w:drawing>
      </w:r>
    </w:p>
    <w:p>
      <w:pPr>
        <w:pStyle w:val="14"/>
        <w:spacing w:line="0" w:lineRule="atLeast"/>
        <w:ind w:firstLine="0" w:firstLineChars="0"/>
        <w:jc w:val="center"/>
        <w:rPr>
          <w:rFonts w:ascii="Times New Roman" w:eastAsia="宋体"/>
          <w:b/>
          <w:color w:val="auto"/>
          <w:sz w:val="21"/>
          <w:szCs w:val="21"/>
        </w:rPr>
      </w:pPr>
      <w:r>
        <w:rPr>
          <w:rFonts w:ascii="Times New Roman" w:eastAsia="宋体"/>
          <w:b/>
          <w:color w:val="auto"/>
          <w:sz w:val="21"/>
          <w:szCs w:val="21"/>
        </w:rPr>
        <w:t>图</w:t>
      </w:r>
      <w:r>
        <w:rPr>
          <w:rFonts w:hint="eastAsia" w:ascii="Times New Roman" w:eastAsia="宋体"/>
          <w:b/>
          <w:color w:val="auto"/>
          <w:sz w:val="21"/>
          <w:szCs w:val="21"/>
        </w:rPr>
        <w:t>4</w:t>
      </w:r>
      <w:r>
        <w:rPr>
          <w:rFonts w:ascii="Times New Roman" w:eastAsia="宋体"/>
          <w:b/>
          <w:color w:val="auto"/>
          <w:sz w:val="21"/>
          <w:szCs w:val="21"/>
        </w:rPr>
        <w:t>.1</w:t>
      </w:r>
      <w:r>
        <w:rPr>
          <w:rFonts w:hint="eastAsia" w:ascii="Times New Roman" w:eastAsia="宋体"/>
          <w:b/>
          <w:color w:val="auto"/>
          <w:sz w:val="21"/>
          <w:szCs w:val="21"/>
        </w:rPr>
        <w:t>.</w:t>
      </w:r>
      <w:r>
        <w:rPr>
          <w:rFonts w:ascii="Times New Roman" w:eastAsia="宋体"/>
          <w:b/>
          <w:color w:val="auto"/>
          <w:sz w:val="21"/>
          <w:szCs w:val="21"/>
        </w:rPr>
        <w:t>1项目地理位置图</w:t>
      </w:r>
    </w:p>
    <w:p>
      <w:pPr>
        <w:pStyle w:val="231"/>
        <w:spacing w:line="0" w:lineRule="atLeast"/>
        <w:ind w:left="497" w:firstLine="497"/>
        <w:rPr>
          <w:color w:val="auto"/>
        </w:rPr>
        <w:sectPr>
          <w:pgSz w:w="16838" w:h="11906" w:orient="landscape"/>
          <w:pgMar w:top="1803" w:right="1440" w:bottom="1803" w:left="1440" w:header="850" w:footer="992" w:gutter="0"/>
          <w:pgNumType w:fmt="decimal"/>
          <w:cols w:space="720" w:num="1"/>
          <w:docGrid w:type="linesAndChars" w:linePitch="319" w:charSpace="1724"/>
        </w:sectPr>
      </w:pPr>
    </w:p>
    <w:p>
      <w:pPr>
        <w:pStyle w:val="5"/>
        <w:numPr>
          <w:ilvl w:val="0"/>
          <w:numId w:val="0"/>
        </w:numPr>
        <w:tabs>
          <w:tab w:val="clear" w:pos="864"/>
        </w:tabs>
        <w:spacing w:before="0" w:after="0" w:line="360" w:lineRule="auto"/>
        <w:rPr>
          <w:rFonts w:ascii="Times New Roman" w:hAnsi="Times New Roman" w:eastAsia="宋体"/>
          <w:color w:val="auto"/>
        </w:rPr>
      </w:pPr>
      <w:bookmarkStart w:id="356" w:name="_Toc480190499"/>
      <w:bookmarkStart w:id="357" w:name="_Toc480983880"/>
      <w:bookmarkStart w:id="358" w:name="_Toc482020662"/>
      <w:r>
        <w:rPr>
          <w:rFonts w:hint="eastAsia" w:ascii="Times New Roman" w:hAnsi="Times New Roman" w:eastAsia="宋体"/>
          <w:color w:val="auto"/>
        </w:rPr>
        <w:t>4</w:t>
      </w:r>
      <w:r>
        <w:rPr>
          <w:rFonts w:ascii="Times New Roman" w:hAnsi="Times New Roman" w:eastAsia="宋体"/>
          <w:color w:val="auto"/>
        </w:rPr>
        <w:t>.1.1.2地形、地貌</w:t>
      </w:r>
    </w:p>
    <w:p>
      <w:pPr>
        <w:spacing w:line="360" w:lineRule="auto"/>
        <w:ind w:firstLine="496" w:firstLineChars="200"/>
        <w:rPr>
          <w:rFonts w:ascii="Times New Roman" w:eastAsia="宋体"/>
          <w:color w:val="auto"/>
        </w:rPr>
      </w:pPr>
      <w:r>
        <w:rPr>
          <w:rFonts w:hint="eastAsia" w:ascii="Times New Roman" w:eastAsia="宋体"/>
          <w:color w:val="auto"/>
        </w:rPr>
        <w:t>岳阳县境地貌自东北幕阜山余脉向西南东洞庭湖呈降阶梯状倾斜。山地、丘陵、岗地、平原、水面比例大致可分为12:11:24:3:40。山地主要分布在毛田镇、月田镇、张谷英镇、云山乡、相思乡、饶村乡及公田镇的一部分地方。主要山脉有相思山、大云山。丘陵主要分布于盆地周边或山间山麓旁侧。岗地主要分布于东洞庭湖东岸的麻塘镇、城关镇、黄沙街及新墙河两岸。平原主要分布在筻口、新墙、公田、鹿角、城关等乡镇。岳阳县处新华夏系巨型第二沉降的次一级隆起带。元古代震旦系前雪峰运动形成江南古褶皱带，古生代为海水淹没；中生代初期湖南造山运动，海水全部退出，中生代末期燕山运动，江南古褶皱带中段发生断裂，县境东、北部隆起，接受剥蚀，中、南、西部下陷为洼地，形成洞庭湖，使雪峰山脉与幕阜山脉因湖区断陷而相隔离，形成新华夏体系。新生代喜马拉雅运动，县境中、南断陷盆地相继上升，西部继续下陷，发育为第四系松散堆积物。</w:t>
      </w:r>
    </w:p>
    <w:bookmarkEnd w:id="356"/>
    <w:bookmarkEnd w:id="357"/>
    <w:bookmarkEnd w:id="358"/>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4</w:t>
      </w:r>
      <w:r>
        <w:rPr>
          <w:rFonts w:ascii="Times New Roman" w:hAnsi="Times New Roman" w:eastAsia="宋体"/>
          <w:color w:val="auto"/>
        </w:rPr>
        <w:t>.1.1.3气候、气象</w:t>
      </w:r>
    </w:p>
    <w:p>
      <w:pPr>
        <w:spacing w:line="360" w:lineRule="auto"/>
        <w:ind w:firstLine="496" w:firstLineChars="200"/>
        <w:rPr>
          <w:rFonts w:ascii="Times New Roman" w:eastAsia="宋体"/>
          <w:color w:val="auto"/>
        </w:rPr>
      </w:pPr>
      <w:r>
        <w:rPr>
          <w:rFonts w:hint="eastAsia" w:ascii="Times New Roman" w:eastAsia="宋体"/>
          <w:color w:val="auto"/>
        </w:rPr>
        <w:t>岳阳县属亚热带季风湿润性气候，具有雨量充沛、气候温和、日照充足、四季分明、暑热期长、严寒期短的特点。岳阳县气象站位于荣家湾，于1986年设立，次年1月1日开始观测至今。根据其至今的年实测资料统计，多年平均日照时间在1813.8小时，多年平均无霜期277天，多年均气温16.8℃，最高气温40.3℃，最低气温-11.8℃。</w:t>
      </w:r>
    </w:p>
    <w:p>
      <w:pPr>
        <w:spacing w:line="360" w:lineRule="auto"/>
        <w:ind w:firstLine="496" w:firstLineChars="200"/>
        <w:rPr>
          <w:rFonts w:ascii="Times New Roman" w:eastAsia="宋体"/>
          <w:color w:val="auto"/>
        </w:rPr>
      </w:pPr>
      <w:r>
        <w:rPr>
          <w:rFonts w:hint="eastAsia" w:ascii="Times New Roman" w:eastAsia="宋体"/>
          <w:color w:val="auto"/>
        </w:rPr>
        <w:t>根据实测降雨资料统计，多年平均年降水量为1316.26mm，最大一日降水量为208.00mm（1983年7月8日）。1967年实测降水量1530.6mm，为历年最大值，1968年实测降水787.4mm，为历年最小值。本流域形成暴雨的主要天气系统是梅雨峰系和山地地形雨，暴雨在4～8月都可能发生，大暴雨多集中在6～8月，暴雨持续时间一般为1～3天。雨量分布受地形影相随高程降低而呈递减趋势。多年平均年蒸发量为1247.1mm。蒸发与气温关系密切，6～8月气温高，蒸发量大，多年平均月蒸发量最大在7月份，达214.8mm。年主导风向NNE，平均风速2.9m/s，最大风力为九级。</w:t>
      </w:r>
    </w:p>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4</w:t>
      </w:r>
      <w:r>
        <w:rPr>
          <w:rFonts w:ascii="Times New Roman" w:hAnsi="Times New Roman" w:eastAsia="宋体"/>
          <w:color w:val="auto"/>
        </w:rPr>
        <w:t>.1.1.4水文</w:t>
      </w:r>
    </w:p>
    <w:p>
      <w:pPr>
        <w:spacing w:line="360" w:lineRule="auto"/>
        <w:ind w:firstLine="482"/>
        <w:rPr>
          <w:rFonts w:ascii="Times New Roman" w:eastAsia="宋体"/>
          <w:color w:val="auto"/>
        </w:rPr>
      </w:pPr>
      <w:r>
        <w:rPr>
          <w:rFonts w:hint="eastAsia" w:ascii="Times New Roman" w:eastAsia="宋体"/>
          <w:color w:val="auto"/>
        </w:rPr>
        <w:t>（1）地表水</w:t>
      </w:r>
    </w:p>
    <w:p>
      <w:pPr>
        <w:spacing w:line="360" w:lineRule="auto"/>
        <w:ind w:firstLine="496" w:firstLineChars="200"/>
        <w:rPr>
          <w:rFonts w:ascii="Times New Roman" w:eastAsia="宋体"/>
          <w:color w:val="auto"/>
        </w:rPr>
      </w:pPr>
      <w:r>
        <w:rPr>
          <w:rFonts w:hint="eastAsia" w:ascii="Times New Roman" w:eastAsia="宋体"/>
          <w:color w:val="auto"/>
        </w:rPr>
        <w:t>岳阳县水网密布。全县水域面积1190平方公里，占全县总面积的40.60%，主要为县辖东洞庭湖水面。境内主要河流有直泄东洞庭湖的新墙河、费家河、坪桥河和直入南洞庭湖的罗水河。</w:t>
      </w:r>
    </w:p>
    <w:p>
      <w:pPr>
        <w:spacing w:line="360" w:lineRule="auto"/>
        <w:ind w:firstLine="496" w:firstLineChars="200"/>
        <w:rPr>
          <w:rFonts w:ascii="Times New Roman" w:eastAsia="宋体"/>
          <w:color w:val="auto"/>
        </w:rPr>
      </w:pPr>
      <w:r>
        <w:rPr>
          <w:rFonts w:hint="eastAsia" w:ascii="Times New Roman" w:eastAsia="宋体"/>
          <w:color w:val="auto"/>
        </w:rPr>
        <w:t>新墙河为洞庭湖一级支流，新墙河流域位于北纬29°00′～29°30′、东经113°00′～113°40′之间。总流域面积2365.64 km2，其中流经县境1597.64 km2，新墙河县境内干流全长115.40m，纳入支流47条，天然落差400m，坡降7.18‰，多年平均流量约58m3/s，最枯流量仅6.0m3/s。沙港、游港为新墙河两大支流，其中沙港河发源于平江县团山宝贝岭，主要流经板江、月田、铁山口、公田、杨林街，于筻口镇的三港咀汇合游港后流入新墙河主流，流域面积974.69 km2，全长79.60km，县境内流域面积904.64 km2，长69.60km，平均流量52.60 m3/s，平均坡降1.25‰。游港河发源于临湘市龙窖山，由西塘入岳阳县境，经筻口至三港嘴汇入新墙河主流，流域面积973 km2，全长85.20km，县境内流域面积275 km2，长19km，平均流量18.49 m3/s，天然落差715m，坡降1.50‰。沙港、游港河自三港嘴汇流后经新墙、荣家湾从破岚口入东洞庭湖，三港嘴至破岚口区间长26.80km，区间流域面积418 km2，平均坡降0.75‰。</w:t>
      </w:r>
    </w:p>
    <w:p>
      <w:pPr>
        <w:spacing w:line="360" w:lineRule="auto"/>
        <w:ind w:firstLine="496" w:firstLineChars="200"/>
        <w:rPr>
          <w:rFonts w:ascii="Times New Roman" w:eastAsia="宋体"/>
          <w:color w:val="auto"/>
        </w:rPr>
      </w:pPr>
      <w:r>
        <w:rPr>
          <w:rFonts w:hint="eastAsia" w:ascii="Times New Roman" w:eastAsia="宋体"/>
          <w:color w:val="auto"/>
        </w:rPr>
        <w:t>本项目生活污水和养殖废水依托企业的新华污水处理站处理，满足《畜禽粪便无害化处理技术规范》GB_T 36195-2018后，用于浇灌周边果树林；场区雨水经场区雨水管道收集后外排西侧鱼塘，水域功能为渔业水。</w:t>
      </w:r>
    </w:p>
    <w:p>
      <w:pPr>
        <w:spacing w:line="360" w:lineRule="auto"/>
        <w:ind w:firstLine="496" w:firstLineChars="200"/>
        <w:rPr>
          <w:rFonts w:ascii="Times New Roman" w:eastAsia="宋体"/>
          <w:color w:val="auto"/>
        </w:rPr>
      </w:pPr>
      <w:r>
        <w:rPr>
          <w:rFonts w:hint="eastAsia" w:ascii="Times New Roman" w:eastAsia="宋体"/>
          <w:color w:val="auto"/>
        </w:rPr>
        <w:t>2）地下水水文状况</w:t>
      </w:r>
    </w:p>
    <w:p>
      <w:pPr>
        <w:spacing w:line="360" w:lineRule="auto"/>
        <w:ind w:firstLine="496" w:firstLineChars="200"/>
        <w:rPr>
          <w:rFonts w:ascii="Times New Roman" w:eastAsia="宋体"/>
          <w:color w:val="auto"/>
        </w:rPr>
      </w:pPr>
      <w:r>
        <w:rPr>
          <w:rFonts w:hint="eastAsia" w:ascii="Times New Roman" w:eastAsia="宋体"/>
          <w:color w:val="auto"/>
        </w:rPr>
        <w:t>岳阳县境地下水主要类型有松散岩类孔隙水、碎屑岩类裂隙孔隙水、基岩裂隙水三大类型。储水构造主要有断裂充水带和向斜储水构造。地下水埋深度自东向西由深变浅，均为弱酸性极软淡水，矿化度小于0.40g/l，多为重碳酸钠氯化钙型水，重碳酸钙、重碳酸钙镁型水。评价区地下水主要类型为松散岩类孔隙水和碎屑岩类裂隙孔隙水。县境地下水主要靠大气降水补给，但西部湖区及湖滨平原还受外围地下水径流的侧向补给和河湖、稻田的渗漏补给。</w:t>
      </w:r>
    </w:p>
    <w:p>
      <w:pPr>
        <w:spacing w:line="360" w:lineRule="auto"/>
        <w:ind w:firstLine="496" w:firstLineChars="200"/>
        <w:rPr>
          <w:rFonts w:ascii="Times New Roman" w:eastAsia="宋体"/>
          <w:color w:val="auto"/>
        </w:rPr>
      </w:pPr>
      <w:r>
        <w:rPr>
          <w:rFonts w:hint="eastAsia" w:ascii="Times New Roman" w:eastAsia="宋体"/>
          <w:color w:val="auto"/>
        </w:rPr>
        <w:t>松散岩类孔隙水产在第四系河流流相及河湖相堆积物中，水量之穷乏或丰富因地而异，分布于县境西部的东洞庭湖区和中部自北向南的麻塘—荣家湾—黄沙街一线两侧、新墙河水系沿河两岸，面积1296.60km2，可分为双层结构孔隙和单层结构孔隙。单层结构孔隙分布于新墙河水系沿岸、河谷地区，储水量丰富，水埋深0～5m，顶板埋深小于3m；双层结构孔隙主要分布在东洞庭湖及湖滨区，荣家湾—黄沙街储水量浅水贫乏，深水中等；鹿角—大明储水量浅部中等，深部丰富；东洞庭湖及湖滨—新墙河三角洲储水量丰富，水埋深0～5m，顶板埋深10～36 m。</w:t>
      </w:r>
    </w:p>
    <w:p>
      <w:pPr>
        <w:spacing w:line="360" w:lineRule="auto"/>
        <w:ind w:firstLine="496" w:firstLineChars="200"/>
        <w:rPr>
          <w:rFonts w:ascii="Times New Roman" w:eastAsia="宋体"/>
          <w:color w:val="auto"/>
        </w:rPr>
      </w:pPr>
      <w:r>
        <w:rPr>
          <w:rFonts w:hint="eastAsia" w:ascii="Times New Roman" w:eastAsia="宋体"/>
          <w:color w:val="auto"/>
        </w:rPr>
        <w:t>碎屑岩类裂隙孔隙水存在于白垩系、第三系的分布区，分布在县境中部，面积399.60 km2，储水量贫乏，水埋深0～7m，顶板埋深小于3m。</w:t>
      </w:r>
    </w:p>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4</w:t>
      </w:r>
      <w:r>
        <w:rPr>
          <w:rFonts w:ascii="Times New Roman" w:hAnsi="Times New Roman" w:eastAsia="宋体"/>
          <w:color w:val="auto"/>
        </w:rPr>
        <w:t>.1.1.5自然资源</w:t>
      </w:r>
    </w:p>
    <w:p>
      <w:pPr>
        <w:spacing w:line="360" w:lineRule="auto"/>
        <w:ind w:firstLine="496" w:firstLineChars="200"/>
        <w:rPr>
          <w:rFonts w:ascii="Times New Roman" w:eastAsia="宋体"/>
          <w:color w:val="auto"/>
          <w:szCs w:val="22"/>
        </w:rPr>
      </w:pPr>
      <w:r>
        <w:rPr>
          <w:rFonts w:ascii="Times New Roman" w:eastAsia="宋体"/>
          <w:color w:val="auto"/>
          <w:szCs w:val="22"/>
        </w:rPr>
        <w:t>岳阳县属于中亚热带常绿叶阔叶林带，是中亚、北亚及温带的过渡型植被，境内记录到的木本类植物829种，其中乡土树种655种，用材树种主要有杉、松、樟、枫、檫、楠、桐、柏等，果木树种主要有桃、李、梨、桔等。竹类有楠竹、凤凰竹等十余种，水生植物有芦苇、莲藕、茭白、席草等百余种。主要农作物有水稻、棉花、油菜、芝麻、花生、薯类、蚕豆、黄豆、绿豆、湘莲等。由于人类活动的干扰，植被分布的地域差异较大。</w:t>
      </w:r>
    </w:p>
    <w:p>
      <w:pPr>
        <w:spacing w:line="360" w:lineRule="auto"/>
        <w:ind w:firstLine="496" w:firstLineChars="200"/>
        <w:rPr>
          <w:rFonts w:ascii="Times New Roman" w:eastAsia="宋体"/>
          <w:color w:val="auto"/>
          <w:szCs w:val="22"/>
        </w:rPr>
      </w:pPr>
      <w:r>
        <w:rPr>
          <w:rFonts w:ascii="Times New Roman" w:eastAsia="宋体"/>
          <w:color w:val="auto"/>
          <w:szCs w:val="22"/>
        </w:rPr>
        <w:t>县境内记录到的野生动物500种，即兽类22种，鸟类266种，虫类195种，其它17种。记录到的鱼类114种。家畜有猪、牛、羊、兔、猫、狗等，家禽有鸡、鸭、鹅、蜜蜂等。项目区域周围基本为农田、旱地，捕食昆虫、鼠类的两栖类、爬行类动物较多。陆栖动物有田鼠及各种家畜家禽；新墙河流域水生动物以鱼、虾类为主，均为常见物种。</w:t>
      </w:r>
    </w:p>
    <w:p>
      <w:pPr>
        <w:spacing w:line="360" w:lineRule="auto"/>
        <w:ind w:firstLine="496" w:firstLineChars="200"/>
        <w:rPr>
          <w:rFonts w:ascii="Times New Roman" w:eastAsia="宋体"/>
          <w:color w:val="auto"/>
          <w:szCs w:val="22"/>
        </w:rPr>
      </w:pPr>
      <w:r>
        <w:rPr>
          <w:rFonts w:ascii="Times New Roman" w:eastAsia="宋体"/>
          <w:color w:val="auto"/>
          <w:szCs w:val="22"/>
        </w:rPr>
        <w:t>岳阳县矿产资源丰富。境内已发现矿种30余种，主要是石煤、钒、独居石、高岭土、长石、瓷、硅砂、铁、温泉和矿泉水等。矿床（点）114处，小型规模以上的矿产地18处。</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4</w:t>
      </w:r>
      <w:r>
        <w:rPr>
          <w:rFonts w:ascii="Times New Roman" w:eastAsia="宋体"/>
          <w:b/>
          <w:bCs/>
          <w:color w:val="auto"/>
          <w:kern w:val="2"/>
          <w:sz w:val="24"/>
        </w:rPr>
        <w:t>.1.2项目周边环境</w:t>
      </w:r>
    </w:p>
    <w:p>
      <w:pPr>
        <w:spacing w:line="360" w:lineRule="auto"/>
        <w:ind w:firstLine="496" w:firstLineChars="200"/>
        <w:rPr>
          <w:rFonts w:ascii="Times New Roman" w:eastAsia="宋体"/>
          <w:color w:val="auto"/>
        </w:rPr>
      </w:pPr>
      <w:r>
        <w:rPr>
          <w:rFonts w:ascii="Times New Roman" w:eastAsia="宋体"/>
          <w:color w:val="auto"/>
        </w:rPr>
        <w:t>项目位于</w:t>
      </w:r>
      <w:r>
        <w:rPr>
          <w:rFonts w:hint="eastAsia" w:ascii="Times New Roman" w:eastAsia="宋体"/>
          <w:color w:val="auto"/>
        </w:rPr>
        <w:t>湖南</w:t>
      </w:r>
      <w:r>
        <w:rPr>
          <w:rFonts w:ascii="Times New Roman" w:eastAsia="宋体"/>
          <w:color w:val="auto"/>
        </w:rPr>
        <w:t>省</w:t>
      </w:r>
      <w:r>
        <w:rPr>
          <w:rFonts w:hint="eastAsia" w:ascii="Times New Roman" w:eastAsia="宋体"/>
          <w:color w:val="auto"/>
        </w:rPr>
        <w:t>岳阳</w:t>
      </w:r>
      <w:r>
        <w:rPr>
          <w:rFonts w:ascii="Times New Roman" w:eastAsia="宋体"/>
          <w:color w:val="auto"/>
        </w:rPr>
        <w:t>市</w:t>
      </w:r>
      <w:r>
        <w:rPr>
          <w:rFonts w:hint="eastAsia" w:ascii="Times New Roman" w:eastAsia="宋体"/>
          <w:color w:val="auto"/>
        </w:rPr>
        <w:t>新墙镇新华村桃源片</w:t>
      </w:r>
      <w:r>
        <w:rPr>
          <w:rFonts w:ascii="Times New Roman" w:eastAsia="宋体"/>
          <w:color w:val="auto"/>
        </w:rPr>
        <w:t>。项目东、</w:t>
      </w:r>
      <w:r>
        <w:rPr>
          <w:rFonts w:hint="eastAsia" w:ascii="Times New Roman" w:eastAsia="宋体"/>
          <w:color w:val="auto"/>
        </w:rPr>
        <w:t>南</w:t>
      </w:r>
      <w:r>
        <w:rPr>
          <w:rFonts w:ascii="Times New Roman" w:eastAsia="宋体"/>
          <w:color w:val="auto"/>
        </w:rPr>
        <w:t>侧均为基本农田</w:t>
      </w:r>
      <w:r>
        <w:rPr>
          <w:rFonts w:hint="eastAsia" w:ascii="Times New Roman" w:eastAsia="宋体"/>
          <w:color w:val="auto"/>
        </w:rPr>
        <w:t>和林地</w:t>
      </w:r>
      <w:r>
        <w:rPr>
          <w:rFonts w:ascii="Times New Roman" w:eastAsia="宋体"/>
          <w:color w:val="auto"/>
        </w:rPr>
        <w:t>，西侧为</w:t>
      </w:r>
      <w:r>
        <w:rPr>
          <w:rFonts w:hint="eastAsia" w:ascii="Times New Roman" w:eastAsia="宋体"/>
          <w:color w:val="auto"/>
        </w:rPr>
        <w:t>水塘</w:t>
      </w:r>
      <w:r>
        <w:rPr>
          <w:rFonts w:ascii="Times New Roman" w:eastAsia="宋体"/>
          <w:color w:val="auto"/>
        </w:rPr>
        <w:t>，</w:t>
      </w:r>
      <w:r>
        <w:rPr>
          <w:rFonts w:hint="eastAsia" w:ascii="Times New Roman" w:eastAsia="宋体"/>
          <w:color w:val="auto"/>
        </w:rPr>
        <w:t>北</w:t>
      </w:r>
      <w:r>
        <w:rPr>
          <w:rFonts w:ascii="Times New Roman" w:eastAsia="宋体"/>
          <w:color w:val="auto"/>
        </w:rPr>
        <w:t>侧为</w:t>
      </w:r>
      <w:r>
        <w:rPr>
          <w:rFonts w:hint="eastAsia" w:ascii="Times New Roman" w:eastAsia="宋体"/>
          <w:color w:val="auto"/>
        </w:rPr>
        <w:t>荒地</w:t>
      </w:r>
      <w:r>
        <w:rPr>
          <w:rFonts w:ascii="Times New Roman" w:eastAsia="宋体"/>
          <w:color w:val="auto"/>
        </w:rPr>
        <w:t>。项目附近地表水为</w:t>
      </w:r>
      <w:r>
        <w:rPr>
          <w:rFonts w:hint="eastAsia" w:ascii="Times New Roman" w:eastAsia="宋体"/>
          <w:color w:val="auto"/>
        </w:rPr>
        <w:t>水塘，</w:t>
      </w:r>
      <w:r>
        <w:rPr>
          <w:rFonts w:ascii="Times New Roman" w:eastAsia="宋体"/>
          <w:color w:val="auto"/>
        </w:rPr>
        <w:t>环境敏感点为</w:t>
      </w:r>
      <w:r>
        <w:rPr>
          <w:rFonts w:hint="eastAsia" w:ascii="Times New Roman" w:eastAsia="宋体"/>
          <w:color w:val="auto"/>
        </w:rPr>
        <w:t>西南侧</w:t>
      </w:r>
      <w:r>
        <w:rPr>
          <w:rFonts w:hint="eastAsia" w:ascii="Times New Roman" w:eastAsia="宋体"/>
          <w:color w:val="auto"/>
          <w:lang w:val="en-US" w:eastAsia="zh-CN"/>
        </w:rPr>
        <w:t>190</w:t>
      </w:r>
      <w:r>
        <w:rPr>
          <w:rFonts w:ascii="Times New Roman" w:eastAsia="宋体"/>
          <w:color w:val="auto"/>
        </w:rPr>
        <w:t>m的</w:t>
      </w:r>
      <w:r>
        <w:rPr>
          <w:rFonts w:hint="eastAsia" w:ascii="Times New Roman" w:eastAsia="宋体"/>
          <w:color w:val="auto"/>
        </w:rPr>
        <w:t>袁家屋</w:t>
      </w:r>
      <w:r>
        <w:rPr>
          <w:rFonts w:ascii="Times New Roman" w:eastAsia="宋体"/>
          <w:color w:val="auto"/>
        </w:rPr>
        <w:t>居民；南侧约</w:t>
      </w:r>
      <w:r>
        <w:rPr>
          <w:rFonts w:hint="eastAsia" w:ascii="Times New Roman" w:eastAsia="宋体"/>
          <w:color w:val="auto"/>
        </w:rPr>
        <w:t>420</w:t>
      </w:r>
      <w:r>
        <w:rPr>
          <w:rFonts w:ascii="Times New Roman" w:eastAsia="宋体"/>
          <w:color w:val="auto"/>
        </w:rPr>
        <w:t>m的</w:t>
      </w:r>
      <w:r>
        <w:rPr>
          <w:rFonts w:hint="eastAsia" w:ascii="Times New Roman" w:eastAsia="宋体"/>
          <w:color w:val="auto"/>
        </w:rPr>
        <w:t>易家细屋</w:t>
      </w:r>
      <w:r>
        <w:rPr>
          <w:rFonts w:ascii="Times New Roman" w:eastAsia="宋体"/>
          <w:color w:val="auto"/>
        </w:rPr>
        <w:t>居民；</w:t>
      </w:r>
      <w:r>
        <w:rPr>
          <w:rFonts w:hint="eastAsia" w:ascii="Times New Roman" w:eastAsia="宋体"/>
          <w:color w:val="auto"/>
        </w:rPr>
        <w:t>东</w:t>
      </w:r>
      <w:r>
        <w:rPr>
          <w:rFonts w:ascii="Times New Roman" w:eastAsia="宋体"/>
          <w:color w:val="auto"/>
        </w:rPr>
        <w:t>侧约</w:t>
      </w:r>
      <w:r>
        <w:rPr>
          <w:rFonts w:hint="eastAsia" w:ascii="Times New Roman" w:eastAsia="宋体"/>
          <w:color w:val="auto"/>
        </w:rPr>
        <w:t>560</w:t>
      </w:r>
      <w:r>
        <w:rPr>
          <w:rFonts w:ascii="Times New Roman" w:eastAsia="宋体"/>
          <w:color w:val="auto"/>
        </w:rPr>
        <w:t>m的</w:t>
      </w:r>
      <w:r>
        <w:rPr>
          <w:rFonts w:hint="eastAsia" w:ascii="Times New Roman" w:eastAsia="宋体"/>
          <w:color w:val="auto"/>
        </w:rPr>
        <w:t>细蒋家</w:t>
      </w:r>
      <w:r>
        <w:rPr>
          <w:rFonts w:ascii="Times New Roman" w:eastAsia="宋体"/>
          <w:color w:val="auto"/>
        </w:rPr>
        <w:t>居民。</w:t>
      </w:r>
    </w:p>
    <w:bookmarkEnd w:id="301"/>
    <w:bookmarkEnd w:id="302"/>
    <w:bookmarkEnd w:id="303"/>
    <w:bookmarkEnd w:id="315"/>
    <w:bookmarkEnd w:id="316"/>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59" w:name="_Toc26856"/>
      <w:bookmarkStart w:id="360" w:name="_Toc31638"/>
      <w:bookmarkStart w:id="361" w:name="_Toc9089"/>
      <w:bookmarkStart w:id="362" w:name="_Toc430597533"/>
      <w:r>
        <w:rPr>
          <w:rFonts w:hint="eastAsia" w:ascii="Times New Roman" w:hAnsi="Times New Roman" w:eastAsia="宋体"/>
          <w:color w:val="auto"/>
          <w:kern w:val="2"/>
          <w:sz w:val="28"/>
          <w:szCs w:val="28"/>
        </w:rPr>
        <w:t>4</w:t>
      </w:r>
      <w:r>
        <w:rPr>
          <w:rFonts w:ascii="Times New Roman" w:hAnsi="Times New Roman" w:eastAsia="宋体"/>
          <w:color w:val="auto"/>
          <w:kern w:val="2"/>
          <w:sz w:val="28"/>
          <w:szCs w:val="28"/>
        </w:rPr>
        <w:t>.2环境空气质量现状</w:t>
      </w:r>
      <w:bookmarkEnd w:id="359"/>
      <w:bookmarkEnd w:id="360"/>
      <w:bookmarkEnd w:id="361"/>
    </w:p>
    <w:p>
      <w:pPr>
        <w:pStyle w:val="4"/>
        <w:spacing w:before="0" w:after="0" w:line="360" w:lineRule="auto"/>
        <w:rPr>
          <w:rFonts w:ascii="Times New Roman" w:eastAsia="宋体"/>
          <w:b/>
          <w:bCs/>
          <w:color w:val="auto"/>
          <w:kern w:val="2"/>
          <w:sz w:val="24"/>
        </w:rPr>
      </w:pPr>
      <w:bookmarkStart w:id="363" w:name="_Toc356"/>
      <w:r>
        <w:rPr>
          <w:rFonts w:hint="eastAsia" w:ascii="Times New Roman" w:eastAsia="宋体"/>
          <w:b/>
          <w:bCs/>
          <w:color w:val="auto"/>
          <w:kern w:val="2"/>
          <w:sz w:val="24"/>
        </w:rPr>
        <w:t>4</w:t>
      </w:r>
      <w:r>
        <w:rPr>
          <w:rFonts w:ascii="Times New Roman" w:eastAsia="宋体"/>
          <w:b/>
          <w:bCs/>
          <w:color w:val="auto"/>
          <w:kern w:val="2"/>
          <w:sz w:val="24"/>
        </w:rPr>
        <w:t>.2.1</w:t>
      </w:r>
      <w:bookmarkEnd w:id="363"/>
      <w:r>
        <w:rPr>
          <w:rFonts w:ascii="Times New Roman" w:eastAsia="宋体"/>
          <w:b/>
          <w:bCs/>
          <w:color w:val="auto"/>
          <w:kern w:val="2"/>
          <w:sz w:val="24"/>
        </w:rPr>
        <w:t>空气质量达标区判定</w:t>
      </w:r>
    </w:p>
    <w:p>
      <w:pPr>
        <w:spacing w:line="360" w:lineRule="auto"/>
        <w:ind w:firstLine="496" w:firstLineChars="200"/>
        <w:rPr>
          <w:rFonts w:ascii="Times New Roman" w:eastAsia="宋体"/>
          <w:color w:val="auto"/>
        </w:rPr>
      </w:pPr>
      <w:bookmarkStart w:id="364" w:name="_Toc4922"/>
      <w:r>
        <w:rPr>
          <w:rFonts w:ascii="Times New Roman" w:eastAsia="宋体"/>
          <w:color w:val="auto"/>
        </w:rPr>
        <w:t>根据《环境影响评价技术导则大气环境》（HJ2.2-2018）的相关要求，对基本污染物需进行区域达标判定，项目所在区域环境空气质量属于二类区，执行《环境空气质量标准》（GB3095-2012）及修改单中二级标准。</w:t>
      </w:r>
    </w:p>
    <w:p>
      <w:pPr>
        <w:spacing w:line="360" w:lineRule="auto"/>
        <w:ind w:firstLine="496" w:firstLineChars="200"/>
        <w:rPr>
          <w:rFonts w:ascii="Times New Roman" w:eastAsia="宋体"/>
          <w:color w:val="auto"/>
        </w:rPr>
      </w:pPr>
      <w:r>
        <w:rPr>
          <w:rFonts w:hint="eastAsia" w:ascii="Times New Roman" w:eastAsia="宋体"/>
          <w:color w:val="auto"/>
        </w:rPr>
        <w:t>本次评价大气环境质量现状调查引用岳阳县生态环境主管部门已公布的</w:t>
      </w:r>
      <w:r>
        <w:rPr>
          <w:rFonts w:ascii="Times New Roman" w:eastAsia="宋体"/>
          <w:color w:val="auto"/>
        </w:rPr>
        <w:t>202</w:t>
      </w:r>
      <w:r>
        <w:rPr>
          <w:rFonts w:hint="eastAsia" w:ascii="Times New Roman" w:eastAsia="宋体"/>
          <w:color w:val="auto"/>
          <w:lang w:val="en-US" w:eastAsia="zh-CN"/>
        </w:rPr>
        <w:t>2</w:t>
      </w:r>
      <w:r>
        <w:rPr>
          <w:rFonts w:hint="eastAsia" w:ascii="Times New Roman" w:eastAsia="宋体"/>
          <w:color w:val="auto"/>
        </w:rPr>
        <w:t>年年均监测值和空气环境质量公告中的数据来进行项目所在区域环境质量空气现状评价。区域空气质量现状评价表见下表。</w:t>
      </w:r>
    </w:p>
    <w:p>
      <w:pPr>
        <w:spacing w:line="360" w:lineRule="auto"/>
        <w:jc w:val="center"/>
        <w:rPr>
          <w:rFonts w:ascii="Times New Roman" w:eastAsia="宋体"/>
          <w:b/>
          <w:color w:val="auto"/>
          <w:sz w:val="21"/>
        </w:rPr>
      </w:pPr>
      <w:r>
        <w:rPr>
          <w:rFonts w:hint="eastAsia" w:ascii="Times New Roman" w:eastAsia="宋体"/>
          <w:b/>
          <w:color w:val="auto"/>
          <w:sz w:val="21"/>
        </w:rPr>
        <w:t>表4.2</w:t>
      </w:r>
      <w:r>
        <w:rPr>
          <w:rFonts w:ascii="Times New Roman" w:eastAsia="宋体"/>
          <w:b/>
          <w:color w:val="auto"/>
          <w:sz w:val="21"/>
        </w:rPr>
        <w:t xml:space="preserve">-1  </w:t>
      </w:r>
      <w:r>
        <w:rPr>
          <w:rFonts w:hint="eastAsia" w:ascii="Times New Roman" w:eastAsia="宋体"/>
          <w:b/>
          <w:color w:val="auto"/>
          <w:sz w:val="21"/>
        </w:rPr>
        <w:t>区域空气质量现状评价表</w:t>
      </w:r>
    </w:p>
    <w:tbl>
      <w:tblPr>
        <w:tblStyle w:val="47"/>
        <w:tblW w:w="8070" w:type="dxa"/>
        <w:tblInd w:w="1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824"/>
        <w:gridCol w:w="3095"/>
        <w:gridCol w:w="1170"/>
        <w:gridCol w:w="1080"/>
        <w:gridCol w:w="1151"/>
        <w:gridCol w:w="75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824"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污染物</w:t>
            </w:r>
          </w:p>
        </w:tc>
        <w:tc>
          <w:tcPr>
            <w:tcW w:w="3095"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年评价指标</w:t>
            </w:r>
          </w:p>
        </w:tc>
        <w:tc>
          <w:tcPr>
            <w:tcW w:w="117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现状浓度（ug/m</w:t>
            </w:r>
            <w:r>
              <w:rPr>
                <w:rFonts w:hint="eastAsia" w:ascii="Times New Roman" w:eastAsia="宋体" w:cs="宋体"/>
                <w:color w:val="auto"/>
                <w:sz w:val="21"/>
                <w:szCs w:val="21"/>
                <w:vertAlign w:val="superscript"/>
              </w:rPr>
              <w:t>3</w:t>
            </w:r>
            <w:r>
              <w:rPr>
                <w:rFonts w:hint="eastAsia" w:ascii="Times New Roman" w:eastAsia="宋体" w:cs="宋体"/>
                <w:color w:val="auto"/>
                <w:sz w:val="21"/>
                <w:szCs w:val="21"/>
              </w:rPr>
              <w:t>）</w:t>
            </w:r>
          </w:p>
        </w:tc>
        <w:tc>
          <w:tcPr>
            <w:tcW w:w="108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标准值（ug/m</w:t>
            </w:r>
            <w:r>
              <w:rPr>
                <w:rFonts w:hint="eastAsia" w:ascii="Times New Roman" w:eastAsia="宋体" w:cs="宋体"/>
                <w:color w:val="auto"/>
                <w:sz w:val="21"/>
                <w:szCs w:val="21"/>
                <w:vertAlign w:val="superscript"/>
              </w:rPr>
              <w:t>3</w:t>
            </w:r>
            <w:r>
              <w:rPr>
                <w:rFonts w:hint="eastAsia" w:ascii="Times New Roman" w:eastAsia="宋体" w:cs="宋体"/>
                <w:color w:val="auto"/>
                <w:sz w:val="21"/>
                <w:szCs w:val="21"/>
              </w:rPr>
              <w:t>）</w:t>
            </w:r>
          </w:p>
        </w:tc>
        <w:tc>
          <w:tcPr>
            <w:tcW w:w="1151"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占标率（%）</w:t>
            </w:r>
          </w:p>
        </w:tc>
        <w:tc>
          <w:tcPr>
            <w:tcW w:w="75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7" w:hRule="atLeast"/>
        </w:trPr>
        <w:tc>
          <w:tcPr>
            <w:tcW w:w="824"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SO</w:t>
            </w:r>
            <w:r>
              <w:rPr>
                <w:rFonts w:ascii="Times New Roman" w:eastAsia="宋体" w:cs="宋体"/>
                <w:color w:val="auto"/>
                <w:sz w:val="21"/>
                <w:szCs w:val="21"/>
                <w:vertAlign w:val="subscript"/>
              </w:rPr>
              <w:t>2</w:t>
            </w:r>
          </w:p>
        </w:tc>
        <w:tc>
          <w:tcPr>
            <w:tcW w:w="3095"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年均浓度</w:t>
            </w:r>
          </w:p>
        </w:tc>
        <w:tc>
          <w:tcPr>
            <w:tcW w:w="1170" w:type="dxa"/>
            <w:tcBorders>
              <w:tl2br w:val="nil"/>
              <w:tr2bl w:val="nil"/>
            </w:tcBorders>
            <w:vAlign w:val="center"/>
          </w:tcPr>
          <w:p>
            <w:pPr>
              <w:pStyle w:val="238"/>
              <w:keepNext w:val="0"/>
              <w:keepLines w:val="0"/>
              <w:pageBreakBefore w:val="0"/>
              <w:kinsoku/>
              <w:wordWrap/>
              <w:overflowPunct/>
              <w:topLinePunct w:val="0"/>
              <w:bidi w:val="0"/>
              <w:adjustRightInd/>
              <w:snapToGrid/>
              <w:spacing w:line="240" w:lineRule="auto"/>
              <w:ind w:firstLine="0" w:firstLineChars="0"/>
              <w:jc w:val="center"/>
              <w:rPr>
                <w:rFonts w:ascii="Times New Roman" w:eastAsia="宋体" w:cs="宋体"/>
                <w:color w:val="auto"/>
                <w:sz w:val="21"/>
                <w:szCs w:val="21"/>
              </w:rPr>
            </w:pPr>
            <w:r>
              <w:rPr>
                <w:rFonts w:ascii="Times New Roman"/>
                <w:color w:val="auto"/>
                <w:sz w:val="21"/>
                <w:szCs w:val="21"/>
              </w:rPr>
              <w:t>6</w:t>
            </w:r>
          </w:p>
        </w:tc>
        <w:tc>
          <w:tcPr>
            <w:tcW w:w="108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60</w:t>
            </w:r>
          </w:p>
        </w:tc>
        <w:tc>
          <w:tcPr>
            <w:tcW w:w="1151" w:type="dxa"/>
            <w:tcBorders>
              <w:tl2br w:val="nil"/>
              <w:tr2bl w:val="nil"/>
            </w:tcBorders>
            <w:vAlign w:val="center"/>
          </w:tcPr>
          <w:p>
            <w:pPr>
              <w:keepNext w:val="0"/>
              <w:keepLines w:val="0"/>
              <w:widowControl/>
              <w:suppressLineNumbers w:val="0"/>
              <w:jc w:val="center"/>
              <w:textAlignment w:val="center"/>
              <w:rPr>
                <w:rFonts w:ascii="Times New Roman" w:eastAsia="宋体" w:cs="宋体"/>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75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824"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NO2</w:t>
            </w:r>
          </w:p>
        </w:tc>
        <w:tc>
          <w:tcPr>
            <w:tcW w:w="3095"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年均浓度</w:t>
            </w:r>
          </w:p>
        </w:tc>
        <w:tc>
          <w:tcPr>
            <w:tcW w:w="1170" w:type="dxa"/>
            <w:tcBorders>
              <w:tl2br w:val="nil"/>
              <w:tr2bl w:val="nil"/>
            </w:tcBorders>
            <w:vAlign w:val="center"/>
          </w:tcPr>
          <w:p>
            <w:pPr>
              <w:pStyle w:val="238"/>
              <w:keepNext w:val="0"/>
              <w:keepLines w:val="0"/>
              <w:pageBreakBefore w:val="0"/>
              <w:kinsoku/>
              <w:wordWrap/>
              <w:overflowPunct/>
              <w:topLinePunct w:val="0"/>
              <w:bidi w:val="0"/>
              <w:adjustRightInd/>
              <w:snapToGrid/>
              <w:spacing w:line="240" w:lineRule="auto"/>
              <w:ind w:firstLine="0" w:firstLineChars="0"/>
              <w:jc w:val="center"/>
              <w:rPr>
                <w:rFonts w:ascii="Times New Roman" w:eastAsia="宋体" w:cs="宋体"/>
                <w:color w:val="auto"/>
                <w:sz w:val="21"/>
                <w:szCs w:val="21"/>
              </w:rPr>
            </w:pPr>
            <w:r>
              <w:rPr>
                <w:rFonts w:ascii="Times New Roman"/>
                <w:color w:val="auto"/>
                <w:sz w:val="21"/>
                <w:szCs w:val="21"/>
              </w:rPr>
              <w:t>20</w:t>
            </w:r>
          </w:p>
        </w:tc>
        <w:tc>
          <w:tcPr>
            <w:tcW w:w="108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40</w:t>
            </w:r>
          </w:p>
        </w:tc>
        <w:tc>
          <w:tcPr>
            <w:tcW w:w="1151" w:type="dxa"/>
            <w:tcBorders>
              <w:tl2br w:val="nil"/>
              <w:tr2bl w:val="nil"/>
            </w:tcBorders>
            <w:vAlign w:val="center"/>
          </w:tcPr>
          <w:p>
            <w:pPr>
              <w:keepNext w:val="0"/>
              <w:keepLines w:val="0"/>
              <w:widowControl/>
              <w:suppressLineNumbers w:val="0"/>
              <w:jc w:val="center"/>
              <w:textAlignment w:val="center"/>
              <w:rPr>
                <w:rFonts w:ascii="Times New Roman" w:eastAsia="宋体" w:cs="宋体"/>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75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824"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PM</w:t>
            </w:r>
            <w:r>
              <w:rPr>
                <w:rFonts w:hint="eastAsia" w:ascii="Times New Roman" w:eastAsia="宋体" w:cs="宋体"/>
                <w:color w:val="auto"/>
                <w:sz w:val="21"/>
                <w:szCs w:val="21"/>
                <w:vertAlign w:val="subscript"/>
              </w:rPr>
              <w:t>10</w:t>
            </w:r>
          </w:p>
        </w:tc>
        <w:tc>
          <w:tcPr>
            <w:tcW w:w="3095"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年均浓度</w:t>
            </w:r>
          </w:p>
        </w:tc>
        <w:tc>
          <w:tcPr>
            <w:tcW w:w="1170" w:type="dxa"/>
            <w:tcBorders>
              <w:tl2br w:val="nil"/>
              <w:tr2bl w:val="nil"/>
            </w:tcBorders>
            <w:vAlign w:val="center"/>
          </w:tcPr>
          <w:p>
            <w:pPr>
              <w:pStyle w:val="238"/>
              <w:keepNext w:val="0"/>
              <w:keepLines w:val="0"/>
              <w:pageBreakBefore w:val="0"/>
              <w:kinsoku/>
              <w:wordWrap/>
              <w:overflowPunct/>
              <w:topLinePunct w:val="0"/>
              <w:bidi w:val="0"/>
              <w:adjustRightInd/>
              <w:snapToGrid/>
              <w:spacing w:line="240" w:lineRule="auto"/>
              <w:ind w:firstLine="0" w:firstLineChars="0"/>
              <w:jc w:val="center"/>
              <w:rPr>
                <w:rFonts w:ascii="Times New Roman" w:eastAsia="宋体" w:cs="宋体"/>
                <w:color w:val="auto"/>
                <w:sz w:val="21"/>
                <w:szCs w:val="21"/>
              </w:rPr>
            </w:pPr>
            <w:r>
              <w:rPr>
                <w:rFonts w:hint="eastAsia" w:ascii="Times New Roman"/>
                <w:color w:val="auto"/>
                <w:sz w:val="21"/>
                <w:szCs w:val="21"/>
                <w:lang w:val="en-US" w:eastAsia="zh-CN"/>
              </w:rPr>
              <w:t>49</w:t>
            </w:r>
          </w:p>
        </w:tc>
        <w:tc>
          <w:tcPr>
            <w:tcW w:w="108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70</w:t>
            </w:r>
          </w:p>
        </w:tc>
        <w:tc>
          <w:tcPr>
            <w:tcW w:w="1151" w:type="dxa"/>
            <w:tcBorders>
              <w:tl2br w:val="nil"/>
              <w:tr2bl w:val="nil"/>
            </w:tcBorders>
            <w:vAlign w:val="center"/>
          </w:tcPr>
          <w:p>
            <w:pPr>
              <w:keepNext w:val="0"/>
              <w:keepLines w:val="0"/>
              <w:widowControl/>
              <w:suppressLineNumbers w:val="0"/>
              <w:jc w:val="center"/>
              <w:textAlignment w:val="center"/>
              <w:rPr>
                <w:rFonts w:ascii="Times New Roman" w:eastAsia="宋体" w:cs="宋体"/>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70.0</w:t>
            </w:r>
          </w:p>
        </w:tc>
        <w:tc>
          <w:tcPr>
            <w:tcW w:w="75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824"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PM</w:t>
            </w:r>
            <w:r>
              <w:rPr>
                <w:rFonts w:hint="eastAsia" w:ascii="Times New Roman" w:eastAsia="宋体" w:cs="宋体"/>
                <w:color w:val="auto"/>
                <w:sz w:val="21"/>
                <w:szCs w:val="21"/>
                <w:vertAlign w:val="subscript"/>
              </w:rPr>
              <w:t>2.5</w:t>
            </w:r>
          </w:p>
        </w:tc>
        <w:tc>
          <w:tcPr>
            <w:tcW w:w="3095"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年均浓度</w:t>
            </w:r>
          </w:p>
        </w:tc>
        <w:tc>
          <w:tcPr>
            <w:tcW w:w="1170" w:type="dxa"/>
            <w:tcBorders>
              <w:tl2br w:val="nil"/>
              <w:tr2bl w:val="nil"/>
            </w:tcBorders>
            <w:vAlign w:val="center"/>
          </w:tcPr>
          <w:p>
            <w:pPr>
              <w:pStyle w:val="238"/>
              <w:keepNext w:val="0"/>
              <w:keepLines w:val="0"/>
              <w:pageBreakBefore w:val="0"/>
              <w:kinsoku/>
              <w:wordWrap/>
              <w:overflowPunct/>
              <w:topLinePunct w:val="0"/>
              <w:bidi w:val="0"/>
              <w:adjustRightInd/>
              <w:snapToGrid/>
              <w:spacing w:line="240" w:lineRule="auto"/>
              <w:ind w:firstLine="0" w:firstLineChars="0"/>
              <w:jc w:val="center"/>
              <w:rPr>
                <w:rFonts w:ascii="Times New Roman" w:eastAsia="宋体" w:cs="宋体"/>
                <w:color w:val="auto"/>
                <w:sz w:val="21"/>
                <w:szCs w:val="21"/>
              </w:rPr>
            </w:pPr>
            <w:r>
              <w:rPr>
                <w:rFonts w:ascii="Times New Roman"/>
                <w:color w:val="auto"/>
                <w:sz w:val="21"/>
                <w:szCs w:val="21"/>
              </w:rPr>
              <w:t>32</w:t>
            </w:r>
          </w:p>
        </w:tc>
        <w:tc>
          <w:tcPr>
            <w:tcW w:w="108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35</w:t>
            </w:r>
          </w:p>
        </w:tc>
        <w:tc>
          <w:tcPr>
            <w:tcW w:w="1151" w:type="dxa"/>
            <w:tcBorders>
              <w:tl2br w:val="nil"/>
              <w:tr2bl w:val="nil"/>
            </w:tcBorders>
            <w:vAlign w:val="center"/>
          </w:tcPr>
          <w:p>
            <w:pPr>
              <w:keepNext w:val="0"/>
              <w:keepLines w:val="0"/>
              <w:widowControl/>
              <w:suppressLineNumbers w:val="0"/>
              <w:jc w:val="center"/>
              <w:textAlignment w:val="center"/>
              <w:rPr>
                <w:rFonts w:ascii="Times New Roman" w:eastAsia="宋体" w:cs="宋体"/>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91.4</w:t>
            </w:r>
          </w:p>
        </w:tc>
        <w:tc>
          <w:tcPr>
            <w:tcW w:w="75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824"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CO</w:t>
            </w:r>
          </w:p>
        </w:tc>
        <w:tc>
          <w:tcPr>
            <w:tcW w:w="3095"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24小时平均第95百分位数</w:t>
            </w:r>
          </w:p>
        </w:tc>
        <w:tc>
          <w:tcPr>
            <w:tcW w:w="1170" w:type="dxa"/>
            <w:tcBorders>
              <w:tl2br w:val="nil"/>
              <w:tr2bl w:val="nil"/>
            </w:tcBorders>
            <w:vAlign w:val="center"/>
          </w:tcPr>
          <w:p>
            <w:pPr>
              <w:pStyle w:val="238"/>
              <w:keepNext w:val="0"/>
              <w:keepLines w:val="0"/>
              <w:pageBreakBefore w:val="0"/>
              <w:kinsoku/>
              <w:wordWrap/>
              <w:overflowPunct/>
              <w:topLinePunct w:val="0"/>
              <w:bidi w:val="0"/>
              <w:adjustRightInd/>
              <w:snapToGrid/>
              <w:spacing w:line="240" w:lineRule="auto"/>
              <w:ind w:firstLine="0" w:firstLineChars="0"/>
              <w:jc w:val="center"/>
              <w:rPr>
                <w:rFonts w:ascii="Times New Roman" w:eastAsia="宋体" w:cs="宋体"/>
                <w:color w:val="auto"/>
                <w:sz w:val="21"/>
                <w:szCs w:val="21"/>
              </w:rPr>
            </w:pPr>
            <w:r>
              <w:rPr>
                <w:rFonts w:ascii="Times New Roman"/>
                <w:color w:val="auto"/>
                <w:sz w:val="21"/>
                <w:szCs w:val="21"/>
              </w:rPr>
              <w:t>1000</w:t>
            </w:r>
          </w:p>
        </w:tc>
        <w:tc>
          <w:tcPr>
            <w:tcW w:w="108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4000</w:t>
            </w:r>
          </w:p>
        </w:tc>
        <w:tc>
          <w:tcPr>
            <w:tcW w:w="1151" w:type="dxa"/>
            <w:tcBorders>
              <w:tl2br w:val="nil"/>
              <w:tr2bl w:val="nil"/>
            </w:tcBorders>
            <w:vAlign w:val="center"/>
          </w:tcPr>
          <w:p>
            <w:pPr>
              <w:keepNext w:val="0"/>
              <w:keepLines w:val="0"/>
              <w:widowControl/>
              <w:suppressLineNumbers w:val="0"/>
              <w:jc w:val="center"/>
              <w:textAlignment w:val="center"/>
              <w:rPr>
                <w:rFonts w:ascii="Times New Roman" w:eastAsia="宋体" w:cs="宋体"/>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25.0</w:t>
            </w:r>
          </w:p>
        </w:tc>
        <w:tc>
          <w:tcPr>
            <w:tcW w:w="75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824"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O</w:t>
            </w:r>
            <w:r>
              <w:rPr>
                <w:rFonts w:hint="eastAsia" w:ascii="Times New Roman" w:eastAsia="宋体" w:cs="宋体"/>
                <w:color w:val="auto"/>
                <w:sz w:val="21"/>
                <w:szCs w:val="21"/>
                <w:vertAlign w:val="subscript"/>
              </w:rPr>
              <w:t>3</w:t>
            </w:r>
          </w:p>
        </w:tc>
        <w:tc>
          <w:tcPr>
            <w:tcW w:w="3095"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最大8小时平均第90百分位数</w:t>
            </w:r>
          </w:p>
        </w:tc>
        <w:tc>
          <w:tcPr>
            <w:tcW w:w="1170" w:type="dxa"/>
            <w:tcBorders>
              <w:tl2br w:val="nil"/>
              <w:tr2bl w:val="nil"/>
            </w:tcBorders>
            <w:vAlign w:val="center"/>
          </w:tcPr>
          <w:p>
            <w:pPr>
              <w:pStyle w:val="238"/>
              <w:keepNext w:val="0"/>
              <w:keepLines w:val="0"/>
              <w:pageBreakBefore w:val="0"/>
              <w:kinsoku/>
              <w:wordWrap/>
              <w:overflowPunct/>
              <w:topLinePunct w:val="0"/>
              <w:bidi w:val="0"/>
              <w:adjustRightInd/>
              <w:snapToGrid/>
              <w:spacing w:line="240" w:lineRule="auto"/>
              <w:ind w:firstLine="0" w:firstLineChars="0"/>
              <w:jc w:val="center"/>
              <w:rPr>
                <w:rFonts w:ascii="Times New Roman" w:eastAsia="宋体" w:cs="宋体"/>
                <w:color w:val="auto"/>
                <w:sz w:val="21"/>
                <w:szCs w:val="21"/>
              </w:rPr>
            </w:pPr>
            <w:r>
              <w:rPr>
                <w:rFonts w:ascii="Times New Roman"/>
                <w:color w:val="auto"/>
                <w:sz w:val="21"/>
                <w:szCs w:val="21"/>
              </w:rPr>
              <w:t>135</w:t>
            </w:r>
          </w:p>
        </w:tc>
        <w:tc>
          <w:tcPr>
            <w:tcW w:w="108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160</w:t>
            </w:r>
          </w:p>
        </w:tc>
        <w:tc>
          <w:tcPr>
            <w:tcW w:w="1151" w:type="dxa"/>
            <w:tcBorders>
              <w:tl2br w:val="nil"/>
              <w:tr2bl w:val="nil"/>
            </w:tcBorders>
            <w:vAlign w:val="center"/>
          </w:tcPr>
          <w:p>
            <w:pPr>
              <w:keepNext w:val="0"/>
              <w:keepLines w:val="0"/>
              <w:widowControl/>
              <w:suppressLineNumbers w:val="0"/>
              <w:jc w:val="center"/>
              <w:textAlignment w:val="center"/>
              <w:rPr>
                <w:rFonts w:ascii="Times New Roman" w:eastAsia="宋体" w:cs="宋体"/>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84.4</w:t>
            </w:r>
          </w:p>
        </w:tc>
        <w:tc>
          <w:tcPr>
            <w:tcW w:w="750" w:type="dxa"/>
            <w:tcBorders>
              <w:tl2br w:val="nil"/>
              <w:tr2bl w:val="nil"/>
            </w:tcBorders>
            <w:vAlign w:val="center"/>
          </w:tcPr>
          <w:p>
            <w:pPr>
              <w:widowControl/>
              <w:snapToGrid w:val="0"/>
              <w:jc w:val="center"/>
              <w:rPr>
                <w:rFonts w:ascii="Times New Roman" w:eastAsia="宋体" w:cs="宋体"/>
                <w:color w:val="auto"/>
                <w:sz w:val="21"/>
                <w:szCs w:val="21"/>
              </w:rPr>
            </w:pPr>
            <w:r>
              <w:rPr>
                <w:rFonts w:hint="eastAsia" w:ascii="Times New Roman" w:eastAsia="宋体" w:cs="宋体"/>
                <w:color w:val="auto"/>
                <w:sz w:val="21"/>
                <w:szCs w:val="21"/>
              </w:rPr>
              <w:t>达标</w:t>
            </w:r>
          </w:p>
        </w:tc>
      </w:tr>
    </w:tbl>
    <w:p>
      <w:pPr>
        <w:spacing w:line="360" w:lineRule="auto"/>
        <w:ind w:firstLine="539"/>
        <w:rPr>
          <w:rFonts w:ascii="Times New Roman" w:eastAsia="宋体"/>
          <w:color w:val="auto"/>
          <w:szCs w:val="24"/>
        </w:rPr>
      </w:pPr>
      <w:r>
        <w:rPr>
          <w:rFonts w:hint="eastAsia" w:ascii="Times New Roman" w:eastAsia="宋体"/>
          <w:color w:val="auto"/>
          <w:szCs w:val="24"/>
        </w:rPr>
        <w:t>根据上表中对岳阳县常规空气自动监测点位202</w:t>
      </w:r>
      <w:r>
        <w:rPr>
          <w:rFonts w:hint="eastAsia" w:ascii="Times New Roman" w:eastAsia="宋体"/>
          <w:color w:val="auto"/>
          <w:szCs w:val="24"/>
          <w:lang w:val="en-US" w:eastAsia="zh-CN"/>
        </w:rPr>
        <w:t>2</w:t>
      </w:r>
      <w:r>
        <w:rPr>
          <w:rFonts w:hint="eastAsia" w:ascii="Times New Roman" w:eastAsia="宋体"/>
          <w:color w:val="auto"/>
          <w:szCs w:val="24"/>
        </w:rPr>
        <w:t>年年均值分析可知，本项目所在行政区岳阳县判定为空气环境达标区域。</w:t>
      </w:r>
    </w:p>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4.2.2</w:t>
      </w:r>
      <w:bookmarkEnd w:id="364"/>
      <w:r>
        <w:rPr>
          <w:rFonts w:ascii="Times New Roman" w:eastAsia="宋体"/>
          <w:b/>
          <w:bCs/>
          <w:color w:val="auto"/>
          <w:kern w:val="2"/>
          <w:sz w:val="24"/>
        </w:rPr>
        <w:t>其他污染物环境质量现状</w:t>
      </w:r>
    </w:p>
    <w:p>
      <w:pPr>
        <w:spacing w:line="360" w:lineRule="auto"/>
        <w:ind w:firstLine="482"/>
        <w:rPr>
          <w:rFonts w:ascii="Times New Roman" w:eastAsia="宋体"/>
          <w:color w:val="auto"/>
        </w:rPr>
      </w:pPr>
      <w:r>
        <w:rPr>
          <w:rFonts w:hint="eastAsia" w:ascii="Times New Roman" w:eastAsia="宋体"/>
          <w:color w:val="auto"/>
        </w:rPr>
        <w:t>（1）</w:t>
      </w:r>
      <w:r>
        <w:rPr>
          <w:rFonts w:ascii="Times New Roman" w:eastAsia="宋体"/>
          <w:color w:val="auto"/>
        </w:rPr>
        <w:t>监测布点及监测项目</w:t>
      </w:r>
    </w:p>
    <w:p>
      <w:pPr>
        <w:spacing w:line="360" w:lineRule="auto"/>
        <w:ind w:firstLine="539"/>
        <w:rPr>
          <w:rFonts w:ascii="Times New Roman" w:eastAsia="宋体"/>
          <w:color w:val="auto"/>
          <w:szCs w:val="24"/>
        </w:rPr>
      </w:pPr>
      <w:r>
        <w:rPr>
          <w:rFonts w:ascii="Times New Roman" w:eastAsia="宋体"/>
          <w:color w:val="auto"/>
          <w:szCs w:val="24"/>
        </w:rPr>
        <w:t>环境空气质量现状监测布点结合区域环境功能和主导风向等因素，共设置2个大气监测点，监测点位置见项目评价范围图见表</w:t>
      </w:r>
      <w:r>
        <w:rPr>
          <w:rFonts w:hint="eastAsia" w:ascii="Times New Roman" w:eastAsia="宋体"/>
          <w:color w:val="auto"/>
          <w:szCs w:val="24"/>
        </w:rPr>
        <w:t>4</w:t>
      </w:r>
      <w:r>
        <w:rPr>
          <w:rFonts w:ascii="Times New Roman" w:eastAsia="宋体"/>
          <w:color w:val="auto"/>
          <w:szCs w:val="24"/>
        </w:rPr>
        <w:t>.2-2、图</w:t>
      </w:r>
      <w:r>
        <w:rPr>
          <w:rFonts w:hint="eastAsia" w:ascii="Times New Roman" w:eastAsia="宋体"/>
          <w:color w:val="auto"/>
          <w:szCs w:val="24"/>
        </w:rPr>
        <w:t>4</w:t>
      </w:r>
      <w:r>
        <w:rPr>
          <w:rFonts w:ascii="Times New Roman" w:eastAsia="宋体"/>
          <w:color w:val="auto"/>
          <w:szCs w:val="24"/>
        </w:rPr>
        <w:t>.2</w:t>
      </w:r>
      <w:r>
        <w:rPr>
          <w:rFonts w:hint="eastAsia" w:ascii="Times New Roman" w:eastAsia="宋体"/>
          <w:color w:val="auto"/>
          <w:szCs w:val="24"/>
        </w:rPr>
        <w:t>-</w:t>
      </w:r>
      <w:r>
        <w:rPr>
          <w:rFonts w:ascii="Times New Roman" w:eastAsia="宋体"/>
          <w:color w:val="auto"/>
          <w:szCs w:val="24"/>
        </w:rPr>
        <w:t>1。</w:t>
      </w:r>
    </w:p>
    <w:p>
      <w:pPr>
        <w:spacing w:line="360" w:lineRule="auto"/>
        <w:ind w:firstLine="482"/>
        <w:rPr>
          <w:rFonts w:ascii="Times New Roman" w:eastAsia="宋体"/>
          <w:color w:val="auto"/>
          <w:szCs w:val="24"/>
        </w:rPr>
      </w:pPr>
      <w:r>
        <w:rPr>
          <w:rFonts w:ascii="Times New Roman" w:eastAsia="宋体"/>
          <w:color w:val="auto"/>
          <w:szCs w:val="24"/>
        </w:rPr>
        <w:t>环境空气监测项目为：TSP、H</w:t>
      </w:r>
      <w:r>
        <w:rPr>
          <w:rFonts w:ascii="Times New Roman" w:eastAsia="宋体"/>
          <w:color w:val="auto"/>
          <w:szCs w:val="24"/>
          <w:vertAlign w:val="subscript"/>
        </w:rPr>
        <w:t>2</w:t>
      </w:r>
      <w:r>
        <w:rPr>
          <w:rFonts w:ascii="Times New Roman" w:eastAsia="宋体"/>
          <w:color w:val="auto"/>
          <w:szCs w:val="24"/>
        </w:rPr>
        <w:t>S、NH</w:t>
      </w:r>
      <w:r>
        <w:rPr>
          <w:rFonts w:ascii="Times New Roman" w:eastAsia="宋体"/>
          <w:color w:val="auto"/>
          <w:szCs w:val="24"/>
          <w:vertAlign w:val="subscript"/>
        </w:rPr>
        <w:t>3</w:t>
      </w:r>
      <w:r>
        <w:rPr>
          <w:rFonts w:hint="eastAsia" w:ascii="Times New Roman" w:eastAsia="宋体"/>
          <w:color w:val="auto"/>
          <w:szCs w:val="24"/>
        </w:rPr>
        <w:t>、臭气浓度</w:t>
      </w:r>
      <w:r>
        <w:rPr>
          <w:rFonts w:ascii="Times New Roman" w:eastAsia="宋体"/>
          <w:color w:val="auto"/>
          <w:szCs w:val="24"/>
        </w:rPr>
        <w:t>，</w:t>
      </w:r>
      <w:r>
        <w:rPr>
          <w:rFonts w:ascii="Times New Roman" w:eastAsia="宋体"/>
          <w:color w:val="auto"/>
        </w:rPr>
        <w:t>并同步测定风速、风向、气压和气温等气象参数。</w:t>
      </w:r>
    </w:p>
    <w:p>
      <w:pPr>
        <w:spacing w:beforeLines="50" w:line="0" w:lineRule="atLeast"/>
        <w:jc w:val="center"/>
        <w:rPr>
          <w:rFonts w:ascii="Times New Roman" w:eastAsia="宋体"/>
          <w:b/>
          <w:bCs/>
          <w:color w:val="auto"/>
          <w:sz w:val="21"/>
          <w:szCs w:val="21"/>
        </w:rPr>
      </w:pPr>
      <w:bookmarkStart w:id="365" w:name="OLE_LINK618"/>
      <w:r>
        <w:rPr>
          <w:rFonts w:ascii="Times New Roman" w:eastAsia="宋体"/>
          <w:b/>
          <w:bCs/>
          <w:color w:val="auto"/>
          <w:sz w:val="21"/>
          <w:szCs w:val="21"/>
        </w:rPr>
        <w:t>表</w:t>
      </w:r>
      <w:r>
        <w:rPr>
          <w:rFonts w:hint="eastAsia" w:ascii="Times New Roman" w:eastAsia="宋体"/>
          <w:b/>
          <w:bCs/>
          <w:color w:val="auto"/>
          <w:sz w:val="21"/>
          <w:szCs w:val="21"/>
        </w:rPr>
        <w:t>4</w:t>
      </w:r>
      <w:r>
        <w:rPr>
          <w:rFonts w:ascii="Times New Roman" w:eastAsia="宋体"/>
          <w:b/>
          <w:bCs/>
          <w:color w:val="auto"/>
          <w:sz w:val="21"/>
          <w:szCs w:val="21"/>
        </w:rPr>
        <w:t>.2-2环境空气监测点位表</w:t>
      </w:r>
      <w:bookmarkEnd w:id="365"/>
    </w:p>
    <w:tbl>
      <w:tblPr>
        <w:tblStyle w:val="4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71"/>
        <w:gridCol w:w="2026"/>
        <w:gridCol w:w="1286"/>
        <w:gridCol w:w="1755"/>
        <w:gridCol w:w="16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40"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监测点位名称</w:t>
            </w:r>
          </w:p>
        </w:tc>
        <w:tc>
          <w:tcPr>
            <w:tcW w:w="1189"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坐标</w:t>
            </w:r>
          </w:p>
        </w:tc>
        <w:tc>
          <w:tcPr>
            <w:tcW w:w="755"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监测因子</w:t>
            </w:r>
          </w:p>
        </w:tc>
        <w:tc>
          <w:tcPr>
            <w:tcW w:w="1030"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相对厂界方位</w:t>
            </w:r>
          </w:p>
        </w:tc>
        <w:tc>
          <w:tcPr>
            <w:tcW w:w="983"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相对厂界距离/m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40"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w:t>
            </w:r>
          </w:p>
        </w:tc>
        <w:tc>
          <w:tcPr>
            <w:tcW w:w="1189" w:type="pct"/>
            <w:tcBorders>
              <w:tl2br w:val="nil"/>
              <w:tr2bl w:val="nil"/>
            </w:tcBorders>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E：</w:t>
            </w:r>
            <w:r>
              <w:rPr>
                <w:rFonts w:ascii="Times New Roman" w:eastAsia="宋体"/>
                <w:color w:val="auto"/>
                <w:sz w:val="21"/>
                <w:szCs w:val="21"/>
                <w:shd w:val="clear" w:color="auto" w:fill="FFFFFF"/>
              </w:rPr>
              <w:t>113.178652</w:t>
            </w:r>
          </w:p>
          <w:p>
            <w:pPr>
              <w:widowControl/>
              <w:jc w:val="center"/>
              <w:textAlignment w:val="center"/>
              <w:rPr>
                <w:rFonts w:ascii="Times New Roman" w:eastAsia="宋体"/>
                <w:color w:val="auto"/>
                <w:sz w:val="21"/>
                <w:szCs w:val="21"/>
              </w:rPr>
            </w:pPr>
            <w:r>
              <w:rPr>
                <w:rFonts w:ascii="Times New Roman" w:eastAsia="宋体"/>
                <w:color w:val="auto"/>
                <w:sz w:val="21"/>
                <w:szCs w:val="21"/>
              </w:rPr>
              <w:t>N：</w:t>
            </w:r>
            <w:r>
              <w:rPr>
                <w:rFonts w:ascii="Times New Roman" w:eastAsia="宋体"/>
                <w:color w:val="auto"/>
                <w:sz w:val="21"/>
                <w:szCs w:val="21"/>
                <w:shd w:val="clear" w:color="auto" w:fill="FFFFFF"/>
              </w:rPr>
              <w:t>29.094973</w:t>
            </w:r>
          </w:p>
        </w:tc>
        <w:tc>
          <w:tcPr>
            <w:tcW w:w="755" w:type="pct"/>
            <w:vMerge w:val="restar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TSP、</w:t>
            </w:r>
            <w:r>
              <w:rPr>
                <w:rFonts w:ascii="Times New Roman" w:eastAsia="宋体"/>
                <w:color w:val="auto"/>
                <w:sz w:val="21"/>
                <w:szCs w:val="21"/>
              </w:rPr>
              <w:t>H</w:t>
            </w:r>
            <w:r>
              <w:rPr>
                <w:rFonts w:ascii="Times New Roman" w:eastAsia="宋体"/>
                <w:color w:val="auto"/>
                <w:sz w:val="21"/>
                <w:szCs w:val="21"/>
                <w:vertAlign w:val="subscript"/>
              </w:rPr>
              <w:t>2</w:t>
            </w:r>
            <w:r>
              <w:rPr>
                <w:rFonts w:ascii="Times New Roman" w:eastAsia="宋体"/>
                <w:color w:val="auto"/>
                <w:sz w:val="21"/>
                <w:szCs w:val="21"/>
              </w:rPr>
              <w:t>S、NH</w:t>
            </w:r>
            <w:r>
              <w:rPr>
                <w:rFonts w:ascii="Times New Roman" w:eastAsia="宋体"/>
                <w:color w:val="auto"/>
                <w:sz w:val="21"/>
                <w:szCs w:val="21"/>
                <w:vertAlign w:val="subscript"/>
              </w:rPr>
              <w:t>3</w:t>
            </w:r>
            <w:r>
              <w:rPr>
                <w:rFonts w:hint="eastAsia" w:ascii="Times New Roman" w:eastAsia="宋体"/>
                <w:color w:val="auto"/>
                <w:sz w:val="21"/>
                <w:szCs w:val="21"/>
              </w:rPr>
              <w:t>、臭气浓度</w:t>
            </w:r>
          </w:p>
        </w:tc>
        <w:tc>
          <w:tcPr>
            <w:tcW w:w="1030"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项目区</w:t>
            </w:r>
          </w:p>
        </w:tc>
        <w:tc>
          <w:tcPr>
            <w:tcW w:w="983"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40"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w:t>
            </w:r>
          </w:p>
        </w:tc>
        <w:tc>
          <w:tcPr>
            <w:tcW w:w="1189" w:type="pct"/>
            <w:tcBorders>
              <w:tl2br w:val="nil"/>
              <w:tr2bl w:val="nil"/>
            </w:tcBorders>
            <w:vAlign w:val="center"/>
          </w:tcPr>
          <w:p>
            <w:pPr>
              <w:widowControl/>
              <w:jc w:val="center"/>
              <w:textAlignment w:val="center"/>
              <w:rPr>
                <w:rFonts w:ascii="Times New Roman" w:eastAsia="宋体"/>
                <w:color w:val="auto"/>
                <w:sz w:val="21"/>
                <w:szCs w:val="21"/>
                <w:shd w:val="clear" w:color="auto" w:fill="FFFFFF"/>
              </w:rPr>
            </w:pPr>
            <w:r>
              <w:rPr>
                <w:rFonts w:ascii="Times New Roman" w:eastAsia="宋体"/>
                <w:color w:val="auto"/>
                <w:sz w:val="21"/>
                <w:szCs w:val="21"/>
              </w:rPr>
              <w:t>E</w:t>
            </w:r>
            <w:r>
              <w:rPr>
                <w:rFonts w:ascii="Times New Roman" w:eastAsia="宋体"/>
                <w:color w:val="auto"/>
                <w:sz w:val="21"/>
                <w:szCs w:val="21"/>
                <w:shd w:val="clear" w:color="auto" w:fill="FFFFFF"/>
              </w:rPr>
              <w:t>：</w:t>
            </w:r>
            <w:r>
              <w:rPr>
                <w:rFonts w:hint="eastAsia" w:ascii="Times New Roman" w:eastAsia="宋体"/>
                <w:color w:val="auto"/>
                <w:sz w:val="21"/>
                <w:szCs w:val="21"/>
                <w:shd w:val="clear" w:color="auto" w:fill="FFFFFF"/>
              </w:rPr>
              <w:t>113.174639</w:t>
            </w:r>
          </w:p>
          <w:p>
            <w:pPr>
              <w:widowControl/>
              <w:jc w:val="center"/>
              <w:textAlignment w:val="center"/>
              <w:rPr>
                <w:rFonts w:ascii="Times New Roman" w:eastAsia="宋体"/>
                <w:color w:val="auto"/>
                <w:sz w:val="21"/>
                <w:szCs w:val="21"/>
                <w:highlight w:val="yellow"/>
              </w:rPr>
            </w:pPr>
            <w:r>
              <w:rPr>
                <w:rFonts w:ascii="Times New Roman" w:eastAsia="宋体"/>
                <w:color w:val="auto"/>
                <w:sz w:val="21"/>
                <w:szCs w:val="21"/>
                <w:shd w:val="clear" w:color="auto" w:fill="FFFFFF"/>
              </w:rPr>
              <w:t>N：</w:t>
            </w:r>
            <w:r>
              <w:rPr>
                <w:rFonts w:hint="eastAsia" w:ascii="Times New Roman" w:eastAsia="宋体"/>
                <w:color w:val="auto"/>
                <w:sz w:val="21"/>
                <w:szCs w:val="21"/>
                <w:shd w:val="clear" w:color="auto" w:fill="FFFFFF"/>
              </w:rPr>
              <w:t>29.090038</w:t>
            </w:r>
          </w:p>
        </w:tc>
        <w:tc>
          <w:tcPr>
            <w:tcW w:w="755" w:type="pct"/>
            <w:vMerge w:val="continue"/>
            <w:tcBorders>
              <w:tl2br w:val="nil"/>
              <w:tr2bl w:val="nil"/>
            </w:tcBorders>
            <w:vAlign w:val="center"/>
          </w:tcPr>
          <w:p>
            <w:pPr>
              <w:jc w:val="center"/>
              <w:rPr>
                <w:rFonts w:ascii="Times New Roman" w:eastAsia="宋体"/>
                <w:color w:val="auto"/>
                <w:sz w:val="21"/>
                <w:szCs w:val="21"/>
              </w:rPr>
            </w:pPr>
          </w:p>
        </w:tc>
        <w:tc>
          <w:tcPr>
            <w:tcW w:w="1030"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位于</w:t>
            </w:r>
            <w:r>
              <w:rPr>
                <w:rFonts w:hint="eastAsia" w:ascii="Times New Roman" w:eastAsia="宋体"/>
                <w:color w:val="auto"/>
                <w:sz w:val="21"/>
                <w:szCs w:val="21"/>
              </w:rPr>
              <w:t>场区西</w:t>
            </w:r>
            <w:r>
              <w:rPr>
                <w:rFonts w:ascii="Times New Roman" w:eastAsia="宋体"/>
                <w:color w:val="auto"/>
                <w:sz w:val="21"/>
                <w:szCs w:val="21"/>
              </w:rPr>
              <w:t>南侧</w:t>
            </w:r>
            <w:r>
              <w:rPr>
                <w:rFonts w:hint="eastAsia" w:ascii="Times New Roman" w:eastAsia="宋体"/>
                <w:color w:val="auto"/>
                <w:sz w:val="21"/>
                <w:szCs w:val="21"/>
              </w:rPr>
              <w:t>居民</w:t>
            </w:r>
          </w:p>
        </w:tc>
        <w:tc>
          <w:tcPr>
            <w:tcW w:w="983"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584m</w:t>
            </w:r>
          </w:p>
        </w:tc>
      </w:tr>
    </w:tbl>
    <w:p>
      <w:pPr>
        <w:jc w:val="left"/>
        <w:rPr>
          <w:color w:val="auto"/>
        </w:rPr>
        <w:sectPr>
          <w:pgSz w:w="11906" w:h="16838"/>
          <w:pgMar w:top="1440" w:right="1803" w:bottom="1440" w:left="1803" w:header="850" w:footer="992" w:gutter="0"/>
          <w:pgNumType w:fmt="decimal"/>
          <w:cols w:space="720" w:num="1"/>
          <w:docGrid w:type="linesAndChars" w:linePitch="319" w:charSpace="1724"/>
        </w:sectPr>
      </w:pPr>
    </w:p>
    <w:p>
      <w:pPr>
        <w:jc w:val="center"/>
        <w:rPr>
          <w:rFonts w:ascii="Times New Roman" w:eastAsia="宋体"/>
          <w:b/>
          <w:bCs/>
          <w:color w:val="auto"/>
          <w:sz w:val="21"/>
          <w:szCs w:val="21"/>
        </w:rPr>
      </w:pPr>
      <w:r>
        <w:rPr>
          <w:rFonts w:hint="eastAsia" w:ascii="Times New Roman" w:hAnsi="Times New Roman" w:eastAsia="宋体" w:cs="Times New Roman"/>
          <w:b/>
          <w:sz w:val="28"/>
          <w:szCs w:val="28"/>
          <w:lang w:val="en-US" w:eastAsia="zh-CN"/>
        </w:rPr>
        <w:drawing>
          <wp:anchor distT="0" distB="0" distL="114300" distR="114300" simplePos="0" relativeHeight="251718656" behindDoc="0" locked="0" layoutInCell="1" allowOverlap="1">
            <wp:simplePos x="0" y="0"/>
            <wp:positionH relativeFrom="column">
              <wp:posOffset>8026400</wp:posOffset>
            </wp:positionH>
            <wp:positionV relativeFrom="paragraph">
              <wp:posOffset>71120</wp:posOffset>
            </wp:positionV>
            <wp:extent cx="360680" cy="645160"/>
            <wp:effectExtent l="0" t="0" r="7620" b="2540"/>
            <wp:wrapNone/>
            <wp:docPr id="125" name="图片 3" descr="a24107915dac3cc3baa6c1c4471a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3" descr="a24107915dac3cc3baa6c1c4471a862"/>
                    <pic:cNvPicPr>
                      <a:picLocks noChangeAspect="1"/>
                    </pic:cNvPicPr>
                  </pic:nvPicPr>
                  <pic:blipFill>
                    <a:blip r:embed="rId16"/>
                    <a:stretch>
                      <a:fillRect/>
                    </a:stretch>
                  </pic:blipFill>
                  <pic:spPr>
                    <a:xfrm>
                      <a:off x="0" y="0"/>
                      <a:ext cx="360680" cy="645160"/>
                    </a:xfrm>
                    <a:prstGeom prst="rect">
                      <a:avLst/>
                    </a:prstGeom>
                    <a:noFill/>
                    <a:ln>
                      <a:noFill/>
                    </a:ln>
                  </pic:spPr>
                </pic:pic>
              </a:graphicData>
            </a:graphic>
          </wp:anchor>
        </w:drawing>
      </w:r>
      <w:r>
        <w:rPr>
          <w:color w:val="auto"/>
        </w:rPr>
        <w:drawing>
          <wp:anchor distT="0" distB="0" distL="114300" distR="114300" simplePos="0" relativeHeight="251709440" behindDoc="1" locked="0" layoutInCell="1" allowOverlap="1">
            <wp:simplePos x="0" y="0"/>
            <wp:positionH relativeFrom="column">
              <wp:posOffset>107950</wp:posOffset>
            </wp:positionH>
            <wp:positionV relativeFrom="paragraph">
              <wp:posOffset>61595</wp:posOffset>
            </wp:positionV>
            <wp:extent cx="8303895" cy="4777105"/>
            <wp:effectExtent l="0" t="0" r="1905" b="10795"/>
            <wp:wrapNone/>
            <wp:docPr id="3" name="图片 3" descr="屏幕截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屏幕截图"/>
                    <pic:cNvPicPr>
                      <a:picLocks noChangeAspect="1"/>
                    </pic:cNvPicPr>
                  </pic:nvPicPr>
                  <pic:blipFill>
                    <a:blip r:embed="rId32"/>
                    <a:stretch>
                      <a:fillRect/>
                    </a:stretch>
                  </pic:blipFill>
                  <pic:spPr>
                    <a:xfrm>
                      <a:off x="0" y="0"/>
                      <a:ext cx="8303895" cy="4777105"/>
                    </a:xfrm>
                    <a:prstGeom prst="rect">
                      <a:avLst/>
                    </a:prstGeom>
                  </pic:spPr>
                </pic:pic>
              </a:graphicData>
            </a:graphic>
          </wp:anchor>
        </w:drawing>
      </w: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r>
        <w:rPr>
          <w:color w:val="auto"/>
          <w:sz w:val="21"/>
        </w:rPr>
        <mc:AlternateContent>
          <mc:Choice Requires="wps">
            <w:drawing>
              <wp:anchor distT="0" distB="0" distL="114300" distR="114300" simplePos="0" relativeHeight="251706368" behindDoc="0" locked="0" layoutInCell="1" allowOverlap="1">
                <wp:simplePos x="0" y="0"/>
                <wp:positionH relativeFrom="column">
                  <wp:posOffset>6858000</wp:posOffset>
                </wp:positionH>
                <wp:positionV relativeFrom="paragraph">
                  <wp:posOffset>216535</wp:posOffset>
                </wp:positionV>
                <wp:extent cx="1552575" cy="1354455"/>
                <wp:effectExtent l="4445" t="4445" r="5080" b="12700"/>
                <wp:wrapNone/>
                <wp:docPr id="105" name="文本框 480"/>
                <wp:cNvGraphicFramePr/>
                <a:graphic xmlns:a="http://schemas.openxmlformats.org/drawingml/2006/main">
                  <a:graphicData uri="http://schemas.microsoft.com/office/word/2010/wordprocessingShape">
                    <wps:wsp>
                      <wps:cNvSpPr txBox="1"/>
                      <wps:spPr>
                        <a:xfrm>
                          <a:off x="6968490" y="4516120"/>
                          <a:ext cx="1552575" cy="135445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pStyle w:val="231"/>
                              <w:spacing w:line="0" w:lineRule="atLeast"/>
                              <w:ind w:left="0" w:leftChars="0" w:firstLine="0" w:firstLineChars="0"/>
                              <w:rPr>
                                <w:sz w:val="21"/>
                                <w:szCs w:val="20"/>
                              </w:rPr>
                            </w:pPr>
                            <w:r>
                              <w:drawing>
                                <wp:inline distT="0" distB="0" distL="114300" distR="114300">
                                  <wp:extent cx="121920" cy="147320"/>
                                  <wp:effectExtent l="0" t="0" r="11430" b="5080"/>
                                  <wp:docPr id="1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8"/>
                                          <pic:cNvPicPr>
                                            <a:picLocks noChangeAspect="1"/>
                                          </pic:cNvPicPr>
                                        </pic:nvPicPr>
                                        <pic:blipFill>
                                          <a:blip r:embed="rId33"/>
                                          <a:stretch>
                                            <a:fillRect/>
                                          </a:stretch>
                                        </pic:blipFill>
                                        <pic:spPr>
                                          <a:xfrm>
                                            <a:off x="0" y="0"/>
                                            <a:ext cx="121920" cy="147320"/>
                                          </a:xfrm>
                                          <a:prstGeom prst="rect">
                                            <a:avLst/>
                                          </a:prstGeom>
                                          <a:noFill/>
                                          <a:ln>
                                            <a:noFill/>
                                          </a:ln>
                                        </pic:spPr>
                                      </pic:pic>
                                    </a:graphicData>
                                  </a:graphic>
                                </wp:inline>
                              </w:drawing>
                            </w:r>
                            <w:r>
                              <w:rPr>
                                <w:rFonts w:hint="eastAsia"/>
                                <w:sz w:val="21"/>
                                <w:szCs w:val="20"/>
                              </w:rPr>
                              <w:t>：环境空气监测点</w:t>
                            </w:r>
                          </w:p>
                          <w:p>
                            <w:pPr>
                              <w:pStyle w:val="231"/>
                              <w:spacing w:line="0" w:lineRule="atLeast"/>
                              <w:ind w:left="0" w:leftChars="0" w:firstLine="0" w:firstLineChars="0"/>
                              <w:rPr>
                                <w:sz w:val="21"/>
                                <w:szCs w:val="20"/>
                              </w:rPr>
                            </w:pPr>
                            <w:r>
                              <w:drawing>
                                <wp:inline distT="0" distB="0" distL="114300" distR="114300">
                                  <wp:extent cx="142240" cy="107950"/>
                                  <wp:effectExtent l="0" t="0" r="10160" b="6350"/>
                                  <wp:docPr id="12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0"/>
                                          <pic:cNvPicPr>
                                            <a:picLocks noChangeAspect="1"/>
                                          </pic:cNvPicPr>
                                        </pic:nvPicPr>
                                        <pic:blipFill>
                                          <a:blip r:embed="rId34"/>
                                          <a:stretch>
                                            <a:fillRect/>
                                          </a:stretch>
                                        </pic:blipFill>
                                        <pic:spPr>
                                          <a:xfrm>
                                            <a:off x="0" y="0"/>
                                            <a:ext cx="142240" cy="107950"/>
                                          </a:xfrm>
                                          <a:prstGeom prst="rect">
                                            <a:avLst/>
                                          </a:prstGeom>
                                          <a:noFill/>
                                          <a:ln>
                                            <a:noFill/>
                                          </a:ln>
                                        </pic:spPr>
                                      </pic:pic>
                                    </a:graphicData>
                                  </a:graphic>
                                </wp:inline>
                              </w:drawing>
                            </w:r>
                            <w:r>
                              <w:rPr>
                                <w:rFonts w:hint="eastAsia"/>
                                <w:sz w:val="21"/>
                                <w:szCs w:val="20"/>
                              </w:rPr>
                              <w:t>：地表水监测点</w:t>
                            </w:r>
                          </w:p>
                          <w:p>
                            <w:pPr>
                              <w:pStyle w:val="231"/>
                              <w:spacing w:line="0" w:lineRule="atLeast"/>
                              <w:ind w:left="0" w:leftChars="0" w:firstLine="0" w:firstLineChars="0"/>
                              <w:rPr>
                                <w:sz w:val="21"/>
                                <w:szCs w:val="20"/>
                              </w:rPr>
                            </w:pPr>
                            <w:r>
                              <w:drawing>
                                <wp:inline distT="0" distB="0" distL="114300" distR="114300">
                                  <wp:extent cx="118745" cy="118745"/>
                                  <wp:effectExtent l="0" t="0" r="14605" b="14605"/>
                                  <wp:docPr id="12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9"/>
                                          <pic:cNvPicPr>
                                            <a:picLocks noChangeAspect="1"/>
                                          </pic:cNvPicPr>
                                        </pic:nvPicPr>
                                        <pic:blipFill>
                                          <a:blip r:embed="rId35"/>
                                          <a:stretch>
                                            <a:fillRect/>
                                          </a:stretch>
                                        </pic:blipFill>
                                        <pic:spPr>
                                          <a:xfrm>
                                            <a:off x="0" y="0"/>
                                            <a:ext cx="118745" cy="118745"/>
                                          </a:xfrm>
                                          <a:prstGeom prst="rect">
                                            <a:avLst/>
                                          </a:prstGeom>
                                          <a:noFill/>
                                          <a:ln>
                                            <a:noFill/>
                                          </a:ln>
                                        </pic:spPr>
                                      </pic:pic>
                                    </a:graphicData>
                                  </a:graphic>
                                </wp:inline>
                              </w:drawing>
                            </w:r>
                            <w:r>
                              <w:rPr>
                                <w:rFonts w:hint="eastAsia"/>
                                <w:sz w:val="21"/>
                                <w:szCs w:val="20"/>
                              </w:rPr>
                              <w:t>：地下水监测点</w:t>
                            </w:r>
                          </w:p>
                          <w:p>
                            <w:pPr>
                              <w:pStyle w:val="231"/>
                              <w:spacing w:line="0" w:lineRule="atLeast"/>
                              <w:ind w:left="0" w:leftChars="0" w:firstLine="0" w:firstLineChars="0"/>
                              <w:rPr>
                                <w:sz w:val="21"/>
                                <w:szCs w:val="20"/>
                              </w:rPr>
                            </w:pPr>
                            <w:r>
                              <w:drawing>
                                <wp:inline distT="0" distB="0" distL="114300" distR="114300">
                                  <wp:extent cx="147320" cy="163195"/>
                                  <wp:effectExtent l="0" t="0" r="5080" b="8255"/>
                                  <wp:docPr id="1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1"/>
                                          <pic:cNvPicPr>
                                            <a:picLocks noChangeAspect="1"/>
                                          </pic:cNvPicPr>
                                        </pic:nvPicPr>
                                        <pic:blipFill>
                                          <a:blip r:embed="rId36"/>
                                          <a:stretch>
                                            <a:fillRect/>
                                          </a:stretch>
                                        </pic:blipFill>
                                        <pic:spPr>
                                          <a:xfrm>
                                            <a:off x="0" y="0"/>
                                            <a:ext cx="147320" cy="163195"/>
                                          </a:xfrm>
                                          <a:prstGeom prst="rect">
                                            <a:avLst/>
                                          </a:prstGeom>
                                          <a:noFill/>
                                          <a:ln>
                                            <a:noFill/>
                                          </a:ln>
                                        </pic:spPr>
                                      </pic:pic>
                                    </a:graphicData>
                                  </a:graphic>
                                </wp:inline>
                              </w:drawing>
                            </w:r>
                            <w:r>
                              <w:rPr>
                                <w:rFonts w:hint="eastAsia"/>
                                <w:sz w:val="21"/>
                                <w:szCs w:val="20"/>
                              </w:rPr>
                              <w:t>：土壤监测点</w:t>
                            </w:r>
                          </w:p>
                          <w:p>
                            <w:pPr>
                              <w:pStyle w:val="231"/>
                              <w:spacing w:line="0" w:lineRule="atLeast"/>
                              <w:ind w:left="0" w:leftChars="0" w:firstLine="0" w:firstLineChars="0"/>
                            </w:pPr>
                            <w:r>
                              <w:drawing>
                                <wp:inline distT="0" distB="0" distL="114300" distR="114300">
                                  <wp:extent cx="146685" cy="167640"/>
                                  <wp:effectExtent l="0" t="0" r="5715" b="3810"/>
                                  <wp:docPr id="13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2"/>
                                          <pic:cNvPicPr>
                                            <a:picLocks noChangeAspect="1"/>
                                          </pic:cNvPicPr>
                                        </pic:nvPicPr>
                                        <pic:blipFill>
                                          <a:blip r:embed="rId37"/>
                                          <a:stretch>
                                            <a:fillRect/>
                                          </a:stretch>
                                        </pic:blipFill>
                                        <pic:spPr>
                                          <a:xfrm>
                                            <a:off x="0" y="0"/>
                                            <a:ext cx="146685" cy="167640"/>
                                          </a:xfrm>
                                          <a:prstGeom prst="rect">
                                            <a:avLst/>
                                          </a:prstGeom>
                                          <a:noFill/>
                                          <a:ln>
                                            <a:noFill/>
                                          </a:ln>
                                        </pic:spPr>
                                      </pic:pic>
                                    </a:graphicData>
                                  </a:graphic>
                                </wp:inline>
                              </w:drawing>
                            </w:r>
                            <w:r>
                              <w:rPr>
                                <w:rFonts w:hint="eastAsia"/>
                                <w:sz w:val="21"/>
                                <w:szCs w:val="20"/>
                              </w:rPr>
                              <w:t>：噪声监测点</w:t>
                            </w:r>
                          </w:p>
                        </w:txbxContent>
                      </wps:txbx>
                      <wps:bodyPr vert="horz" wrap="square" anchor="t" anchorCtr="0" upright="1"/>
                    </wps:wsp>
                  </a:graphicData>
                </a:graphic>
              </wp:anchor>
            </w:drawing>
          </mc:Choice>
          <mc:Fallback>
            <w:pict>
              <v:shape id="文本框 480" o:spid="_x0000_s1026" o:spt="202" type="#_x0000_t202" style="position:absolute;left:0pt;margin-left:540pt;margin-top:17.05pt;height:106.65pt;width:122.25pt;z-index:251706368;mso-width-relative:page;mso-height-relative:page;" fillcolor="#FFFFFF" filled="t" stroked="t" coordsize="21600,21600" o:gfxdata="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LX8x3aAAAADAEAAA8AAAAAAAAAAQAgAAAAIgAAAGRy&#10;cy9kb3ducmV2LnhtbFBLAQIUABQAAAAIAIdO4kBqTphIPAIAAIgEAAAOAAAAAAAAAAEAIAAAACkB&#10;AABkcnMvZTJvRG9jLnhtbFBLBQYAAAAABgAGAFkBAADXBQAAAAA=&#10;">
                <v:fill on="t" focussize="0,0"/>
                <v:stroke color="#000000" joinstyle="miter"/>
                <v:imagedata o:title=""/>
                <o:lock v:ext="edit" aspectratio="f"/>
                <v:textbox>
                  <w:txbxContent>
                    <w:p>
                      <w:pPr>
                        <w:pStyle w:val="231"/>
                        <w:spacing w:line="0" w:lineRule="atLeast"/>
                        <w:ind w:left="0" w:leftChars="0" w:firstLine="0" w:firstLineChars="0"/>
                        <w:rPr>
                          <w:sz w:val="21"/>
                          <w:szCs w:val="20"/>
                        </w:rPr>
                      </w:pPr>
                      <w:r>
                        <w:drawing>
                          <wp:inline distT="0" distB="0" distL="114300" distR="114300">
                            <wp:extent cx="121920" cy="147320"/>
                            <wp:effectExtent l="0" t="0" r="11430" b="5080"/>
                            <wp:docPr id="1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8"/>
                                    <pic:cNvPicPr>
                                      <a:picLocks noChangeAspect="1"/>
                                    </pic:cNvPicPr>
                                  </pic:nvPicPr>
                                  <pic:blipFill>
                                    <a:blip r:embed="rId33"/>
                                    <a:stretch>
                                      <a:fillRect/>
                                    </a:stretch>
                                  </pic:blipFill>
                                  <pic:spPr>
                                    <a:xfrm>
                                      <a:off x="0" y="0"/>
                                      <a:ext cx="121920" cy="147320"/>
                                    </a:xfrm>
                                    <a:prstGeom prst="rect">
                                      <a:avLst/>
                                    </a:prstGeom>
                                    <a:noFill/>
                                    <a:ln>
                                      <a:noFill/>
                                    </a:ln>
                                  </pic:spPr>
                                </pic:pic>
                              </a:graphicData>
                            </a:graphic>
                          </wp:inline>
                        </w:drawing>
                      </w:r>
                      <w:r>
                        <w:rPr>
                          <w:rFonts w:hint="eastAsia"/>
                          <w:sz w:val="21"/>
                          <w:szCs w:val="20"/>
                        </w:rPr>
                        <w:t>：环境空气监测点</w:t>
                      </w:r>
                    </w:p>
                    <w:p>
                      <w:pPr>
                        <w:pStyle w:val="231"/>
                        <w:spacing w:line="0" w:lineRule="atLeast"/>
                        <w:ind w:left="0" w:leftChars="0" w:firstLine="0" w:firstLineChars="0"/>
                        <w:rPr>
                          <w:sz w:val="21"/>
                          <w:szCs w:val="20"/>
                        </w:rPr>
                      </w:pPr>
                      <w:r>
                        <w:drawing>
                          <wp:inline distT="0" distB="0" distL="114300" distR="114300">
                            <wp:extent cx="142240" cy="107950"/>
                            <wp:effectExtent l="0" t="0" r="10160" b="6350"/>
                            <wp:docPr id="12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0"/>
                                    <pic:cNvPicPr>
                                      <a:picLocks noChangeAspect="1"/>
                                    </pic:cNvPicPr>
                                  </pic:nvPicPr>
                                  <pic:blipFill>
                                    <a:blip r:embed="rId34"/>
                                    <a:stretch>
                                      <a:fillRect/>
                                    </a:stretch>
                                  </pic:blipFill>
                                  <pic:spPr>
                                    <a:xfrm>
                                      <a:off x="0" y="0"/>
                                      <a:ext cx="142240" cy="107950"/>
                                    </a:xfrm>
                                    <a:prstGeom prst="rect">
                                      <a:avLst/>
                                    </a:prstGeom>
                                    <a:noFill/>
                                    <a:ln>
                                      <a:noFill/>
                                    </a:ln>
                                  </pic:spPr>
                                </pic:pic>
                              </a:graphicData>
                            </a:graphic>
                          </wp:inline>
                        </w:drawing>
                      </w:r>
                      <w:r>
                        <w:rPr>
                          <w:rFonts w:hint="eastAsia"/>
                          <w:sz w:val="21"/>
                          <w:szCs w:val="20"/>
                        </w:rPr>
                        <w:t>：地表水监测点</w:t>
                      </w:r>
                    </w:p>
                    <w:p>
                      <w:pPr>
                        <w:pStyle w:val="231"/>
                        <w:spacing w:line="0" w:lineRule="atLeast"/>
                        <w:ind w:left="0" w:leftChars="0" w:firstLine="0" w:firstLineChars="0"/>
                        <w:rPr>
                          <w:sz w:val="21"/>
                          <w:szCs w:val="20"/>
                        </w:rPr>
                      </w:pPr>
                      <w:r>
                        <w:drawing>
                          <wp:inline distT="0" distB="0" distL="114300" distR="114300">
                            <wp:extent cx="118745" cy="118745"/>
                            <wp:effectExtent l="0" t="0" r="14605" b="14605"/>
                            <wp:docPr id="12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9"/>
                                    <pic:cNvPicPr>
                                      <a:picLocks noChangeAspect="1"/>
                                    </pic:cNvPicPr>
                                  </pic:nvPicPr>
                                  <pic:blipFill>
                                    <a:blip r:embed="rId35"/>
                                    <a:stretch>
                                      <a:fillRect/>
                                    </a:stretch>
                                  </pic:blipFill>
                                  <pic:spPr>
                                    <a:xfrm>
                                      <a:off x="0" y="0"/>
                                      <a:ext cx="118745" cy="118745"/>
                                    </a:xfrm>
                                    <a:prstGeom prst="rect">
                                      <a:avLst/>
                                    </a:prstGeom>
                                    <a:noFill/>
                                    <a:ln>
                                      <a:noFill/>
                                    </a:ln>
                                  </pic:spPr>
                                </pic:pic>
                              </a:graphicData>
                            </a:graphic>
                          </wp:inline>
                        </w:drawing>
                      </w:r>
                      <w:r>
                        <w:rPr>
                          <w:rFonts w:hint="eastAsia"/>
                          <w:sz w:val="21"/>
                          <w:szCs w:val="20"/>
                        </w:rPr>
                        <w:t>：地下水监测点</w:t>
                      </w:r>
                    </w:p>
                    <w:p>
                      <w:pPr>
                        <w:pStyle w:val="231"/>
                        <w:spacing w:line="0" w:lineRule="atLeast"/>
                        <w:ind w:left="0" w:leftChars="0" w:firstLine="0" w:firstLineChars="0"/>
                        <w:rPr>
                          <w:sz w:val="21"/>
                          <w:szCs w:val="20"/>
                        </w:rPr>
                      </w:pPr>
                      <w:r>
                        <w:drawing>
                          <wp:inline distT="0" distB="0" distL="114300" distR="114300">
                            <wp:extent cx="147320" cy="163195"/>
                            <wp:effectExtent l="0" t="0" r="5080" b="8255"/>
                            <wp:docPr id="1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1"/>
                                    <pic:cNvPicPr>
                                      <a:picLocks noChangeAspect="1"/>
                                    </pic:cNvPicPr>
                                  </pic:nvPicPr>
                                  <pic:blipFill>
                                    <a:blip r:embed="rId36"/>
                                    <a:stretch>
                                      <a:fillRect/>
                                    </a:stretch>
                                  </pic:blipFill>
                                  <pic:spPr>
                                    <a:xfrm>
                                      <a:off x="0" y="0"/>
                                      <a:ext cx="147320" cy="163195"/>
                                    </a:xfrm>
                                    <a:prstGeom prst="rect">
                                      <a:avLst/>
                                    </a:prstGeom>
                                    <a:noFill/>
                                    <a:ln>
                                      <a:noFill/>
                                    </a:ln>
                                  </pic:spPr>
                                </pic:pic>
                              </a:graphicData>
                            </a:graphic>
                          </wp:inline>
                        </w:drawing>
                      </w:r>
                      <w:r>
                        <w:rPr>
                          <w:rFonts w:hint="eastAsia"/>
                          <w:sz w:val="21"/>
                          <w:szCs w:val="20"/>
                        </w:rPr>
                        <w:t>：土壤监测点</w:t>
                      </w:r>
                    </w:p>
                    <w:p>
                      <w:pPr>
                        <w:pStyle w:val="231"/>
                        <w:spacing w:line="0" w:lineRule="atLeast"/>
                        <w:ind w:left="0" w:leftChars="0" w:firstLine="0" w:firstLineChars="0"/>
                      </w:pPr>
                      <w:r>
                        <w:drawing>
                          <wp:inline distT="0" distB="0" distL="114300" distR="114300">
                            <wp:extent cx="146685" cy="167640"/>
                            <wp:effectExtent l="0" t="0" r="5715" b="3810"/>
                            <wp:docPr id="13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2"/>
                                    <pic:cNvPicPr>
                                      <a:picLocks noChangeAspect="1"/>
                                    </pic:cNvPicPr>
                                  </pic:nvPicPr>
                                  <pic:blipFill>
                                    <a:blip r:embed="rId37"/>
                                    <a:stretch>
                                      <a:fillRect/>
                                    </a:stretch>
                                  </pic:blipFill>
                                  <pic:spPr>
                                    <a:xfrm>
                                      <a:off x="0" y="0"/>
                                      <a:ext cx="146685" cy="167640"/>
                                    </a:xfrm>
                                    <a:prstGeom prst="rect">
                                      <a:avLst/>
                                    </a:prstGeom>
                                    <a:noFill/>
                                    <a:ln>
                                      <a:noFill/>
                                    </a:ln>
                                  </pic:spPr>
                                </pic:pic>
                              </a:graphicData>
                            </a:graphic>
                          </wp:inline>
                        </w:drawing>
                      </w:r>
                      <w:r>
                        <w:rPr>
                          <w:rFonts w:hint="eastAsia"/>
                          <w:sz w:val="21"/>
                          <w:szCs w:val="20"/>
                        </w:rPr>
                        <w:t>：噪声监测点</w:t>
                      </w:r>
                    </w:p>
                  </w:txbxContent>
                </v:textbox>
              </v:shape>
            </w:pict>
          </mc:Fallback>
        </mc:AlternateContent>
      </w: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p>
    <w:p>
      <w:pPr>
        <w:spacing w:beforeLines="50" w:line="0" w:lineRule="atLeast"/>
        <w:jc w:val="center"/>
        <w:rPr>
          <w:rFonts w:ascii="Times New Roman" w:eastAsia="宋体"/>
          <w:b/>
          <w:bCs/>
          <w:color w:val="auto"/>
          <w:sz w:val="21"/>
          <w:szCs w:val="21"/>
        </w:rPr>
      </w:pPr>
      <w:r>
        <w:rPr>
          <w:rFonts w:ascii="Times New Roman" w:eastAsia="宋体"/>
          <w:b/>
          <w:bCs/>
          <w:color w:val="auto"/>
          <w:sz w:val="21"/>
          <w:szCs w:val="21"/>
        </w:rPr>
        <w:t>图</w:t>
      </w:r>
      <w:r>
        <w:rPr>
          <w:rFonts w:hint="eastAsia" w:ascii="Times New Roman" w:eastAsia="宋体"/>
          <w:b/>
          <w:bCs/>
          <w:color w:val="auto"/>
          <w:sz w:val="21"/>
          <w:szCs w:val="21"/>
        </w:rPr>
        <w:t>4</w:t>
      </w:r>
      <w:r>
        <w:rPr>
          <w:rFonts w:ascii="Times New Roman" w:eastAsia="宋体"/>
          <w:b/>
          <w:bCs/>
          <w:color w:val="auto"/>
          <w:sz w:val="21"/>
          <w:szCs w:val="21"/>
        </w:rPr>
        <w:t>.2</w:t>
      </w:r>
      <w:r>
        <w:rPr>
          <w:rFonts w:hint="eastAsia" w:ascii="Times New Roman" w:eastAsia="宋体"/>
          <w:b/>
          <w:bCs/>
          <w:color w:val="auto"/>
          <w:sz w:val="21"/>
          <w:szCs w:val="21"/>
        </w:rPr>
        <w:t>-1</w:t>
      </w:r>
      <w:r>
        <w:rPr>
          <w:rFonts w:ascii="Times New Roman" w:eastAsia="宋体"/>
          <w:b/>
          <w:bCs/>
          <w:color w:val="auto"/>
          <w:sz w:val="21"/>
          <w:szCs w:val="21"/>
        </w:rPr>
        <w:t>环境监测点位图</w:t>
      </w:r>
    </w:p>
    <w:p>
      <w:pPr>
        <w:pStyle w:val="23"/>
        <w:ind w:firstLine="420"/>
        <w:rPr>
          <w:rFonts w:ascii="Times New Roman" w:eastAsia="宋体"/>
          <w:color w:val="auto"/>
          <w:szCs w:val="24"/>
        </w:rPr>
        <w:sectPr>
          <w:pgSz w:w="16838" w:h="11906" w:orient="landscape"/>
          <w:pgMar w:top="1803" w:right="1440" w:bottom="1803" w:left="1440" w:header="850" w:footer="992" w:gutter="0"/>
          <w:pgNumType w:fmt="decimal"/>
          <w:cols w:space="720" w:num="1"/>
          <w:docGrid w:type="linesAndChars" w:linePitch="319" w:charSpace="1724"/>
        </w:sectPr>
      </w:pPr>
    </w:p>
    <w:p>
      <w:pPr>
        <w:spacing w:line="360" w:lineRule="auto"/>
        <w:ind w:firstLine="482"/>
        <w:rPr>
          <w:rFonts w:ascii="Times New Roman" w:eastAsia="宋体"/>
          <w:color w:val="auto"/>
        </w:rPr>
      </w:pPr>
      <w:r>
        <w:rPr>
          <w:rFonts w:hint="eastAsia" w:ascii="Times New Roman" w:eastAsia="宋体"/>
          <w:color w:val="auto"/>
        </w:rPr>
        <w:t>（2）</w:t>
      </w:r>
      <w:r>
        <w:rPr>
          <w:rFonts w:ascii="Times New Roman" w:eastAsia="宋体"/>
          <w:color w:val="auto"/>
        </w:rPr>
        <w:t>监测时间和频率</w:t>
      </w:r>
    </w:p>
    <w:p>
      <w:pPr>
        <w:spacing w:line="360" w:lineRule="auto"/>
        <w:ind w:firstLine="539"/>
        <w:rPr>
          <w:rFonts w:ascii="Times New Roman" w:eastAsia="宋体"/>
          <w:color w:val="auto"/>
          <w:szCs w:val="24"/>
        </w:rPr>
      </w:pPr>
      <w:r>
        <w:rPr>
          <w:rFonts w:ascii="Times New Roman" w:eastAsia="宋体"/>
          <w:color w:val="auto"/>
        </w:rPr>
        <w:t>监测点环境空气质量由</w:t>
      </w:r>
      <w:r>
        <w:rPr>
          <w:rFonts w:hint="eastAsia" w:ascii="Times New Roman" w:eastAsia="宋体"/>
          <w:color w:val="auto"/>
        </w:rPr>
        <w:t>湖南衡润科技有限公司</w:t>
      </w:r>
      <w:r>
        <w:rPr>
          <w:rFonts w:ascii="Times New Roman" w:eastAsia="宋体"/>
          <w:color w:val="auto"/>
        </w:rPr>
        <w:t>进行监测，</w:t>
      </w:r>
      <w:r>
        <w:rPr>
          <w:rFonts w:ascii="Times New Roman" w:eastAsia="宋体"/>
          <w:bCs/>
          <w:color w:val="auto"/>
        </w:rPr>
        <w:t>202</w:t>
      </w:r>
      <w:r>
        <w:rPr>
          <w:rFonts w:hint="eastAsia" w:ascii="Times New Roman" w:eastAsia="宋体"/>
          <w:bCs/>
          <w:color w:val="auto"/>
        </w:rPr>
        <w:t>3</w:t>
      </w:r>
      <w:r>
        <w:rPr>
          <w:rFonts w:ascii="Times New Roman" w:eastAsia="宋体"/>
          <w:bCs/>
          <w:color w:val="auto"/>
        </w:rPr>
        <w:t>年</w:t>
      </w:r>
      <w:r>
        <w:rPr>
          <w:rFonts w:hint="eastAsia" w:ascii="Times New Roman" w:eastAsia="宋体"/>
          <w:bCs/>
          <w:color w:val="auto"/>
        </w:rPr>
        <w:t>7</w:t>
      </w:r>
      <w:r>
        <w:rPr>
          <w:rFonts w:ascii="Times New Roman" w:eastAsia="宋体"/>
          <w:bCs/>
          <w:color w:val="auto"/>
        </w:rPr>
        <w:t>月</w:t>
      </w:r>
      <w:r>
        <w:rPr>
          <w:rFonts w:hint="eastAsia" w:ascii="Times New Roman" w:eastAsia="宋体"/>
          <w:bCs/>
          <w:color w:val="auto"/>
        </w:rPr>
        <w:t>11</w:t>
      </w:r>
      <w:r>
        <w:rPr>
          <w:rFonts w:ascii="Times New Roman" w:eastAsia="宋体"/>
          <w:bCs/>
          <w:color w:val="auto"/>
        </w:rPr>
        <w:t>日～</w:t>
      </w:r>
      <w:r>
        <w:rPr>
          <w:rFonts w:hint="eastAsia" w:ascii="Times New Roman" w:eastAsia="宋体"/>
          <w:bCs/>
          <w:color w:val="auto"/>
        </w:rPr>
        <w:t>7</w:t>
      </w:r>
      <w:r>
        <w:rPr>
          <w:rFonts w:ascii="Times New Roman" w:eastAsia="宋体"/>
          <w:bCs/>
          <w:color w:val="auto"/>
        </w:rPr>
        <w:t>月</w:t>
      </w:r>
      <w:r>
        <w:rPr>
          <w:rFonts w:hint="eastAsia" w:ascii="Times New Roman" w:eastAsia="宋体"/>
          <w:bCs/>
          <w:color w:val="auto"/>
        </w:rPr>
        <w:t>1</w:t>
      </w:r>
      <w:r>
        <w:rPr>
          <w:rFonts w:hint="eastAsia" w:ascii="Times New Roman" w:eastAsia="宋体"/>
          <w:bCs/>
          <w:color w:val="auto"/>
          <w:lang w:val="en-US" w:eastAsia="zh-CN"/>
        </w:rPr>
        <w:t>3</w:t>
      </w:r>
      <w:r>
        <w:rPr>
          <w:rFonts w:ascii="Times New Roman" w:eastAsia="宋体"/>
          <w:bCs/>
          <w:color w:val="auto"/>
        </w:rPr>
        <w:t>日</w:t>
      </w:r>
      <w:r>
        <w:rPr>
          <w:rFonts w:hint="eastAsia" w:ascii="Times New Roman" w:eastAsia="宋体"/>
          <w:bCs/>
          <w:color w:val="auto"/>
          <w:lang w:eastAsia="zh-CN"/>
        </w:rPr>
        <w:t>，</w:t>
      </w:r>
      <w:r>
        <w:rPr>
          <w:rFonts w:hint="eastAsia" w:ascii="Times New Roman" w:eastAsia="宋体"/>
          <w:bCs/>
          <w:color w:val="auto"/>
          <w:lang w:val="en-US" w:eastAsia="zh-CN"/>
        </w:rPr>
        <w:t>7月14日为雨天未进行监测，</w:t>
      </w:r>
      <w:r>
        <w:rPr>
          <w:rFonts w:hint="eastAsia" w:ascii="Times New Roman" w:eastAsia="宋体"/>
          <w:bCs/>
          <w:color w:val="auto"/>
        </w:rPr>
        <w:t>7</w:t>
      </w:r>
      <w:r>
        <w:rPr>
          <w:rFonts w:ascii="Times New Roman" w:eastAsia="宋体"/>
          <w:bCs/>
          <w:color w:val="auto"/>
        </w:rPr>
        <w:t>月</w:t>
      </w:r>
      <w:r>
        <w:rPr>
          <w:rFonts w:hint="eastAsia" w:ascii="Times New Roman" w:eastAsia="宋体"/>
          <w:bCs/>
          <w:color w:val="auto"/>
        </w:rPr>
        <w:t>1</w:t>
      </w:r>
      <w:r>
        <w:rPr>
          <w:rFonts w:hint="eastAsia" w:ascii="Times New Roman" w:eastAsia="宋体"/>
          <w:bCs/>
          <w:color w:val="auto"/>
          <w:lang w:val="en-US" w:eastAsia="zh-CN"/>
        </w:rPr>
        <w:t>5</w:t>
      </w:r>
      <w:r>
        <w:rPr>
          <w:rFonts w:ascii="Times New Roman" w:eastAsia="宋体"/>
          <w:bCs/>
          <w:color w:val="auto"/>
        </w:rPr>
        <w:t>日～</w:t>
      </w:r>
      <w:r>
        <w:rPr>
          <w:rFonts w:hint="eastAsia" w:ascii="Times New Roman" w:eastAsia="宋体"/>
          <w:bCs/>
          <w:color w:val="auto"/>
        </w:rPr>
        <w:t>7</w:t>
      </w:r>
      <w:r>
        <w:rPr>
          <w:rFonts w:ascii="Times New Roman" w:eastAsia="宋体"/>
          <w:bCs/>
          <w:color w:val="auto"/>
        </w:rPr>
        <w:t>月</w:t>
      </w:r>
      <w:r>
        <w:rPr>
          <w:rFonts w:hint="eastAsia" w:ascii="Times New Roman" w:eastAsia="宋体"/>
          <w:bCs/>
          <w:color w:val="auto"/>
        </w:rPr>
        <w:t>18</w:t>
      </w:r>
      <w:r>
        <w:rPr>
          <w:rFonts w:ascii="Times New Roman" w:eastAsia="宋体"/>
          <w:bCs/>
          <w:color w:val="auto"/>
        </w:rPr>
        <w:t>日</w:t>
      </w:r>
      <w:r>
        <w:rPr>
          <w:rFonts w:hint="eastAsia" w:ascii="Times New Roman" w:eastAsia="宋体"/>
          <w:bCs/>
          <w:color w:val="auto"/>
          <w:lang w:eastAsia="zh-CN"/>
        </w:rPr>
        <w:t>，</w:t>
      </w:r>
      <w:r>
        <w:rPr>
          <w:rFonts w:ascii="Times New Roman" w:eastAsia="宋体"/>
          <w:color w:val="auto"/>
          <w:szCs w:val="24"/>
        </w:rPr>
        <w:t>共</w:t>
      </w:r>
      <w:r>
        <w:rPr>
          <w:rFonts w:hint="eastAsia" w:ascii="Times New Roman" w:eastAsia="宋体"/>
          <w:color w:val="auto"/>
          <w:szCs w:val="24"/>
          <w:lang w:val="en-US" w:eastAsia="zh-CN"/>
        </w:rPr>
        <w:t>监测</w:t>
      </w:r>
      <w:r>
        <w:rPr>
          <w:rFonts w:hint="eastAsia" w:ascii="Times New Roman" w:eastAsia="宋体"/>
          <w:color w:val="auto"/>
          <w:szCs w:val="24"/>
        </w:rPr>
        <w:t>7</w:t>
      </w:r>
      <w:r>
        <w:rPr>
          <w:rFonts w:ascii="Times New Roman" w:eastAsia="宋体"/>
          <w:color w:val="auto"/>
          <w:szCs w:val="24"/>
        </w:rPr>
        <w:t>天。</w:t>
      </w:r>
    </w:p>
    <w:p>
      <w:pPr>
        <w:spacing w:beforeLines="50" w:line="0" w:lineRule="atLeast"/>
        <w:jc w:val="center"/>
        <w:rPr>
          <w:rFonts w:ascii="Times New Roman" w:eastAsia="宋体"/>
          <w:b/>
          <w:bCs/>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4</w:t>
      </w:r>
      <w:r>
        <w:rPr>
          <w:rFonts w:ascii="Times New Roman" w:eastAsia="宋体"/>
          <w:b/>
          <w:bCs/>
          <w:color w:val="auto"/>
          <w:sz w:val="21"/>
          <w:szCs w:val="21"/>
        </w:rPr>
        <w:t>.2-3监测时间和频率一览表</w:t>
      </w:r>
    </w:p>
    <w:tbl>
      <w:tblPr>
        <w:tblStyle w:val="4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2305"/>
        <w:gridCol w:w="2267"/>
        <w:gridCol w:w="30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序号</w:t>
            </w:r>
          </w:p>
        </w:tc>
        <w:tc>
          <w:tcPr>
            <w:tcW w:w="1353" w:type="pc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监测因子</w:t>
            </w:r>
          </w:p>
        </w:tc>
        <w:tc>
          <w:tcPr>
            <w:tcW w:w="1331" w:type="pc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取值时间</w:t>
            </w:r>
          </w:p>
        </w:tc>
        <w:tc>
          <w:tcPr>
            <w:tcW w:w="1810" w:type="pct"/>
            <w:tcBorders>
              <w:tl2br w:val="nil"/>
              <w:tr2bl w:val="nil"/>
            </w:tcBorders>
            <w:vAlign w:val="center"/>
          </w:tcPr>
          <w:p>
            <w:pPr>
              <w:adjustRightInd w:val="0"/>
              <w:snapToGrid w:val="0"/>
              <w:jc w:val="center"/>
              <w:rPr>
                <w:rFonts w:ascii="Times New Roman" w:eastAsia="宋体"/>
                <w:b/>
                <w:bCs/>
                <w:color w:val="auto"/>
                <w:sz w:val="21"/>
                <w:szCs w:val="21"/>
              </w:rPr>
            </w:pPr>
            <w:r>
              <w:rPr>
                <w:rFonts w:ascii="Times New Roman" w:eastAsia="宋体"/>
                <w:b/>
                <w:bCs/>
                <w:color w:val="auto"/>
                <w:sz w:val="21"/>
                <w:szCs w:val="21"/>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1</w:t>
            </w:r>
          </w:p>
        </w:tc>
        <w:tc>
          <w:tcPr>
            <w:tcW w:w="1353" w:type="pct"/>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TSP</w:t>
            </w:r>
          </w:p>
        </w:tc>
        <w:tc>
          <w:tcPr>
            <w:tcW w:w="1331"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24h平均</w:t>
            </w:r>
          </w:p>
        </w:tc>
        <w:tc>
          <w:tcPr>
            <w:tcW w:w="1810" w:type="pct"/>
            <w:tcBorders>
              <w:tl2br w:val="nil"/>
              <w:tr2bl w:val="nil"/>
            </w:tcBorders>
            <w:vAlign w:val="center"/>
          </w:tcPr>
          <w:p>
            <w:pPr>
              <w:spacing w:after="100" w:afterAutospacing="1"/>
              <w:jc w:val="center"/>
              <w:rPr>
                <w:rFonts w:ascii="Times New Roman" w:eastAsia="宋体"/>
                <w:color w:val="auto"/>
                <w:sz w:val="21"/>
                <w:szCs w:val="21"/>
              </w:rPr>
            </w:pPr>
            <w:r>
              <w:rPr>
                <w:rFonts w:ascii="Times New Roman" w:eastAsia="宋体"/>
                <w:color w:val="auto"/>
                <w:sz w:val="21"/>
                <w:szCs w:val="21"/>
              </w:rPr>
              <w:t>1次/天，检测7天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2</w:t>
            </w:r>
          </w:p>
        </w:tc>
        <w:tc>
          <w:tcPr>
            <w:tcW w:w="1353" w:type="pct"/>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H</w:t>
            </w:r>
            <w:r>
              <w:rPr>
                <w:rFonts w:ascii="Times New Roman" w:eastAsia="宋体"/>
                <w:color w:val="auto"/>
                <w:sz w:val="21"/>
                <w:szCs w:val="21"/>
                <w:vertAlign w:val="subscript"/>
              </w:rPr>
              <w:t>2</w:t>
            </w:r>
            <w:r>
              <w:rPr>
                <w:rFonts w:ascii="Times New Roman" w:eastAsia="宋体"/>
                <w:color w:val="auto"/>
                <w:sz w:val="21"/>
                <w:szCs w:val="21"/>
              </w:rPr>
              <w:t>S、NH</w:t>
            </w:r>
            <w:r>
              <w:rPr>
                <w:rFonts w:ascii="Times New Roman" w:eastAsia="宋体"/>
                <w:color w:val="auto"/>
                <w:sz w:val="21"/>
                <w:szCs w:val="21"/>
                <w:vertAlign w:val="subscript"/>
              </w:rPr>
              <w:t>3</w:t>
            </w:r>
          </w:p>
        </w:tc>
        <w:tc>
          <w:tcPr>
            <w:tcW w:w="1331" w:type="pct"/>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w:t>
            </w:r>
          </w:p>
        </w:tc>
        <w:tc>
          <w:tcPr>
            <w:tcW w:w="1810"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4次/天，检测7天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1353"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1331" w:type="pct"/>
            <w:tcBorders>
              <w:tl2br w:val="nil"/>
              <w:tr2bl w:val="nil"/>
            </w:tcBorders>
            <w:vAlign w:val="center"/>
          </w:tcPr>
          <w:p>
            <w:pPr>
              <w:adjustRightInd w:val="0"/>
              <w:snapToGrid w:val="0"/>
              <w:jc w:val="center"/>
              <w:rPr>
                <w:rFonts w:ascii="Times New Roman" w:eastAsia="宋体"/>
                <w:color w:val="auto"/>
                <w:sz w:val="21"/>
                <w:szCs w:val="21"/>
              </w:rPr>
            </w:pPr>
            <w:r>
              <w:rPr>
                <w:rFonts w:ascii="Times New Roman" w:eastAsia="宋体"/>
                <w:color w:val="auto"/>
                <w:sz w:val="21"/>
                <w:szCs w:val="21"/>
              </w:rPr>
              <w:t>——</w:t>
            </w:r>
          </w:p>
        </w:tc>
        <w:tc>
          <w:tcPr>
            <w:tcW w:w="1810"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4次/天，检测7天</w:t>
            </w:r>
          </w:p>
        </w:tc>
      </w:tr>
    </w:tbl>
    <w:p>
      <w:pPr>
        <w:autoSpaceDE w:val="0"/>
        <w:autoSpaceDN w:val="0"/>
        <w:spacing w:line="360" w:lineRule="auto"/>
        <w:rPr>
          <w:rFonts w:ascii="Times New Roman" w:eastAsia="宋体"/>
          <w:color w:val="auto"/>
        </w:rPr>
      </w:pPr>
      <w:r>
        <w:rPr>
          <w:rFonts w:ascii="Times New Roman" w:eastAsia="宋体"/>
          <w:color w:val="auto"/>
          <w:szCs w:val="24"/>
        </w:rPr>
        <w:t>注：采样时同步观测并记录当时的风向、风速、气温、气压等气象参数。</w:t>
      </w:r>
    </w:p>
    <w:p>
      <w:pPr>
        <w:spacing w:line="360" w:lineRule="auto"/>
        <w:ind w:firstLine="482"/>
        <w:rPr>
          <w:rFonts w:ascii="Times New Roman" w:eastAsia="宋体"/>
          <w:color w:val="auto"/>
        </w:rPr>
      </w:pPr>
      <w:r>
        <w:rPr>
          <w:rFonts w:hint="eastAsia" w:ascii="Times New Roman" w:eastAsia="宋体"/>
          <w:color w:val="auto"/>
        </w:rPr>
        <w:t>（3）</w:t>
      </w:r>
      <w:r>
        <w:rPr>
          <w:rFonts w:ascii="Times New Roman" w:eastAsia="宋体"/>
          <w:color w:val="auto"/>
        </w:rPr>
        <w:t>评价标准</w:t>
      </w:r>
    </w:p>
    <w:p>
      <w:pPr>
        <w:spacing w:line="360" w:lineRule="auto"/>
        <w:ind w:firstLine="539"/>
        <w:rPr>
          <w:rFonts w:ascii="Times New Roman" w:eastAsia="宋体"/>
          <w:color w:val="auto"/>
          <w:szCs w:val="24"/>
        </w:rPr>
      </w:pPr>
      <w:r>
        <w:rPr>
          <w:rFonts w:hint="eastAsia" w:ascii="Times New Roman" w:eastAsia="宋体"/>
          <w:color w:val="auto"/>
          <w:szCs w:val="24"/>
        </w:rPr>
        <w:t>TSP评价标准采用《环境空气质量标准》（GB3095-2012）及修改单表2标准；</w:t>
      </w:r>
      <w:r>
        <w:rPr>
          <w:rFonts w:ascii="Times New Roman" w:eastAsia="宋体"/>
          <w:color w:val="auto"/>
          <w:szCs w:val="24"/>
        </w:rPr>
        <w:t>H</w:t>
      </w:r>
      <w:r>
        <w:rPr>
          <w:rFonts w:ascii="Times New Roman" w:eastAsia="宋体"/>
          <w:color w:val="auto"/>
          <w:szCs w:val="24"/>
          <w:vertAlign w:val="subscript"/>
        </w:rPr>
        <w:t>2</w:t>
      </w:r>
      <w:r>
        <w:rPr>
          <w:rFonts w:ascii="Times New Roman" w:eastAsia="宋体"/>
          <w:color w:val="auto"/>
          <w:szCs w:val="24"/>
        </w:rPr>
        <w:t>S、NH</w:t>
      </w:r>
      <w:r>
        <w:rPr>
          <w:rFonts w:ascii="Times New Roman" w:eastAsia="宋体"/>
          <w:color w:val="auto"/>
          <w:szCs w:val="24"/>
          <w:vertAlign w:val="subscript"/>
        </w:rPr>
        <w:t>3</w:t>
      </w:r>
      <w:r>
        <w:rPr>
          <w:rFonts w:hint="eastAsia" w:ascii="Times New Roman" w:eastAsia="宋体"/>
          <w:color w:val="auto"/>
          <w:szCs w:val="24"/>
        </w:rPr>
        <w:t>评价标准采用《</w:t>
      </w:r>
      <w:r>
        <w:rPr>
          <w:rFonts w:ascii="Times New Roman" w:eastAsia="宋体"/>
          <w:color w:val="auto"/>
          <w:szCs w:val="24"/>
        </w:rPr>
        <w:t>环境影响评价技术导则大气环境</w:t>
      </w:r>
      <w:r>
        <w:rPr>
          <w:rFonts w:ascii="Times New Roman"/>
          <w:color w:val="auto"/>
          <w:szCs w:val="24"/>
        </w:rPr>
        <w:t>》</w:t>
      </w:r>
      <w:r>
        <w:rPr>
          <w:rFonts w:hint="eastAsia" w:ascii="Times New Roman"/>
          <w:color w:val="auto"/>
          <w:szCs w:val="24"/>
        </w:rPr>
        <w:t>（</w:t>
      </w:r>
      <w:r>
        <w:rPr>
          <w:rFonts w:ascii="Times New Roman"/>
          <w:color w:val="auto"/>
          <w:szCs w:val="24"/>
        </w:rPr>
        <w:t>HJ2.2-2018</w:t>
      </w:r>
      <w:r>
        <w:rPr>
          <w:rFonts w:hint="eastAsia" w:ascii="Times New Roman"/>
          <w:color w:val="auto"/>
          <w:szCs w:val="24"/>
        </w:rPr>
        <w:t>）</w:t>
      </w:r>
      <w:r>
        <w:rPr>
          <w:rFonts w:ascii="Times New Roman" w:eastAsia="宋体"/>
          <w:color w:val="auto"/>
          <w:szCs w:val="24"/>
        </w:rPr>
        <w:t>表</w:t>
      </w:r>
      <w:r>
        <w:rPr>
          <w:rFonts w:ascii="Times New Roman"/>
          <w:color w:val="auto"/>
          <w:szCs w:val="24"/>
        </w:rPr>
        <w:t>D.</w:t>
      </w:r>
      <w:r>
        <w:rPr>
          <w:rFonts w:ascii="Times New Roman" w:eastAsia="宋体"/>
          <w:color w:val="auto"/>
          <w:szCs w:val="24"/>
        </w:rPr>
        <w:t>1</w:t>
      </w:r>
      <w:r>
        <w:rPr>
          <w:rFonts w:hint="eastAsia" w:ascii="Times New Roman" w:eastAsia="宋体"/>
          <w:color w:val="auto"/>
          <w:szCs w:val="24"/>
        </w:rPr>
        <w:t>，臭气浓度无参照标准，不进行评价。</w:t>
      </w:r>
    </w:p>
    <w:p>
      <w:pPr>
        <w:spacing w:line="360" w:lineRule="auto"/>
        <w:ind w:firstLine="482"/>
        <w:rPr>
          <w:rFonts w:ascii="Times New Roman" w:eastAsia="宋体"/>
          <w:color w:val="auto"/>
        </w:rPr>
      </w:pPr>
      <w:r>
        <w:rPr>
          <w:rFonts w:hint="eastAsia" w:ascii="Times New Roman" w:eastAsia="宋体"/>
          <w:color w:val="auto"/>
        </w:rPr>
        <w:t>（4）</w:t>
      </w:r>
      <w:r>
        <w:rPr>
          <w:rFonts w:ascii="Times New Roman" w:eastAsia="宋体"/>
          <w:color w:val="auto"/>
        </w:rPr>
        <w:t>监测结果分析</w:t>
      </w:r>
    </w:p>
    <w:p>
      <w:pPr>
        <w:spacing w:line="360" w:lineRule="auto"/>
        <w:ind w:firstLine="539"/>
        <w:rPr>
          <w:rFonts w:ascii="Times New Roman" w:eastAsia="宋体"/>
          <w:color w:val="auto"/>
          <w:szCs w:val="24"/>
          <w:lang w:val="zh-CN"/>
        </w:rPr>
      </w:pPr>
      <w:r>
        <w:rPr>
          <w:rFonts w:ascii="Times New Roman" w:eastAsia="宋体"/>
          <w:color w:val="auto"/>
          <w:szCs w:val="24"/>
        </w:rPr>
        <w:t>H</w:t>
      </w:r>
      <w:r>
        <w:rPr>
          <w:rFonts w:ascii="Times New Roman" w:eastAsia="宋体"/>
          <w:color w:val="auto"/>
          <w:szCs w:val="24"/>
          <w:vertAlign w:val="subscript"/>
        </w:rPr>
        <w:t>2</w:t>
      </w:r>
      <w:r>
        <w:rPr>
          <w:rFonts w:ascii="Times New Roman" w:eastAsia="宋体"/>
          <w:color w:val="auto"/>
          <w:szCs w:val="24"/>
        </w:rPr>
        <w:t>S、NH</w:t>
      </w:r>
      <w:r>
        <w:rPr>
          <w:rFonts w:ascii="Times New Roman" w:eastAsia="宋体"/>
          <w:color w:val="auto"/>
          <w:szCs w:val="24"/>
          <w:vertAlign w:val="subscript"/>
        </w:rPr>
        <w:t>3</w:t>
      </w:r>
      <w:r>
        <w:rPr>
          <w:rFonts w:hint="eastAsia" w:ascii="Times New Roman" w:eastAsia="宋体"/>
          <w:color w:val="auto"/>
          <w:szCs w:val="24"/>
          <w:vertAlign w:val="subscript"/>
        </w:rPr>
        <w:t>、</w:t>
      </w:r>
      <w:r>
        <w:rPr>
          <w:rFonts w:hint="eastAsia" w:ascii="Times New Roman" w:eastAsia="宋体"/>
          <w:color w:val="auto"/>
          <w:szCs w:val="24"/>
        </w:rPr>
        <w:t>TSP和臭气浓度</w:t>
      </w:r>
      <w:r>
        <w:rPr>
          <w:rFonts w:ascii="Times New Roman" w:eastAsia="宋体"/>
          <w:color w:val="auto"/>
          <w:szCs w:val="24"/>
          <w:lang w:val="zh-CN"/>
        </w:rPr>
        <w:t>的监测结果分别见表</w:t>
      </w:r>
      <w:r>
        <w:rPr>
          <w:rFonts w:hint="eastAsia" w:ascii="Times New Roman" w:eastAsia="宋体"/>
          <w:color w:val="auto"/>
          <w:szCs w:val="24"/>
        </w:rPr>
        <w:t>4</w:t>
      </w:r>
      <w:r>
        <w:rPr>
          <w:rFonts w:ascii="Times New Roman" w:eastAsia="宋体"/>
          <w:color w:val="auto"/>
          <w:szCs w:val="24"/>
        </w:rPr>
        <w:t>.2-5</w:t>
      </w:r>
      <w:r>
        <w:rPr>
          <w:rFonts w:ascii="Times New Roman" w:eastAsia="宋体"/>
          <w:color w:val="auto"/>
          <w:szCs w:val="24"/>
          <w:lang w:val="zh-CN"/>
        </w:rPr>
        <w:t>。</w:t>
      </w:r>
    </w:p>
    <w:p>
      <w:pPr>
        <w:spacing w:beforeLines="50" w:line="0" w:lineRule="atLeast"/>
        <w:jc w:val="center"/>
        <w:rPr>
          <w:rFonts w:ascii="Times New Roman" w:eastAsia="宋体"/>
          <w:b/>
          <w:bCs/>
          <w:color w:val="auto"/>
          <w:sz w:val="21"/>
          <w:szCs w:val="21"/>
          <w:lang w:val="zh-CN"/>
        </w:rPr>
      </w:pPr>
      <w:r>
        <w:rPr>
          <w:rFonts w:ascii="Times New Roman" w:eastAsia="宋体"/>
          <w:b/>
          <w:bCs/>
          <w:color w:val="auto"/>
          <w:sz w:val="21"/>
          <w:szCs w:val="21"/>
          <w:lang w:val="zh-CN"/>
        </w:rPr>
        <w:t>表</w:t>
      </w:r>
      <w:r>
        <w:rPr>
          <w:rFonts w:hint="eastAsia" w:ascii="Times New Roman" w:eastAsia="宋体"/>
          <w:b/>
          <w:bCs/>
          <w:color w:val="auto"/>
          <w:sz w:val="21"/>
          <w:szCs w:val="21"/>
        </w:rPr>
        <w:t>4</w:t>
      </w:r>
      <w:r>
        <w:rPr>
          <w:rFonts w:ascii="Times New Roman" w:eastAsia="宋体"/>
          <w:b/>
          <w:bCs/>
          <w:color w:val="auto"/>
          <w:sz w:val="21"/>
          <w:szCs w:val="21"/>
        </w:rPr>
        <w:t>.2-</w:t>
      </w:r>
      <w:r>
        <w:rPr>
          <w:rFonts w:hint="eastAsia" w:ascii="Times New Roman" w:eastAsia="宋体"/>
          <w:b/>
          <w:bCs/>
          <w:color w:val="auto"/>
          <w:sz w:val="21"/>
          <w:szCs w:val="21"/>
        </w:rPr>
        <w:t>5</w:t>
      </w:r>
      <w:r>
        <w:rPr>
          <w:rFonts w:ascii="Times New Roman" w:eastAsia="宋体"/>
          <w:b/>
          <w:bCs/>
          <w:color w:val="auto"/>
          <w:sz w:val="21"/>
          <w:szCs w:val="21"/>
          <w:lang w:val="zh-CN"/>
        </w:rPr>
        <w:t>监测浓度统计结果</w:t>
      </w:r>
    </w:p>
    <w:tbl>
      <w:tblPr>
        <w:tblStyle w:val="47"/>
        <w:tblpPr w:leftFromText="180" w:rightFromText="180" w:vertAnchor="text" w:tblpXSpec="center" w:tblpY="1"/>
        <w:tblOverlap w:val="never"/>
        <w:tblW w:w="4897" w:type="pct"/>
        <w:jc w:val="center"/>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1043"/>
        <w:gridCol w:w="1148"/>
        <w:gridCol w:w="1103"/>
        <w:gridCol w:w="1496"/>
        <w:gridCol w:w="1163"/>
        <w:gridCol w:w="658"/>
        <w:gridCol w:w="658"/>
      </w:tblGrid>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检测</w:t>
            </w:r>
          </w:p>
          <w:p>
            <w:pPr>
              <w:snapToGrid w:val="0"/>
              <w:jc w:val="center"/>
              <w:rPr>
                <w:rFonts w:ascii="Times New Roman" w:eastAsia="宋体"/>
                <w:b/>
                <w:bCs/>
                <w:color w:val="auto"/>
                <w:kern w:val="2"/>
                <w:sz w:val="21"/>
                <w:szCs w:val="21"/>
              </w:rPr>
            </w:pPr>
            <w:r>
              <w:rPr>
                <w:rFonts w:ascii="Times New Roman" w:eastAsia="宋体"/>
                <w:b/>
                <w:bCs/>
                <w:color w:val="auto"/>
                <w:sz w:val="21"/>
                <w:szCs w:val="21"/>
              </w:rPr>
              <w:t>日期</w:t>
            </w:r>
          </w:p>
        </w:tc>
        <w:tc>
          <w:tcPr>
            <w:tcW w:w="625"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检测</w:t>
            </w:r>
          </w:p>
          <w:p>
            <w:pPr>
              <w:snapToGrid w:val="0"/>
              <w:jc w:val="center"/>
              <w:rPr>
                <w:rFonts w:ascii="Times New Roman" w:eastAsia="宋体"/>
                <w:b/>
                <w:bCs/>
                <w:color w:val="auto"/>
                <w:kern w:val="2"/>
                <w:sz w:val="21"/>
                <w:szCs w:val="21"/>
              </w:rPr>
            </w:pPr>
            <w:r>
              <w:rPr>
                <w:rFonts w:ascii="Times New Roman" w:eastAsia="宋体"/>
                <w:b/>
                <w:bCs/>
                <w:color w:val="auto"/>
                <w:sz w:val="21"/>
                <w:szCs w:val="21"/>
              </w:rPr>
              <w:t>点位</w:t>
            </w:r>
          </w:p>
        </w:tc>
        <w:tc>
          <w:tcPr>
            <w:tcW w:w="688" w:type="pct"/>
            <w:tcBorders>
              <w:tl2br w:val="nil"/>
              <w:tr2bl w:val="nil"/>
            </w:tcBorders>
            <w:vAlign w:val="center"/>
          </w:tcPr>
          <w:p>
            <w:pPr>
              <w:snapToGrid w:val="0"/>
              <w:jc w:val="center"/>
              <w:rPr>
                <w:rFonts w:ascii="Times New Roman" w:eastAsia="宋体"/>
                <w:b/>
                <w:bCs/>
                <w:color w:val="auto"/>
                <w:kern w:val="2"/>
                <w:sz w:val="21"/>
                <w:szCs w:val="21"/>
              </w:rPr>
            </w:pPr>
            <w:r>
              <w:rPr>
                <w:rFonts w:ascii="Times New Roman" w:eastAsia="宋体"/>
                <w:b/>
                <w:bCs/>
                <w:color w:val="auto"/>
                <w:sz w:val="21"/>
                <w:szCs w:val="21"/>
              </w:rPr>
              <w:t>检测项目</w:t>
            </w:r>
          </w:p>
        </w:tc>
        <w:tc>
          <w:tcPr>
            <w:tcW w:w="661" w:type="pct"/>
            <w:tcBorders>
              <w:tl2br w:val="nil"/>
              <w:tr2bl w:val="nil"/>
            </w:tcBorders>
            <w:vAlign w:val="center"/>
          </w:tcPr>
          <w:p>
            <w:pPr>
              <w:snapToGrid w:val="0"/>
              <w:jc w:val="center"/>
              <w:rPr>
                <w:rFonts w:ascii="Times New Roman" w:eastAsia="宋体"/>
                <w:b/>
                <w:bCs/>
                <w:color w:val="auto"/>
                <w:kern w:val="2"/>
                <w:sz w:val="21"/>
                <w:szCs w:val="21"/>
              </w:rPr>
            </w:pPr>
            <w:r>
              <w:rPr>
                <w:rFonts w:ascii="Times New Roman" w:eastAsia="宋体"/>
                <w:b/>
                <w:bCs/>
                <w:color w:val="auto"/>
                <w:sz w:val="21"/>
                <w:szCs w:val="21"/>
              </w:rPr>
              <w:t>检测时间</w:t>
            </w:r>
          </w:p>
        </w:tc>
        <w:tc>
          <w:tcPr>
            <w:tcW w:w="896"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检测</w:t>
            </w:r>
            <w:r>
              <w:rPr>
                <w:rFonts w:hint="eastAsia" w:ascii="Times New Roman" w:eastAsia="宋体"/>
                <w:b/>
                <w:bCs/>
                <w:color w:val="auto"/>
                <w:sz w:val="21"/>
                <w:szCs w:val="21"/>
              </w:rPr>
              <w:t>数据</w:t>
            </w:r>
          </w:p>
          <w:p>
            <w:pPr>
              <w:snapToGrid w:val="0"/>
              <w:jc w:val="center"/>
              <w:rPr>
                <w:rFonts w:ascii="Times New Roman" w:eastAsia="宋体"/>
                <w:b/>
                <w:bCs/>
                <w:color w:val="auto"/>
                <w:kern w:val="2"/>
                <w:sz w:val="21"/>
                <w:szCs w:val="21"/>
              </w:rPr>
            </w:pPr>
            <w:r>
              <w:rPr>
                <w:rFonts w:ascii="Times New Roman" w:eastAsia="宋体"/>
                <w:b/>
                <w:bCs/>
                <w:color w:val="auto"/>
                <w:sz w:val="21"/>
                <w:szCs w:val="21"/>
              </w:rPr>
              <w:t>（μg/m</w:t>
            </w:r>
            <w:r>
              <w:rPr>
                <w:rFonts w:ascii="Times New Roman" w:eastAsia="宋体"/>
                <w:b/>
                <w:bCs/>
                <w:color w:val="auto"/>
                <w:sz w:val="21"/>
                <w:szCs w:val="21"/>
                <w:vertAlign w:val="superscript"/>
              </w:rPr>
              <w:t>3</w:t>
            </w:r>
            <w:r>
              <w:rPr>
                <w:rFonts w:ascii="Times New Roman" w:eastAsia="宋体"/>
                <w:b/>
                <w:bCs/>
                <w:color w:val="auto"/>
                <w:sz w:val="21"/>
                <w:szCs w:val="21"/>
              </w:rPr>
              <w:t>）</w:t>
            </w:r>
          </w:p>
        </w:tc>
        <w:tc>
          <w:tcPr>
            <w:tcW w:w="697"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检测</w:t>
            </w:r>
            <w:r>
              <w:rPr>
                <w:rFonts w:hint="eastAsia" w:ascii="Times New Roman" w:eastAsia="宋体"/>
                <w:b/>
                <w:bCs/>
                <w:color w:val="auto"/>
                <w:sz w:val="21"/>
                <w:szCs w:val="21"/>
              </w:rPr>
              <w:t>结果</w:t>
            </w:r>
          </w:p>
          <w:p>
            <w:pPr>
              <w:snapToGrid w:val="0"/>
              <w:jc w:val="center"/>
              <w:rPr>
                <w:rFonts w:ascii="Times New Roman" w:eastAsia="宋体"/>
                <w:b/>
                <w:bCs/>
                <w:color w:val="auto"/>
                <w:kern w:val="2"/>
                <w:sz w:val="21"/>
                <w:szCs w:val="21"/>
              </w:rPr>
            </w:pPr>
            <w:r>
              <w:rPr>
                <w:rFonts w:ascii="Times New Roman" w:eastAsia="宋体"/>
                <w:b/>
                <w:bCs/>
                <w:color w:val="auto"/>
                <w:sz w:val="21"/>
                <w:szCs w:val="21"/>
              </w:rPr>
              <w:t>（μg/m</w:t>
            </w:r>
            <w:r>
              <w:rPr>
                <w:rFonts w:ascii="Times New Roman" w:eastAsia="宋体"/>
                <w:b/>
                <w:bCs/>
                <w:color w:val="auto"/>
                <w:sz w:val="21"/>
                <w:szCs w:val="21"/>
                <w:vertAlign w:val="superscript"/>
              </w:rPr>
              <w:t>3</w:t>
            </w:r>
            <w:r>
              <w:rPr>
                <w:rFonts w:ascii="Times New Roman" w:eastAsia="宋体"/>
                <w:b/>
                <w:bCs/>
                <w:color w:val="auto"/>
                <w:sz w:val="21"/>
                <w:szCs w:val="21"/>
              </w:rPr>
              <w:t>）</w:t>
            </w:r>
          </w:p>
        </w:tc>
        <w:tc>
          <w:tcPr>
            <w:tcW w:w="394" w:type="pct"/>
            <w:tcBorders>
              <w:tl2br w:val="nil"/>
              <w:tr2bl w:val="nil"/>
            </w:tcBorders>
            <w:vAlign w:val="center"/>
          </w:tcPr>
          <w:p>
            <w:pPr>
              <w:snapToGrid w:val="0"/>
              <w:jc w:val="center"/>
              <w:rPr>
                <w:rFonts w:ascii="Times New Roman" w:eastAsia="宋体"/>
                <w:b/>
                <w:bCs/>
                <w:color w:val="auto"/>
                <w:kern w:val="2"/>
                <w:sz w:val="21"/>
                <w:szCs w:val="21"/>
              </w:rPr>
            </w:pPr>
            <w:r>
              <w:rPr>
                <w:rFonts w:hint="eastAsia" w:ascii="Times New Roman" w:eastAsia="宋体"/>
                <w:b/>
                <w:bCs/>
                <w:color w:val="auto"/>
                <w:kern w:val="2"/>
                <w:sz w:val="21"/>
                <w:szCs w:val="21"/>
              </w:rPr>
              <w:t>限值</w:t>
            </w:r>
          </w:p>
        </w:tc>
        <w:tc>
          <w:tcPr>
            <w:tcW w:w="394" w:type="pct"/>
            <w:tcBorders>
              <w:tl2br w:val="nil"/>
              <w:tr2bl w:val="nil"/>
            </w:tcBorders>
            <w:vAlign w:val="center"/>
          </w:tcPr>
          <w:p>
            <w:pPr>
              <w:snapToGrid w:val="0"/>
              <w:jc w:val="center"/>
              <w:rPr>
                <w:rFonts w:ascii="Times New Roman" w:eastAsia="宋体"/>
                <w:b/>
                <w:bCs/>
                <w:color w:val="auto"/>
                <w:kern w:val="2"/>
                <w:sz w:val="21"/>
                <w:szCs w:val="21"/>
              </w:rPr>
            </w:pPr>
            <w:r>
              <w:rPr>
                <w:rFonts w:hint="eastAsia" w:ascii="Times New Roman" w:eastAsia="宋体"/>
                <w:b/>
                <w:bCs/>
                <w:color w:val="auto"/>
                <w:kern w:val="2"/>
                <w:sz w:val="21"/>
                <w:szCs w:val="21"/>
              </w:rPr>
              <w:t>是否达标</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202</w:t>
            </w:r>
            <w:r>
              <w:rPr>
                <w:rFonts w:hint="eastAsia" w:ascii="Times New Roman" w:eastAsia="宋体"/>
                <w:color w:val="auto"/>
                <w:sz w:val="21"/>
                <w:szCs w:val="21"/>
              </w:rPr>
              <w:t>3</w:t>
            </w:r>
            <w:r>
              <w:rPr>
                <w:rFonts w:ascii="Times New Roman" w:eastAsia="宋体"/>
                <w:color w:val="auto"/>
                <w:sz w:val="21"/>
                <w:szCs w:val="21"/>
              </w:rPr>
              <w:t>年</w:t>
            </w:r>
          </w:p>
          <w:p>
            <w:pPr>
              <w:snapToGrid w:val="0"/>
              <w:jc w:val="center"/>
              <w:rPr>
                <w:rFonts w:ascii="Times New Roman" w:eastAsia="宋体"/>
                <w:color w:val="auto"/>
                <w:sz w:val="21"/>
                <w:szCs w:val="21"/>
              </w:rPr>
            </w:pPr>
            <w:r>
              <w:rPr>
                <w:rFonts w:hint="eastAsia" w:ascii="Times New Roman" w:eastAsia="宋体"/>
                <w:color w:val="auto"/>
                <w:sz w:val="21"/>
                <w:szCs w:val="21"/>
              </w:rPr>
              <w:t>7</w:t>
            </w:r>
            <w:r>
              <w:rPr>
                <w:rFonts w:ascii="Times New Roman" w:eastAsia="宋体"/>
                <w:color w:val="auto"/>
                <w:sz w:val="21"/>
                <w:szCs w:val="21"/>
              </w:rPr>
              <w:t>月1</w:t>
            </w:r>
            <w:r>
              <w:rPr>
                <w:rFonts w:hint="eastAsia" w:ascii="Times New Roman" w:eastAsia="宋体"/>
                <w:color w:val="auto"/>
                <w:sz w:val="21"/>
                <w:szCs w:val="21"/>
              </w:rPr>
              <w:t>1</w:t>
            </w:r>
            <w:r>
              <w:rPr>
                <w:rFonts w:ascii="Times New Roman" w:eastAsia="宋体"/>
                <w:color w:val="auto"/>
                <w:sz w:val="21"/>
                <w:szCs w:val="21"/>
              </w:rPr>
              <w:t>日</w:t>
            </w: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42</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kern w:val="2"/>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kern w:val="2"/>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32</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kern w:val="2"/>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202</w:t>
            </w:r>
            <w:r>
              <w:rPr>
                <w:rFonts w:hint="eastAsia" w:ascii="Times New Roman" w:eastAsia="宋体"/>
                <w:color w:val="auto"/>
                <w:sz w:val="21"/>
                <w:szCs w:val="21"/>
              </w:rPr>
              <w:t>3</w:t>
            </w:r>
            <w:r>
              <w:rPr>
                <w:rFonts w:ascii="Times New Roman" w:eastAsia="宋体"/>
                <w:color w:val="auto"/>
                <w:sz w:val="21"/>
                <w:szCs w:val="21"/>
              </w:rPr>
              <w:t>年</w:t>
            </w:r>
          </w:p>
          <w:p>
            <w:pPr>
              <w:snapToGrid w:val="0"/>
              <w:rPr>
                <w:rFonts w:ascii="Times New Roman" w:eastAsia="宋体"/>
                <w:color w:val="auto"/>
                <w:sz w:val="21"/>
                <w:szCs w:val="21"/>
              </w:rPr>
            </w:pPr>
            <w:r>
              <w:rPr>
                <w:rFonts w:hint="eastAsia" w:ascii="Times New Roman" w:eastAsia="宋体"/>
                <w:color w:val="auto"/>
                <w:sz w:val="21"/>
                <w:szCs w:val="21"/>
              </w:rPr>
              <w:t>7月12日</w:t>
            </w: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35</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bottom w:val="single" w:color="auto" w:sz="4"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restart"/>
            <w:tcBorders>
              <w:top w:val="single" w:color="auto" w:sz="4" w:space="0"/>
              <w:bottom w:val="single" w:color="auto" w:sz="4"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op w:val="single" w:color="auto" w:sz="4" w:space="0"/>
              <w:bottom w:val="single" w:color="auto" w:sz="4" w:space="0"/>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op w:val="single" w:color="auto" w:sz="4" w:space="0"/>
              <w:bottom w:val="single" w:color="auto" w:sz="4" w:space="0"/>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op w:val="single" w:color="auto" w:sz="4" w:space="0"/>
              <w:bottom w:val="single" w:color="auto" w:sz="4" w:space="0"/>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w:t>
            </w:r>
          </w:p>
        </w:tc>
        <w:tc>
          <w:tcPr>
            <w:tcW w:w="697" w:type="pct"/>
            <w:vMerge w:val="restart"/>
            <w:tcBorders>
              <w:top w:val="single" w:color="auto" w:sz="4" w:space="0"/>
              <w:bottom w:val="single" w:color="auto" w:sz="4"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35</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continue"/>
            <w:tcBorders>
              <w:top w:val="single" w:color="auto" w:sz="4" w:space="0"/>
              <w:bottom w:val="single" w:color="auto" w:sz="4" w:space="0"/>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op w:val="single" w:color="auto" w:sz="4" w:space="0"/>
              <w:bottom w:val="single" w:color="auto" w:sz="4" w:space="0"/>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op w:val="single" w:color="auto" w:sz="4" w:space="0"/>
              <w:bottom w:val="single" w:color="auto" w:sz="4" w:space="0"/>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op w:val="single" w:color="auto" w:sz="4"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restart"/>
            <w:tcBorders>
              <w:tl2br w:val="nil"/>
              <w:tr2bl w:val="nil"/>
            </w:tcBorders>
            <w:vAlign w:val="center"/>
          </w:tcPr>
          <w:p>
            <w:pPr>
              <w:snapToGrid w:val="0"/>
              <w:rPr>
                <w:rFonts w:ascii="Times New Roman" w:eastAsia="宋体"/>
                <w:color w:val="auto"/>
                <w:sz w:val="21"/>
                <w:szCs w:val="21"/>
              </w:rPr>
            </w:pPr>
            <w:r>
              <w:rPr>
                <w:rFonts w:hint="eastAsia" w:ascii="Times New Roman" w:eastAsia="宋体"/>
                <w:color w:val="auto"/>
                <w:sz w:val="21"/>
                <w:szCs w:val="21"/>
              </w:rPr>
              <w:t>7月13日</w:t>
            </w: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42</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7月15日</w:t>
            </w: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42</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48</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60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7月16日</w:t>
            </w: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42</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60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42</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7月17日</w:t>
            </w: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45</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60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35</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restart"/>
            <w:tcBorders>
              <w:tl2br w:val="nil"/>
              <w:tr2bl w:val="nil"/>
            </w:tcBorders>
            <w:vAlign w:val="center"/>
          </w:tcPr>
          <w:p>
            <w:pPr>
              <w:snapToGrid w:val="0"/>
              <w:rPr>
                <w:rFonts w:ascii="Times New Roman" w:eastAsia="宋体"/>
                <w:color w:val="auto"/>
                <w:sz w:val="21"/>
                <w:szCs w:val="21"/>
              </w:rPr>
            </w:pPr>
            <w:r>
              <w:rPr>
                <w:rFonts w:hint="eastAsia" w:ascii="Times New Roman" w:eastAsia="宋体"/>
                <w:color w:val="auto"/>
                <w:sz w:val="21"/>
                <w:szCs w:val="21"/>
              </w:rPr>
              <w:t>7月18日</w:t>
            </w: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35</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2#</w:t>
            </w: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硫化氢</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w:t>
            </w: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第一次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60</w:t>
            </w:r>
          </w:p>
        </w:tc>
        <w:tc>
          <w:tcPr>
            <w:tcW w:w="697"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200</w:t>
            </w:r>
          </w:p>
          <w:p>
            <w:pPr>
              <w:snapToGrid w:val="0"/>
              <w:jc w:val="center"/>
              <w:rPr>
                <w:rFonts w:ascii="Times New Roman" w:eastAsia="宋体"/>
                <w:color w:val="auto"/>
                <w:sz w:val="21"/>
                <w:szCs w:val="21"/>
              </w:rPr>
            </w:pPr>
          </w:p>
        </w:tc>
        <w:tc>
          <w:tcPr>
            <w:tcW w:w="394" w:type="pct"/>
            <w:vMerge w:val="restar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第二次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第三次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40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vMerge w:val="continue"/>
            <w:tcBorders>
              <w:tl2br w:val="nil"/>
              <w:tr2bl w:val="nil"/>
            </w:tcBorders>
            <w:vAlign w:val="center"/>
          </w:tcPr>
          <w:p>
            <w:pPr>
              <w:snapToGrid w:val="0"/>
              <w:jc w:val="center"/>
              <w:rPr>
                <w:rFonts w:ascii="Times New Roman" w:eastAsia="宋体"/>
                <w:color w:val="auto"/>
                <w:sz w:val="21"/>
                <w:szCs w:val="21"/>
              </w:rPr>
            </w:pPr>
          </w:p>
        </w:tc>
        <w:tc>
          <w:tcPr>
            <w:tcW w:w="661"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第四次</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50</w:t>
            </w:r>
          </w:p>
        </w:tc>
        <w:tc>
          <w:tcPr>
            <w:tcW w:w="697"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c>
          <w:tcPr>
            <w:tcW w:w="394"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臭气浓度</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642" w:type="pct"/>
            <w:vMerge w:val="continue"/>
            <w:tcBorders>
              <w:tl2br w:val="nil"/>
              <w:tr2bl w:val="nil"/>
            </w:tcBorders>
            <w:vAlign w:val="center"/>
          </w:tcPr>
          <w:p>
            <w:pPr>
              <w:snapToGrid w:val="0"/>
              <w:jc w:val="center"/>
              <w:rPr>
                <w:rFonts w:ascii="Times New Roman" w:eastAsia="宋体"/>
                <w:color w:val="auto"/>
                <w:sz w:val="21"/>
                <w:szCs w:val="21"/>
              </w:rPr>
            </w:pPr>
          </w:p>
        </w:tc>
        <w:tc>
          <w:tcPr>
            <w:tcW w:w="625" w:type="pct"/>
            <w:vMerge w:val="continue"/>
            <w:tcBorders>
              <w:tl2br w:val="nil"/>
              <w:tr2bl w:val="nil"/>
            </w:tcBorders>
            <w:vAlign w:val="center"/>
          </w:tcPr>
          <w:p>
            <w:pPr>
              <w:snapToGrid w:val="0"/>
              <w:jc w:val="center"/>
              <w:rPr>
                <w:rFonts w:ascii="Times New Roman" w:eastAsia="宋体"/>
                <w:color w:val="auto"/>
                <w:sz w:val="21"/>
                <w:szCs w:val="21"/>
              </w:rPr>
            </w:pPr>
          </w:p>
        </w:tc>
        <w:tc>
          <w:tcPr>
            <w:tcW w:w="688"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TSP</w:t>
            </w:r>
          </w:p>
        </w:tc>
        <w:tc>
          <w:tcPr>
            <w:tcW w:w="661"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w:t>
            </w:r>
          </w:p>
        </w:tc>
        <w:tc>
          <w:tcPr>
            <w:tcW w:w="896"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697"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＜7</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300</w:t>
            </w:r>
          </w:p>
        </w:tc>
        <w:tc>
          <w:tcPr>
            <w:tcW w:w="394"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是</w:t>
            </w:r>
          </w:p>
        </w:tc>
      </w:tr>
    </w:tbl>
    <w:p>
      <w:pPr>
        <w:autoSpaceDE w:val="0"/>
        <w:autoSpaceDN w:val="0"/>
        <w:adjustRightInd w:val="0"/>
        <w:spacing w:line="360" w:lineRule="auto"/>
        <w:ind w:firstLine="482"/>
        <w:rPr>
          <w:rFonts w:ascii="Times New Roman" w:eastAsia="宋体"/>
          <w:color w:val="auto"/>
          <w:szCs w:val="24"/>
        </w:rPr>
      </w:pP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4</w:t>
      </w:r>
      <w:r>
        <w:rPr>
          <w:rFonts w:ascii="Times New Roman" w:eastAsia="宋体"/>
          <w:b/>
          <w:bCs/>
          <w:color w:val="auto"/>
          <w:kern w:val="2"/>
          <w:sz w:val="24"/>
        </w:rPr>
        <w:t>.2.</w:t>
      </w:r>
      <w:r>
        <w:rPr>
          <w:rFonts w:hint="eastAsia" w:ascii="Times New Roman" w:eastAsia="宋体"/>
          <w:b/>
          <w:bCs/>
          <w:color w:val="auto"/>
          <w:kern w:val="2"/>
          <w:sz w:val="24"/>
        </w:rPr>
        <w:t>3</w:t>
      </w:r>
      <w:r>
        <w:rPr>
          <w:rFonts w:ascii="Times New Roman" w:eastAsia="宋体"/>
          <w:b/>
          <w:bCs/>
          <w:color w:val="auto"/>
          <w:kern w:val="2"/>
          <w:sz w:val="24"/>
        </w:rPr>
        <w:t>环境空气质量现状评价</w:t>
      </w:r>
    </w:p>
    <w:p>
      <w:pPr>
        <w:autoSpaceDE w:val="0"/>
        <w:autoSpaceDN w:val="0"/>
        <w:adjustRightInd w:val="0"/>
        <w:spacing w:line="360" w:lineRule="auto"/>
        <w:ind w:firstLine="482"/>
        <w:rPr>
          <w:rFonts w:ascii="Times New Roman" w:eastAsia="宋体"/>
          <w:color w:val="auto"/>
          <w:szCs w:val="24"/>
        </w:rPr>
      </w:pPr>
      <w:r>
        <w:rPr>
          <w:rFonts w:ascii="Times New Roman" w:eastAsia="宋体"/>
          <w:color w:val="auto"/>
          <w:szCs w:val="24"/>
          <w:lang w:val="zh-CN"/>
        </w:rPr>
        <w:t>根据上述监测结果，对各因子分析评价如下：</w:t>
      </w:r>
    </w:p>
    <w:p>
      <w:pPr>
        <w:spacing w:line="360" w:lineRule="auto"/>
        <w:ind w:firstLine="482"/>
        <w:rPr>
          <w:rFonts w:ascii="Times New Roman" w:eastAsia="宋体"/>
          <w:color w:val="auto"/>
          <w:lang w:val="zh-CN"/>
        </w:rPr>
      </w:pPr>
      <w:r>
        <w:rPr>
          <w:rFonts w:ascii="Times New Roman" w:eastAsia="宋体"/>
          <w:color w:val="auto"/>
          <w:lang w:val="zh-CN"/>
        </w:rPr>
        <w:t>（</w:t>
      </w:r>
      <w:r>
        <w:rPr>
          <w:rFonts w:hint="eastAsia" w:ascii="Times New Roman" w:eastAsia="宋体"/>
          <w:color w:val="auto"/>
        </w:rPr>
        <w:t>1</w:t>
      </w:r>
      <w:r>
        <w:rPr>
          <w:rFonts w:ascii="Times New Roman" w:eastAsia="宋体"/>
          <w:color w:val="auto"/>
          <w:lang w:val="zh-CN"/>
        </w:rPr>
        <w:t>）氨（</w:t>
      </w:r>
      <w:r>
        <w:rPr>
          <w:rFonts w:ascii="Times New Roman" w:eastAsia="宋体"/>
          <w:color w:val="auto"/>
        </w:rPr>
        <w:t>NH3</w:t>
      </w:r>
      <w:r>
        <w:rPr>
          <w:rFonts w:ascii="Times New Roman" w:eastAsia="宋体"/>
          <w:color w:val="auto"/>
          <w:lang w:val="zh-CN"/>
        </w:rPr>
        <w:t>）</w:t>
      </w:r>
    </w:p>
    <w:p>
      <w:pPr>
        <w:spacing w:line="360" w:lineRule="auto"/>
        <w:ind w:firstLine="482"/>
        <w:rPr>
          <w:rFonts w:ascii="Times New Roman" w:eastAsia="宋体"/>
          <w:color w:val="auto"/>
          <w:lang w:val="zh-CN"/>
        </w:rPr>
      </w:pPr>
      <w:r>
        <w:rPr>
          <w:rFonts w:ascii="Times New Roman" w:eastAsia="宋体"/>
          <w:color w:val="auto"/>
          <w:lang w:val="zh-CN"/>
        </w:rPr>
        <w:t>各监测点</w:t>
      </w:r>
      <w:r>
        <w:rPr>
          <w:rFonts w:ascii="Times New Roman" w:eastAsia="宋体"/>
          <w:color w:val="auto"/>
        </w:rPr>
        <w:t>NH3</w:t>
      </w:r>
      <w:r>
        <w:rPr>
          <w:rFonts w:hint="eastAsia" w:ascii="Times New Roman" w:eastAsia="宋体"/>
          <w:color w:val="auto"/>
          <w:lang w:val="zh-CN"/>
        </w:rPr>
        <w:t>小时</w:t>
      </w:r>
      <w:r>
        <w:rPr>
          <w:rFonts w:ascii="Times New Roman" w:eastAsia="宋体"/>
          <w:color w:val="auto"/>
          <w:lang w:val="zh-CN"/>
        </w:rPr>
        <w:t>平均浓度</w:t>
      </w:r>
      <w:r>
        <w:rPr>
          <w:rFonts w:hint="eastAsia" w:ascii="Times New Roman" w:eastAsia="宋体"/>
          <w:color w:val="auto"/>
          <w:lang w:val="zh-CN"/>
        </w:rPr>
        <w:t>均</w:t>
      </w:r>
      <w:r>
        <w:rPr>
          <w:rFonts w:ascii="Times New Roman" w:eastAsia="宋体"/>
          <w:color w:val="auto"/>
          <w:lang w:val="zh-CN"/>
        </w:rPr>
        <w:t>符合《环境影响评价技术导则大气环境》HJ2.2-2018表D.1其他污染物空气质量浓度参考限值标准的要求。</w:t>
      </w:r>
    </w:p>
    <w:p>
      <w:pPr>
        <w:spacing w:line="360" w:lineRule="auto"/>
        <w:ind w:firstLine="482"/>
        <w:rPr>
          <w:rFonts w:ascii="Times New Roman" w:eastAsia="宋体"/>
          <w:color w:val="auto"/>
          <w:lang w:val="zh-CN"/>
        </w:rPr>
      </w:pPr>
      <w:r>
        <w:rPr>
          <w:rFonts w:ascii="Times New Roman" w:eastAsia="宋体"/>
          <w:color w:val="auto"/>
          <w:lang w:val="zh-CN"/>
        </w:rPr>
        <w:t>（</w:t>
      </w:r>
      <w:r>
        <w:rPr>
          <w:rFonts w:hint="eastAsia" w:ascii="Times New Roman" w:eastAsia="宋体"/>
          <w:color w:val="auto"/>
        </w:rPr>
        <w:t>2</w:t>
      </w:r>
      <w:r>
        <w:rPr>
          <w:rFonts w:ascii="Times New Roman" w:eastAsia="宋体"/>
          <w:color w:val="auto"/>
          <w:lang w:val="zh-CN"/>
        </w:rPr>
        <w:t>）</w:t>
      </w:r>
      <w:r>
        <w:rPr>
          <w:rFonts w:ascii="Times New Roman" w:eastAsia="宋体"/>
          <w:color w:val="auto"/>
        </w:rPr>
        <w:t>硫化氢</w:t>
      </w:r>
      <w:r>
        <w:rPr>
          <w:rFonts w:ascii="Times New Roman" w:eastAsia="宋体"/>
          <w:color w:val="auto"/>
          <w:lang w:val="zh-CN"/>
        </w:rPr>
        <w:t>（</w:t>
      </w:r>
      <w:r>
        <w:rPr>
          <w:rFonts w:ascii="Times New Roman" w:eastAsia="宋体"/>
          <w:color w:val="auto"/>
        </w:rPr>
        <w:t>H2S</w:t>
      </w:r>
      <w:r>
        <w:rPr>
          <w:rFonts w:ascii="Times New Roman" w:eastAsia="宋体"/>
          <w:color w:val="auto"/>
          <w:lang w:val="zh-CN"/>
        </w:rPr>
        <w:t>）</w:t>
      </w:r>
    </w:p>
    <w:p>
      <w:pPr>
        <w:spacing w:line="360" w:lineRule="auto"/>
        <w:ind w:firstLine="482"/>
        <w:rPr>
          <w:rFonts w:ascii="Times New Roman" w:eastAsia="宋体"/>
          <w:color w:val="auto"/>
          <w:lang w:val="zh-CN"/>
        </w:rPr>
      </w:pPr>
      <w:r>
        <w:rPr>
          <w:rFonts w:ascii="Times New Roman" w:eastAsia="宋体"/>
          <w:color w:val="auto"/>
          <w:lang w:val="zh-CN"/>
        </w:rPr>
        <w:t>各监测点H2S小时平均浓度</w:t>
      </w:r>
      <w:r>
        <w:rPr>
          <w:rFonts w:hint="eastAsia" w:ascii="Times New Roman" w:eastAsia="宋体"/>
          <w:color w:val="auto"/>
          <w:lang w:val="zh-CN"/>
        </w:rPr>
        <w:t>均</w:t>
      </w:r>
      <w:r>
        <w:rPr>
          <w:rFonts w:ascii="Times New Roman" w:eastAsia="宋体"/>
          <w:color w:val="auto"/>
          <w:lang w:val="zh-CN"/>
        </w:rPr>
        <w:t>符合《环境影响评价技术导则大气环境》HJ2.2-2018表D.1其他污染物空气质量浓度参考限值标准的要求。</w:t>
      </w:r>
    </w:p>
    <w:p>
      <w:pPr>
        <w:spacing w:line="360" w:lineRule="auto"/>
        <w:ind w:firstLine="482"/>
        <w:rPr>
          <w:rFonts w:ascii="Times New Roman" w:eastAsia="宋体"/>
          <w:color w:val="auto"/>
        </w:rPr>
      </w:pPr>
      <w:r>
        <w:rPr>
          <w:rFonts w:hint="eastAsia" w:ascii="Times New Roman" w:eastAsia="宋体"/>
          <w:color w:val="auto"/>
          <w:lang w:val="zh-CN"/>
        </w:rPr>
        <w:t>（</w:t>
      </w:r>
      <w:r>
        <w:rPr>
          <w:rFonts w:hint="eastAsia" w:ascii="Times New Roman" w:eastAsia="宋体"/>
          <w:color w:val="auto"/>
        </w:rPr>
        <w:t>3</w:t>
      </w:r>
      <w:r>
        <w:rPr>
          <w:rFonts w:hint="eastAsia" w:ascii="Times New Roman" w:eastAsia="宋体"/>
          <w:color w:val="auto"/>
          <w:lang w:val="zh-CN"/>
        </w:rPr>
        <w:t>）</w:t>
      </w:r>
      <w:r>
        <w:rPr>
          <w:rFonts w:hint="eastAsia" w:ascii="Times New Roman" w:eastAsia="宋体"/>
          <w:color w:val="auto"/>
        </w:rPr>
        <w:t>总悬浮颗粒物（TSP）</w:t>
      </w:r>
    </w:p>
    <w:p>
      <w:pPr>
        <w:spacing w:line="360" w:lineRule="auto"/>
        <w:ind w:firstLine="482"/>
        <w:rPr>
          <w:rFonts w:ascii="Times New Roman" w:eastAsia="宋体"/>
          <w:color w:val="auto"/>
          <w:lang w:val="zh-CN"/>
        </w:rPr>
      </w:pPr>
      <w:r>
        <w:rPr>
          <w:rFonts w:ascii="Times New Roman" w:eastAsia="宋体"/>
          <w:color w:val="auto"/>
          <w:lang w:val="zh-CN"/>
        </w:rPr>
        <w:t>各监测点</w:t>
      </w:r>
      <w:r>
        <w:rPr>
          <w:rFonts w:hint="eastAsia" w:ascii="Times New Roman" w:eastAsia="宋体"/>
          <w:color w:val="auto"/>
        </w:rPr>
        <w:t>TSP 24h</w:t>
      </w:r>
      <w:r>
        <w:rPr>
          <w:rFonts w:ascii="Times New Roman" w:eastAsia="宋体"/>
          <w:color w:val="auto"/>
          <w:lang w:val="zh-CN"/>
        </w:rPr>
        <w:t>平均浓度</w:t>
      </w:r>
      <w:r>
        <w:rPr>
          <w:rFonts w:hint="eastAsia" w:ascii="Times New Roman" w:eastAsia="宋体"/>
          <w:color w:val="auto"/>
          <w:lang w:val="zh-CN"/>
        </w:rPr>
        <w:t>均</w:t>
      </w:r>
      <w:r>
        <w:rPr>
          <w:rFonts w:ascii="Times New Roman" w:eastAsia="宋体"/>
          <w:color w:val="auto"/>
          <w:lang w:val="zh-CN"/>
        </w:rPr>
        <w:t>符合</w:t>
      </w:r>
      <w:r>
        <w:rPr>
          <w:rFonts w:hint="eastAsia" w:ascii="Times New Roman" w:eastAsia="宋体"/>
          <w:color w:val="auto"/>
        </w:rPr>
        <w:t>《环境空气质量标准》（GB3095-2012）及修改单表2标准</w:t>
      </w:r>
      <w:r>
        <w:rPr>
          <w:rFonts w:ascii="Times New Roman" w:eastAsia="宋体"/>
          <w:color w:val="auto"/>
          <w:lang w:val="zh-CN"/>
        </w:rPr>
        <w:t>要求。</w:t>
      </w:r>
    </w:p>
    <w:p>
      <w:pPr>
        <w:spacing w:line="360" w:lineRule="auto"/>
        <w:ind w:firstLine="482"/>
        <w:rPr>
          <w:rFonts w:ascii="Times New Roman" w:eastAsia="宋体"/>
          <w:color w:val="auto"/>
        </w:rPr>
      </w:pPr>
      <w:r>
        <w:rPr>
          <w:rFonts w:hint="eastAsia" w:ascii="Times New Roman" w:eastAsia="宋体"/>
          <w:color w:val="auto"/>
        </w:rPr>
        <w:t>（4）臭气浓度：臭气浓度无环境空气标准限值，不进行评价</w:t>
      </w:r>
      <w:r>
        <w:rPr>
          <w:rFonts w:ascii="Times New Roman" w:eastAsia="宋体"/>
          <w:color w:val="auto"/>
          <w:lang w:val="zh-CN"/>
        </w:rPr>
        <w:t>。</w:t>
      </w:r>
    </w:p>
    <w:p>
      <w:pPr>
        <w:keepNext/>
        <w:keepLines/>
        <w:spacing w:line="360" w:lineRule="auto"/>
        <w:ind w:firstLine="496" w:firstLineChars="200"/>
        <w:rPr>
          <w:rFonts w:ascii="Times New Roman" w:eastAsia="宋体"/>
          <w:color w:val="auto"/>
          <w:kern w:val="2"/>
          <w:szCs w:val="24"/>
          <w:lang w:val="zh-CN"/>
        </w:rPr>
      </w:pPr>
      <w:r>
        <w:rPr>
          <w:rFonts w:ascii="Times New Roman" w:eastAsia="宋体"/>
          <w:color w:val="auto"/>
          <w:kern w:val="2"/>
          <w:szCs w:val="24"/>
          <w:lang w:val="zh-CN"/>
        </w:rPr>
        <w:t>综上所述，该地区</w:t>
      </w:r>
      <w:r>
        <w:rPr>
          <w:rFonts w:hint="eastAsia" w:ascii="Times New Roman" w:eastAsia="宋体"/>
          <w:color w:val="auto"/>
          <w:kern w:val="2"/>
          <w:szCs w:val="24"/>
        </w:rPr>
        <w:t>TSP、</w:t>
      </w:r>
      <w:r>
        <w:rPr>
          <w:rFonts w:ascii="Times New Roman" w:eastAsia="宋体"/>
          <w:color w:val="auto"/>
          <w:kern w:val="2"/>
          <w:szCs w:val="24"/>
        </w:rPr>
        <w:t>NH</w:t>
      </w:r>
      <w:r>
        <w:rPr>
          <w:rFonts w:ascii="Times New Roman" w:eastAsia="宋体"/>
          <w:color w:val="auto"/>
          <w:kern w:val="2"/>
          <w:szCs w:val="24"/>
          <w:vertAlign w:val="subscript"/>
        </w:rPr>
        <w:t>3</w:t>
      </w:r>
      <w:r>
        <w:rPr>
          <w:rFonts w:ascii="Times New Roman" w:eastAsia="宋体"/>
          <w:color w:val="auto"/>
          <w:kern w:val="2"/>
          <w:szCs w:val="24"/>
          <w:lang w:val="zh-CN"/>
        </w:rPr>
        <w:t>、</w:t>
      </w:r>
      <w:r>
        <w:rPr>
          <w:rFonts w:ascii="Times New Roman" w:eastAsia="宋体"/>
          <w:color w:val="auto"/>
          <w:kern w:val="2"/>
          <w:szCs w:val="24"/>
        </w:rPr>
        <w:t>H</w:t>
      </w:r>
      <w:r>
        <w:rPr>
          <w:rFonts w:ascii="Times New Roman" w:eastAsia="宋体"/>
          <w:color w:val="auto"/>
          <w:kern w:val="2"/>
          <w:szCs w:val="24"/>
          <w:vertAlign w:val="subscript"/>
        </w:rPr>
        <w:t>2</w:t>
      </w:r>
      <w:r>
        <w:rPr>
          <w:rFonts w:ascii="Times New Roman" w:eastAsia="宋体"/>
          <w:color w:val="auto"/>
          <w:kern w:val="2"/>
          <w:szCs w:val="24"/>
        </w:rPr>
        <w:t>S</w:t>
      </w:r>
      <w:r>
        <w:rPr>
          <w:rFonts w:hint="eastAsia" w:ascii="Times New Roman" w:eastAsia="宋体"/>
          <w:color w:val="auto"/>
          <w:kern w:val="2"/>
          <w:szCs w:val="24"/>
        </w:rPr>
        <w:t>监测结果均达标</w:t>
      </w:r>
      <w:r>
        <w:rPr>
          <w:rFonts w:ascii="Times New Roman" w:eastAsia="宋体"/>
          <w:color w:val="auto"/>
          <w:kern w:val="2"/>
          <w:szCs w:val="24"/>
          <w:lang w:val="zh-CN"/>
        </w:rPr>
        <w:t>，目前该地区环境空气质量状况良好</w:t>
      </w:r>
      <w:r>
        <w:rPr>
          <w:rFonts w:hint="eastAsia" w:ascii="Times New Roman" w:eastAsia="宋体"/>
          <w:color w:val="auto"/>
          <w:kern w:val="2"/>
          <w:szCs w:val="24"/>
          <w:lang w:val="zh-CN"/>
        </w:rPr>
        <w:t>。</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66" w:name="_Toc360"/>
      <w:r>
        <w:rPr>
          <w:rFonts w:ascii="Times New Roman" w:hAnsi="Times New Roman" w:eastAsia="宋体"/>
          <w:color w:val="auto"/>
          <w:kern w:val="2"/>
          <w:sz w:val="28"/>
          <w:szCs w:val="28"/>
        </w:rPr>
        <w:t>4.3地下水环境质量现状调查及评价</w:t>
      </w:r>
      <w:bookmarkEnd w:id="366"/>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4</w:t>
      </w:r>
      <w:r>
        <w:rPr>
          <w:rFonts w:ascii="Times New Roman" w:eastAsia="宋体"/>
          <w:b/>
          <w:bCs/>
          <w:color w:val="auto"/>
          <w:kern w:val="2"/>
          <w:sz w:val="24"/>
        </w:rPr>
        <w:t>.</w:t>
      </w:r>
      <w:r>
        <w:rPr>
          <w:rFonts w:hint="eastAsia" w:ascii="Times New Roman" w:eastAsia="宋体"/>
          <w:b/>
          <w:bCs/>
          <w:color w:val="auto"/>
          <w:kern w:val="2"/>
          <w:sz w:val="24"/>
        </w:rPr>
        <w:t>3</w:t>
      </w:r>
      <w:r>
        <w:rPr>
          <w:rFonts w:ascii="Times New Roman" w:eastAsia="宋体"/>
          <w:b/>
          <w:bCs/>
          <w:color w:val="auto"/>
          <w:kern w:val="2"/>
          <w:sz w:val="24"/>
        </w:rPr>
        <w:t>.1地下水环境现状调查</w:t>
      </w:r>
    </w:p>
    <w:p>
      <w:pPr>
        <w:spacing w:line="360" w:lineRule="auto"/>
        <w:ind w:firstLine="496" w:firstLineChars="200"/>
        <w:rPr>
          <w:rFonts w:ascii="Times New Roman" w:eastAsia="宋体"/>
          <w:color w:val="auto"/>
        </w:rPr>
      </w:pPr>
      <w:r>
        <w:rPr>
          <w:rFonts w:ascii="Times New Roman" w:eastAsia="宋体"/>
          <w:color w:val="auto"/>
          <w:szCs w:val="24"/>
        </w:rPr>
        <w:t>本项目地下水现状调查主要取项目</w:t>
      </w:r>
      <w:r>
        <w:rPr>
          <w:rFonts w:hint="eastAsia" w:ascii="Times New Roman" w:eastAsia="宋体"/>
          <w:color w:val="auto"/>
          <w:szCs w:val="24"/>
        </w:rPr>
        <w:t>厂址及</w:t>
      </w:r>
      <w:r>
        <w:rPr>
          <w:rFonts w:ascii="Times New Roman" w:eastAsia="宋体"/>
          <w:color w:val="auto"/>
          <w:szCs w:val="24"/>
        </w:rPr>
        <w:t>下游</w:t>
      </w:r>
      <w:r>
        <w:rPr>
          <w:rFonts w:hint="eastAsia" w:ascii="Times New Roman" w:eastAsia="宋体"/>
          <w:color w:val="auto"/>
          <w:szCs w:val="24"/>
        </w:rPr>
        <w:t>地下水</w:t>
      </w:r>
      <w:r>
        <w:rPr>
          <w:rFonts w:ascii="Times New Roman" w:eastAsia="宋体"/>
          <w:color w:val="auto"/>
          <w:szCs w:val="24"/>
        </w:rPr>
        <w:t>调查。</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4</w:t>
      </w:r>
      <w:r>
        <w:rPr>
          <w:rFonts w:ascii="Times New Roman" w:eastAsia="宋体"/>
          <w:b/>
          <w:bCs/>
          <w:color w:val="auto"/>
          <w:kern w:val="2"/>
          <w:sz w:val="24"/>
        </w:rPr>
        <w:t>.</w:t>
      </w:r>
      <w:r>
        <w:rPr>
          <w:rFonts w:hint="eastAsia" w:ascii="Times New Roman" w:eastAsia="宋体"/>
          <w:b/>
          <w:bCs/>
          <w:color w:val="auto"/>
          <w:kern w:val="2"/>
          <w:sz w:val="24"/>
        </w:rPr>
        <w:t>3</w:t>
      </w:r>
      <w:r>
        <w:rPr>
          <w:rFonts w:ascii="Times New Roman" w:eastAsia="宋体"/>
          <w:b/>
          <w:bCs/>
          <w:color w:val="auto"/>
          <w:kern w:val="2"/>
          <w:sz w:val="24"/>
        </w:rPr>
        <w:t>.2地下水现状调查及评价</w:t>
      </w:r>
    </w:p>
    <w:p>
      <w:pPr>
        <w:spacing w:line="360" w:lineRule="auto"/>
        <w:ind w:firstLine="482"/>
        <w:rPr>
          <w:rFonts w:ascii="Times New Roman" w:eastAsia="宋体"/>
          <w:color w:val="auto"/>
        </w:rPr>
      </w:pPr>
      <w:r>
        <w:rPr>
          <w:rFonts w:hint="eastAsia" w:ascii="Times New Roman" w:eastAsia="宋体"/>
          <w:color w:val="auto"/>
        </w:rPr>
        <w:t>（1）监测点位</w:t>
      </w:r>
    </w:p>
    <w:p>
      <w:pPr>
        <w:spacing w:line="360" w:lineRule="auto"/>
        <w:ind w:firstLine="496" w:firstLineChars="200"/>
        <w:rPr>
          <w:rFonts w:ascii="Times New Roman" w:eastAsia="宋体"/>
          <w:color w:val="auto"/>
          <w:szCs w:val="24"/>
        </w:rPr>
      </w:pPr>
      <w:r>
        <w:rPr>
          <w:rFonts w:ascii="Times New Roman" w:eastAsia="宋体"/>
          <w:color w:val="auto"/>
          <w:szCs w:val="24"/>
        </w:rPr>
        <w:t>共</w:t>
      </w:r>
      <w:r>
        <w:rPr>
          <w:rFonts w:hint="eastAsia" w:ascii="Times New Roman" w:eastAsia="宋体"/>
          <w:color w:val="auto"/>
          <w:szCs w:val="24"/>
          <w:lang w:val="en-US" w:eastAsia="zh-CN"/>
        </w:rPr>
        <w:t>6</w:t>
      </w:r>
      <w:r>
        <w:rPr>
          <w:rFonts w:ascii="Times New Roman" w:eastAsia="宋体"/>
          <w:color w:val="auto"/>
          <w:szCs w:val="24"/>
        </w:rPr>
        <w:t>个监测点位</w:t>
      </w:r>
      <w:r>
        <w:rPr>
          <w:rFonts w:hint="eastAsia" w:ascii="Times New Roman" w:eastAsia="宋体"/>
          <w:color w:val="auto"/>
          <w:szCs w:val="24"/>
        </w:rPr>
        <w:t>，</w:t>
      </w:r>
      <w:r>
        <w:rPr>
          <w:rFonts w:ascii="Times New Roman" w:eastAsia="宋体"/>
          <w:color w:val="auto"/>
          <w:szCs w:val="24"/>
        </w:rPr>
        <w:t>监测点位置见项目评价范围图见图</w:t>
      </w:r>
      <w:r>
        <w:rPr>
          <w:rFonts w:hint="eastAsia" w:ascii="Times New Roman" w:eastAsia="宋体"/>
          <w:color w:val="auto"/>
          <w:szCs w:val="24"/>
        </w:rPr>
        <w:t>4</w:t>
      </w:r>
      <w:r>
        <w:rPr>
          <w:rFonts w:ascii="Times New Roman" w:eastAsia="宋体"/>
          <w:color w:val="auto"/>
          <w:szCs w:val="24"/>
        </w:rPr>
        <w:t>.2</w:t>
      </w:r>
      <w:r>
        <w:rPr>
          <w:rFonts w:hint="eastAsia" w:ascii="Times New Roman" w:eastAsia="宋体"/>
          <w:color w:val="auto"/>
          <w:szCs w:val="24"/>
        </w:rPr>
        <w:t>-1</w:t>
      </w:r>
      <w:r>
        <w:rPr>
          <w:rFonts w:ascii="Times New Roman" w:eastAsia="宋体"/>
          <w:color w:val="auto"/>
          <w:szCs w:val="24"/>
        </w:rPr>
        <w:t>。</w:t>
      </w:r>
    </w:p>
    <w:p>
      <w:pPr>
        <w:spacing w:beforeLines="50" w:line="0" w:lineRule="atLeast"/>
        <w:jc w:val="center"/>
        <w:rPr>
          <w:rFonts w:ascii="Times New Roman" w:eastAsia="宋体"/>
          <w:b/>
          <w:color w:val="auto"/>
          <w:sz w:val="21"/>
          <w:szCs w:val="21"/>
        </w:rPr>
      </w:pPr>
      <w:r>
        <w:rPr>
          <w:rFonts w:ascii="Times New Roman" w:eastAsia="宋体"/>
          <w:b/>
          <w:color w:val="auto"/>
          <w:sz w:val="21"/>
          <w:szCs w:val="21"/>
        </w:rPr>
        <w:t>表 4.</w:t>
      </w:r>
      <w:r>
        <w:rPr>
          <w:rFonts w:hint="eastAsia" w:ascii="Times New Roman" w:eastAsia="宋体"/>
          <w:b/>
          <w:color w:val="auto"/>
          <w:sz w:val="21"/>
          <w:szCs w:val="21"/>
        </w:rPr>
        <w:t>3</w:t>
      </w:r>
      <w:r>
        <w:rPr>
          <w:rFonts w:ascii="Times New Roman" w:eastAsia="宋体"/>
          <w:b/>
          <w:color w:val="auto"/>
          <w:sz w:val="21"/>
          <w:szCs w:val="21"/>
        </w:rPr>
        <w:t>-</w:t>
      </w:r>
      <w:r>
        <w:rPr>
          <w:rFonts w:hint="eastAsia" w:ascii="Times New Roman" w:eastAsia="宋体"/>
          <w:b/>
          <w:color w:val="auto"/>
          <w:sz w:val="21"/>
          <w:szCs w:val="21"/>
        </w:rPr>
        <w:t>1</w:t>
      </w:r>
      <w:r>
        <w:rPr>
          <w:rFonts w:ascii="Times New Roman" w:eastAsia="宋体"/>
          <w:b/>
          <w:color w:val="auto"/>
          <w:sz w:val="21"/>
          <w:szCs w:val="21"/>
        </w:rPr>
        <w:t>地下水环境质量现状监测点位图</w:t>
      </w:r>
    </w:p>
    <w:p>
      <w:pPr>
        <w:widowControl/>
        <w:kinsoku w:val="0"/>
        <w:autoSpaceDE w:val="0"/>
        <w:autoSpaceDN w:val="0"/>
        <w:adjustRightInd w:val="0"/>
        <w:snapToGrid w:val="0"/>
        <w:spacing w:line="92" w:lineRule="exact"/>
        <w:jc w:val="left"/>
        <w:textAlignment w:val="baseline"/>
        <w:rPr>
          <w:rFonts w:ascii="Arial" w:hAnsi="Arial" w:eastAsia="Arial" w:cs="Arial"/>
          <w:snapToGrid w:val="0"/>
          <w:color w:val="auto"/>
          <w:sz w:val="21"/>
          <w:szCs w:val="21"/>
        </w:rPr>
      </w:pPr>
    </w:p>
    <w:tbl>
      <w:tblPr>
        <w:tblStyle w:val="439"/>
        <w:tblW w:w="8377"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0" w:type="dxa"/>
          <w:bottom w:w="0" w:type="dxa"/>
          <w:right w:w="0" w:type="dxa"/>
        </w:tblCellMar>
      </w:tblPr>
      <w:tblGrid>
        <w:gridCol w:w="1005"/>
        <w:gridCol w:w="2475"/>
        <w:gridCol w:w="1730"/>
        <w:gridCol w:w="1655"/>
        <w:gridCol w:w="1512"/>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492" w:hRule="atLeast"/>
          <w:jc w:val="center"/>
        </w:trPr>
        <w:tc>
          <w:tcPr>
            <w:tcW w:w="1005" w:type="dxa"/>
            <w:tcBorders>
              <w:tl2br w:val="nil"/>
              <w:tr2bl w:val="nil"/>
            </w:tcBorders>
            <w:vAlign w:val="center"/>
          </w:tcPr>
          <w:p>
            <w:pPr>
              <w:snapToGrid w:val="0"/>
              <w:jc w:val="center"/>
              <w:rPr>
                <w:rFonts w:ascii="Times New Roman" w:eastAsia="宋体"/>
                <w:b/>
                <w:bCs/>
                <w:color w:val="auto"/>
                <w:sz w:val="21"/>
                <w:szCs w:val="21"/>
                <w:lang w:eastAsia="en-US"/>
              </w:rPr>
            </w:pPr>
            <w:r>
              <w:rPr>
                <w:rFonts w:hint="eastAsia" w:ascii="Times New Roman" w:eastAsia="宋体"/>
                <w:b/>
                <w:bCs/>
                <w:color w:val="auto"/>
                <w:sz w:val="21"/>
                <w:szCs w:val="21"/>
                <w:lang w:eastAsia="en-US"/>
              </w:rPr>
              <w:t>编号</w:t>
            </w:r>
          </w:p>
        </w:tc>
        <w:tc>
          <w:tcPr>
            <w:tcW w:w="2475" w:type="dxa"/>
            <w:tcBorders>
              <w:tl2br w:val="nil"/>
              <w:tr2bl w:val="nil"/>
            </w:tcBorders>
            <w:vAlign w:val="center"/>
          </w:tcPr>
          <w:p>
            <w:pPr>
              <w:snapToGrid w:val="0"/>
              <w:jc w:val="center"/>
              <w:rPr>
                <w:rFonts w:ascii="Times New Roman" w:eastAsia="宋体"/>
                <w:b/>
                <w:bCs/>
                <w:color w:val="auto"/>
                <w:sz w:val="21"/>
                <w:szCs w:val="21"/>
                <w:lang w:eastAsia="en-US"/>
              </w:rPr>
            </w:pPr>
            <w:r>
              <w:rPr>
                <w:rFonts w:hint="eastAsia" w:ascii="Times New Roman" w:eastAsia="宋体"/>
                <w:b/>
                <w:bCs/>
                <w:color w:val="auto"/>
                <w:sz w:val="21"/>
                <w:szCs w:val="21"/>
                <w:lang w:eastAsia="en-US"/>
              </w:rPr>
              <w:t>点位名称</w:t>
            </w:r>
          </w:p>
        </w:tc>
        <w:tc>
          <w:tcPr>
            <w:tcW w:w="1730" w:type="dxa"/>
            <w:tcBorders>
              <w:tl2br w:val="nil"/>
              <w:tr2bl w:val="nil"/>
            </w:tcBorders>
            <w:vAlign w:val="center"/>
          </w:tcPr>
          <w:p>
            <w:pPr>
              <w:snapToGrid w:val="0"/>
              <w:jc w:val="center"/>
              <w:rPr>
                <w:rFonts w:ascii="Times New Roman" w:eastAsia="宋体"/>
                <w:b/>
                <w:bCs/>
                <w:color w:val="auto"/>
                <w:sz w:val="21"/>
                <w:szCs w:val="21"/>
                <w:lang w:eastAsia="en-US"/>
              </w:rPr>
            </w:pPr>
            <w:r>
              <w:rPr>
                <w:rFonts w:hint="eastAsia" w:ascii="Times New Roman" w:eastAsia="宋体"/>
                <w:b/>
                <w:bCs/>
                <w:color w:val="auto"/>
                <w:sz w:val="21"/>
                <w:szCs w:val="21"/>
                <w:lang w:eastAsia="en-US"/>
              </w:rPr>
              <w:t>相对项目位置</w:t>
            </w:r>
          </w:p>
        </w:tc>
        <w:tc>
          <w:tcPr>
            <w:tcW w:w="1655" w:type="dxa"/>
            <w:tcBorders>
              <w:tl2br w:val="nil"/>
              <w:tr2bl w:val="nil"/>
            </w:tcBorders>
            <w:vAlign w:val="center"/>
          </w:tcPr>
          <w:p>
            <w:pPr>
              <w:snapToGrid w:val="0"/>
              <w:jc w:val="center"/>
              <w:rPr>
                <w:rFonts w:ascii="Times New Roman" w:eastAsia="宋体"/>
                <w:b/>
                <w:bCs/>
                <w:color w:val="auto"/>
                <w:sz w:val="21"/>
                <w:szCs w:val="21"/>
                <w:lang w:eastAsia="en-US"/>
              </w:rPr>
            </w:pPr>
            <w:r>
              <w:rPr>
                <w:rFonts w:hint="eastAsia" w:ascii="Times New Roman" w:eastAsia="宋体"/>
                <w:b/>
                <w:bCs/>
                <w:color w:val="auto"/>
                <w:sz w:val="21"/>
                <w:szCs w:val="21"/>
                <w:lang w:eastAsia="en-US"/>
              </w:rPr>
              <w:t>含水层类型</w:t>
            </w:r>
          </w:p>
        </w:tc>
        <w:tc>
          <w:tcPr>
            <w:tcW w:w="1512" w:type="dxa"/>
            <w:tcBorders>
              <w:tl2br w:val="nil"/>
              <w:tr2bl w:val="nil"/>
            </w:tcBorders>
            <w:vAlign w:val="center"/>
          </w:tcPr>
          <w:p>
            <w:pPr>
              <w:snapToGrid w:val="0"/>
              <w:jc w:val="center"/>
              <w:rPr>
                <w:rFonts w:ascii="Times New Roman" w:eastAsia="宋体"/>
                <w:b/>
                <w:bCs/>
                <w:color w:val="auto"/>
                <w:sz w:val="21"/>
                <w:szCs w:val="21"/>
                <w:lang w:eastAsia="en-US"/>
              </w:rPr>
            </w:pPr>
            <w:r>
              <w:rPr>
                <w:rFonts w:hint="eastAsia" w:ascii="Times New Roman" w:eastAsia="宋体"/>
                <w:b/>
                <w:bCs/>
                <w:color w:val="auto"/>
                <w:sz w:val="21"/>
                <w:szCs w:val="21"/>
                <w:lang w:eastAsia="en-US"/>
              </w:rPr>
              <w:t>调查内容</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1005" w:type="dxa"/>
            <w:tcBorders>
              <w:tl2br w:val="nil"/>
              <w:tr2bl w:val="nil"/>
            </w:tcBorders>
            <w:vAlign w:val="center"/>
          </w:tcPr>
          <w:p>
            <w:pPr>
              <w:widowControl/>
              <w:kinsoku w:val="0"/>
              <w:autoSpaceDE w:val="0"/>
              <w:autoSpaceDN w:val="0"/>
              <w:adjustRightInd w:val="0"/>
              <w:snapToGrid w:val="0"/>
              <w:spacing w:before="243" w:line="195" w:lineRule="auto"/>
              <w:jc w:val="center"/>
              <w:textAlignment w:val="baseline"/>
              <w:rPr>
                <w:rFonts w:ascii="Times New Roman" w:eastAsia="Times New Roman"/>
                <w:snapToGrid w:val="0"/>
                <w:color w:val="auto"/>
                <w:sz w:val="20"/>
                <w:lang w:eastAsia="en-US"/>
              </w:rPr>
            </w:pPr>
            <w:r>
              <w:rPr>
                <w:rFonts w:hint="eastAsia" w:ascii="Times New Roman" w:eastAsia="宋体"/>
                <w:snapToGrid w:val="0"/>
                <w:color w:val="auto"/>
                <w:spacing w:val="5"/>
                <w:sz w:val="20"/>
              </w:rPr>
              <w:t>J</w:t>
            </w:r>
            <w:r>
              <w:rPr>
                <w:rFonts w:ascii="Times New Roman" w:eastAsia="Times New Roman"/>
                <w:snapToGrid w:val="0"/>
                <w:color w:val="auto"/>
                <w:spacing w:val="5"/>
                <w:sz w:val="20"/>
                <w:lang w:eastAsia="en-US"/>
              </w:rPr>
              <w:t>1</w:t>
            </w:r>
          </w:p>
        </w:tc>
        <w:tc>
          <w:tcPr>
            <w:tcW w:w="2475" w:type="dxa"/>
            <w:tcBorders>
              <w:tl2br w:val="nil"/>
              <w:tr2bl w:val="nil"/>
            </w:tcBorders>
            <w:vAlign w:val="center"/>
          </w:tcPr>
          <w:p>
            <w:pPr>
              <w:snapToGrid w:val="0"/>
              <w:jc w:val="center"/>
              <w:rPr>
                <w:rFonts w:hAnsi="宋体" w:eastAsia="宋体" w:cs="宋体"/>
                <w:snapToGrid w:val="0"/>
                <w:color w:val="auto"/>
                <w:sz w:val="20"/>
              </w:rPr>
            </w:pPr>
            <w:r>
              <w:rPr>
                <w:rFonts w:hint="eastAsia" w:hAnsi="宋体" w:eastAsia="宋体" w:cs="宋体"/>
                <w:snapToGrid w:val="0"/>
                <w:color w:val="auto"/>
                <w:sz w:val="20"/>
              </w:rPr>
              <w:t>西南侧袁家屋居民水井</w:t>
            </w:r>
          </w:p>
        </w:tc>
        <w:tc>
          <w:tcPr>
            <w:tcW w:w="1730" w:type="dxa"/>
            <w:tcBorders>
              <w:tl2br w:val="nil"/>
              <w:tr2bl w:val="nil"/>
            </w:tcBorders>
            <w:vAlign w:val="center"/>
          </w:tcPr>
          <w:p>
            <w:pPr>
              <w:snapToGrid w:val="0"/>
              <w:jc w:val="center"/>
              <w:rPr>
                <w:rFonts w:ascii="Times New Roman" w:eastAsia="Times New Roman"/>
                <w:snapToGrid w:val="0"/>
                <w:color w:val="auto"/>
                <w:sz w:val="20"/>
                <w:lang w:eastAsia="en-US"/>
              </w:rPr>
            </w:pPr>
            <w:r>
              <w:rPr>
                <w:rFonts w:hint="eastAsia" w:hAnsi="宋体" w:eastAsia="宋体" w:cs="宋体"/>
                <w:snapToGrid w:val="0"/>
                <w:color w:val="auto"/>
                <w:sz w:val="20"/>
              </w:rPr>
              <w:t>WS536m</w:t>
            </w:r>
          </w:p>
        </w:tc>
        <w:tc>
          <w:tcPr>
            <w:tcW w:w="1655" w:type="dxa"/>
            <w:tcBorders>
              <w:tl2br w:val="nil"/>
              <w:tr2bl w:val="nil"/>
            </w:tcBorders>
            <w:vAlign w:val="center"/>
          </w:tcPr>
          <w:p>
            <w:pPr>
              <w:kinsoku w:val="0"/>
              <w:autoSpaceDE w:val="0"/>
              <w:autoSpaceDN w:val="0"/>
              <w:adjustRightInd w:val="0"/>
              <w:snapToGrid w:val="0"/>
              <w:spacing w:before="207"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5"/>
                <w:sz w:val="20"/>
                <w:lang w:eastAsia="en-US"/>
              </w:rPr>
              <w:t>潜水</w:t>
            </w:r>
          </w:p>
        </w:tc>
        <w:tc>
          <w:tcPr>
            <w:tcW w:w="1512" w:type="dxa"/>
            <w:tcBorders>
              <w:tl2br w:val="nil"/>
              <w:tr2bl w:val="nil"/>
            </w:tcBorders>
            <w:vAlign w:val="center"/>
          </w:tcPr>
          <w:p>
            <w:pPr>
              <w:kinsoku w:val="0"/>
              <w:autoSpaceDE w:val="0"/>
              <w:autoSpaceDN w:val="0"/>
              <w:adjustRightInd w:val="0"/>
              <w:snapToGrid w:val="0"/>
              <w:spacing w:before="207"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7"/>
                <w:sz w:val="20"/>
                <w:lang w:eastAsia="en-US"/>
              </w:rPr>
              <w:t>水质、水位</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468" w:hRule="atLeast"/>
          <w:jc w:val="center"/>
        </w:trPr>
        <w:tc>
          <w:tcPr>
            <w:tcW w:w="1005" w:type="dxa"/>
            <w:tcBorders>
              <w:tl2br w:val="nil"/>
              <w:tr2bl w:val="nil"/>
            </w:tcBorders>
            <w:vAlign w:val="center"/>
          </w:tcPr>
          <w:p>
            <w:pPr>
              <w:widowControl/>
              <w:kinsoku w:val="0"/>
              <w:autoSpaceDE w:val="0"/>
              <w:autoSpaceDN w:val="0"/>
              <w:adjustRightInd w:val="0"/>
              <w:snapToGrid w:val="0"/>
              <w:spacing w:before="244" w:line="195" w:lineRule="auto"/>
              <w:jc w:val="center"/>
              <w:textAlignment w:val="baseline"/>
              <w:rPr>
                <w:rFonts w:ascii="Times New Roman" w:eastAsia="Times New Roman"/>
                <w:snapToGrid w:val="0"/>
                <w:color w:val="auto"/>
                <w:sz w:val="20"/>
                <w:lang w:eastAsia="en-US"/>
              </w:rPr>
            </w:pPr>
            <w:r>
              <w:rPr>
                <w:rFonts w:hint="eastAsia" w:ascii="Times New Roman" w:eastAsia="宋体"/>
                <w:snapToGrid w:val="0"/>
                <w:color w:val="auto"/>
                <w:spacing w:val="5"/>
                <w:sz w:val="20"/>
              </w:rPr>
              <w:t>J</w:t>
            </w:r>
            <w:r>
              <w:rPr>
                <w:rFonts w:ascii="Times New Roman" w:eastAsia="Times New Roman"/>
                <w:snapToGrid w:val="0"/>
                <w:color w:val="auto"/>
                <w:spacing w:val="5"/>
                <w:sz w:val="20"/>
                <w:lang w:eastAsia="en-US"/>
              </w:rPr>
              <w:t>2</w:t>
            </w:r>
          </w:p>
        </w:tc>
        <w:tc>
          <w:tcPr>
            <w:tcW w:w="2475" w:type="dxa"/>
            <w:tcBorders>
              <w:tl2br w:val="nil"/>
              <w:tr2bl w:val="nil"/>
            </w:tcBorders>
            <w:vAlign w:val="center"/>
          </w:tcPr>
          <w:p>
            <w:pPr>
              <w:jc w:val="center"/>
              <w:rPr>
                <w:rFonts w:hAnsi="宋体" w:eastAsia="宋体" w:cs="宋体"/>
                <w:snapToGrid w:val="0"/>
                <w:color w:val="auto"/>
                <w:sz w:val="20"/>
                <w:lang w:eastAsia="en-US"/>
              </w:rPr>
            </w:pPr>
            <w:r>
              <w:rPr>
                <w:rFonts w:hint="eastAsia" w:hAnsi="宋体" w:eastAsia="宋体" w:cs="宋体"/>
                <w:snapToGrid w:val="0"/>
                <w:color w:val="auto"/>
                <w:sz w:val="20"/>
              </w:rPr>
              <w:t>东侧细蒋家居民水井</w:t>
            </w:r>
          </w:p>
        </w:tc>
        <w:tc>
          <w:tcPr>
            <w:tcW w:w="1730" w:type="dxa"/>
            <w:tcBorders>
              <w:tl2br w:val="nil"/>
              <w:tr2bl w:val="nil"/>
            </w:tcBorders>
            <w:vAlign w:val="center"/>
          </w:tcPr>
          <w:p>
            <w:pPr>
              <w:kinsoku w:val="0"/>
              <w:autoSpaceDE w:val="0"/>
              <w:autoSpaceDN w:val="0"/>
              <w:adjustRightInd w:val="0"/>
              <w:snapToGrid w:val="0"/>
              <w:spacing w:before="208" w:line="228" w:lineRule="auto"/>
              <w:jc w:val="center"/>
              <w:textAlignment w:val="baseline"/>
              <w:rPr>
                <w:rFonts w:ascii="Times New Roman" w:eastAsia="宋体"/>
                <w:snapToGrid w:val="0"/>
                <w:color w:val="auto"/>
                <w:sz w:val="20"/>
              </w:rPr>
            </w:pPr>
            <w:r>
              <w:rPr>
                <w:rFonts w:hint="eastAsia" w:ascii="Times New Roman" w:eastAsia="宋体"/>
                <w:snapToGrid w:val="0"/>
                <w:color w:val="auto"/>
                <w:sz w:val="20"/>
              </w:rPr>
              <w:t>E596</w:t>
            </w:r>
          </w:p>
        </w:tc>
        <w:tc>
          <w:tcPr>
            <w:tcW w:w="1655" w:type="dxa"/>
            <w:tcBorders>
              <w:tl2br w:val="nil"/>
              <w:tr2bl w:val="nil"/>
            </w:tcBorders>
            <w:vAlign w:val="center"/>
          </w:tcPr>
          <w:p>
            <w:pPr>
              <w:kinsoku w:val="0"/>
              <w:autoSpaceDE w:val="0"/>
              <w:autoSpaceDN w:val="0"/>
              <w:adjustRightInd w:val="0"/>
              <w:snapToGrid w:val="0"/>
              <w:spacing w:before="208"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5"/>
                <w:sz w:val="20"/>
                <w:lang w:eastAsia="en-US"/>
              </w:rPr>
              <w:t>潜水</w:t>
            </w:r>
          </w:p>
        </w:tc>
        <w:tc>
          <w:tcPr>
            <w:tcW w:w="1512" w:type="dxa"/>
            <w:tcBorders>
              <w:tl2br w:val="nil"/>
              <w:tr2bl w:val="nil"/>
            </w:tcBorders>
            <w:vAlign w:val="center"/>
          </w:tcPr>
          <w:p>
            <w:pPr>
              <w:kinsoku w:val="0"/>
              <w:autoSpaceDE w:val="0"/>
              <w:autoSpaceDN w:val="0"/>
              <w:adjustRightInd w:val="0"/>
              <w:snapToGrid w:val="0"/>
              <w:spacing w:before="208"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7"/>
                <w:sz w:val="20"/>
                <w:lang w:eastAsia="en-US"/>
              </w:rPr>
              <w:t>水质、水位</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468" w:hRule="atLeast"/>
          <w:jc w:val="center"/>
        </w:trPr>
        <w:tc>
          <w:tcPr>
            <w:tcW w:w="1005" w:type="dxa"/>
            <w:tcBorders>
              <w:tl2br w:val="nil"/>
              <w:tr2bl w:val="nil"/>
            </w:tcBorders>
            <w:vAlign w:val="center"/>
          </w:tcPr>
          <w:p>
            <w:pPr>
              <w:widowControl/>
              <w:kinsoku w:val="0"/>
              <w:autoSpaceDE w:val="0"/>
              <w:autoSpaceDN w:val="0"/>
              <w:adjustRightInd w:val="0"/>
              <w:snapToGrid w:val="0"/>
              <w:spacing w:before="245" w:line="195" w:lineRule="auto"/>
              <w:jc w:val="center"/>
              <w:textAlignment w:val="baseline"/>
              <w:rPr>
                <w:rFonts w:ascii="Times New Roman" w:eastAsia="Times New Roman"/>
                <w:snapToGrid w:val="0"/>
                <w:color w:val="auto"/>
                <w:sz w:val="20"/>
                <w:lang w:eastAsia="en-US"/>
              </w:rPr>
            </w:pPr>
            <w:r>
              <w:rPr>
                <w:rFonts w:hint="eastAsia" w:ascii="Times New Roman" w:eastAsia="宋体"/>
                <w:snapToGrid w:val="0"/>
                <w:color w:val="auto"/>
                <w:spacing w:val="5"/>
                <w:sz w:val="20"/>
              </w:rPr>
              <w:t>J</w:t>
            </w:r>
            <w:r>
              <w:rPr>
                <w:rFonts w:ascii="Times New Roman" w:eastAsia="Times New Roman"/>
                <w:snapToGrid w:val="0"/>
                <w:color w:val="auto"/>
                <w:spacing w:val="5"/>
                <w:sz w:val="20"/>
                <w:lang w:eastAsia="en-US"/>
              </w:rPr>
              <w:t>3</w:t>
            </w:r>
          </w:p>
        </w:tc>
        <w:tc>
          <w:tcPr>
            <w:tcW w:w="2475" w:type="dxa"/>
            <w:tcBorders>
              <w:tl2br w:val="nil"/>
              <w:tr2bl w:val="nil"/>
            </w:tcBorders>
            <w:vAlign w:val="center"/>
          </w:tcPr>
          <w:p>
            <w:pPr>
              <w:kinsoku w:val="0"/>
              <w:autoSpaceDE w:val="0"/>
              <w:autoSpaceDN w:val="0"/>
              <w:adjustRightInd w:val="0"/>
              <w:snapToGrid w:val="0"/>
              <w:spacing w:before="208" w:line="227" w:lineRule="auto"/>
              <w:jc w:val="center"/>
              <w:textAlignment w:val="baseline"/>
              <w:rPr>
                <w:rFonts w:hAnsi="宋体" w:eastAsia="宋体" w:cs="宋体"/>
                <w:snapToGrid w:val="0"/>
                <w:color w:val="auto"/>
                <w:sz w:val="20"/>
              </w:rPr>
            </w:pPr>
            <w:r>
              <w:rPr>
                <w:rFonts w:hint="eastAsia" w:hAnsi="宋体" w:eastAsia="宋体" w:cs="宋体"/>
                <w:snapToGrid w:val="0"/>
                <w:color w:val="auto"/>
                <w:sz w:val="20"/>
              </w:rPr>
              <w:t>西南侧袁家屋居民水井</w:t>
            </w:r>
          </w:p>
        </w:tc>
        <w:tc>
          <w:tcPr>
            <w:tcW w:w="1730" w:type="dxa"/>
            <w:tcBorders>
              <w:tl2br w:val="nil"/>
              <w:tr2bl w:val="nil"/>
            </w:tcBorders>
            <w:vAlign w:val="center"/>
          </w:tcPr>
          <w:p>
            <w:pPr>
              <w:kinsoku w:val="0"/>
              <w:autoSpaceDE w:val="0"/>
              <w:autoSpaceDN w:val="0"/>
              <w:adjustRightInd w:val="0"/>
              <w:snapToGrid w:val="0"/>
              <w:spacing w:before="209" w:line="229" w:lineRule="auto"/>
              <w:jc w:val="center"/>
              <w:textAlignment w:val="baseline"/>
              <w:rPr>
                <w:rFonts w:ascii="Times New Roman" w:eastAsia="宋体"/>
                <w:snapToGrid w:val="0"/>
                <w:color w:val="auto"/>
                <w:sz w:val="20"/>
              </w:rPr>
            </w:pPr>
            <w:r>
              <w:rPr>
                <w:rFonts w:hint="eastAsia" w:ascii="Times New Roman" w:eastAsia="宋体"/>
                <w:snapToGrid w:val="0"/>
                <w:color w:val="auto"/>
                <w:sz w:val="20"/>
              </w:rPr>
              <w:t>WS213</w:t>
            </w:r>
          </w:p>
        </w:tc>
        <w:tc>
          <w:tcPr>
            <w:tcW w:w="1655" w:type="dxa"/>
            <w:tcBorders>
              <w:tl2br w:val="nil"/>
              <w:tr2bl w:val="nil"/>
            </w:tcBorders>
            <w:vAlign w:val="center"/>
          </w:tcPr>
          <w:p>
            <w:pPr>
              <w:kinsoku w:val="0"/>
              <w:autoSpaceDE w:val="0"/>
              <w:autoSpaceDN w:val="0"/>
              <w:adjustRightInd w:val="0"/>
              <w:snapToGrid w:val="0"/>
              <w:spacing w:before="208"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5"/>
                <w:sz w:val="20"/>
                <w:lang w:eastAsia="en-US"/>
              </w:rPr>
              <w:t>潜水</w:t>
            </w:r>
          </w:p>
        </w:tc>
        <w:tc>
          <w:tcPr>
            <w:tcW w:w="1512" w:type="dxa"/>
            <w:tcBorders>
              <w:tl2br w:val="nil"/>
              <w:tr2bl w:val="nil"/>
            </w:tcBorders>
            <w:vAlign w:val="center"/>
          </w:tcPr>
          <w:p>
            <w:pPr>
              <w:kinsoku w:val="0"/>
              <w:autoSpaceDE w:val="0"/>
              <w:autoSpaceDN w:val="0"/>
              <w:adjustRightInd w:val="0"/>
              <w:snapToGrid w:val="0"/>
              <w:spacing w:before="208"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7"/>
                <w:sz w:val="20"/>
                <w:lang w:eastAsia="en-US"/>
              </w:rPr>
              <w:t>水质、水位</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469" w:hRule="atLeast"/>
          <w:jc w:val="center"/>
        </w:trPr>
        <w:tc>
          <w:tcPr>
            <w:tcW w:w="1005" w:type="dxa"/>
            <w:tcBorders>
              <w:tl2br w:val="nil"/>
              <w:tr2bl w:val="nil"/>
            </w:tcBorders>
            <w:vAlign w:val="center"/>
          </w:tcPr>
          <w:p>
            <w:pPr>
              <w:widowControl/>
              <w:kinsoku w:val="0"/>
              <w:autoSpaceDE w:val="0"/>
              <w:autoSpaceDN w:val="0"/>
              <w:adjustRightInd w:val="0"/>
              <w:snapToGrid w:val="0"/>
              <w:spacing w:before="245" w:line="195" w:lineRule="auto"/>
              <w:jc w:val="center"/>
              <w:textAlignment w:val="baseline"/>
              <w:rPr>
                <w:rFonts w:ascii="Times New Roman" w:eastAsia="Times New Roman"/>
                <w:snapToGrid w:val="0"/>
                <w:color w:val="auto"/>
                <w:sz w:val="20"/>
                <w:lang w:eastAsia="en-US"/>
              </w:rPr>
            </w:pPr>
            <w:r>
              <w:rPr>
                <w:rFonts w:hint="eastAsia" w:ascii="Times New Roman" w:eastAsia="宋体"/>
                <w:snapToGrid w:val="0"/>
                <w:color w:val="auto"/>
                <w:spacing w:val="5"/>
                <w:sz w:val="20"/>
              </w:rPr>
              <w:t>J</w:t>
            </w:r>
            <w:r>
              <w:rPr>
                <w:rFonts w:ascii="Times New Roman" w:eastAsia="Times New Roman"/>
                <w:snapToGrid w:val="0"/>
                <w:color w:val="auto"/>
                <w:spacing w:val="5"/>
                <w:sz w:val="20"/>
                <w:lang w:eastAsia="en-US"/>
              </w:rPr>
              <w:t>4</w:t>
            </w:r>
          </w:p>
        </w:tc>
        <w:tc>
          <w:tcPr>
            <w:tcW w:w="2475" w:type="dxa"/>
            <w:tcBorders>
              <w:tl2br w:val="nil"/>
              <w:tr2bl w:val="nil"/>
            </w:tcBorders>
            <w:vAlign w:val="center"/>
          </w:tcPr>
          <w:p>
            <w:pPr>
              <w:kinsoku w:val="0"/>
              <w:autoSpaceDE w:val="0"/>
              <w:autoSpaceDN w:val="0"/>
              <w:adjustRightInd w:val="0"/>
              <w:snapToGrid w:val="0"/>
              <w:spacing w:before="209" w:line="227" w:lineRule="auto"/>
              <w:jc w:val="center"/>
              <w:textAlignment w:val="baseline"/>
              <w:rPr>
                <w:rFonts w:hAnsi="宋体" w:eastAsia="宋体" w:cs="宋体"/>
                <w:snapToGrid w:val="0"/>
                <w:color w:val="auto"/>
                <w:sz w:val="20"/>
              </w:rPr>
            </w:pPr>
            <w:r>
              <w:rPr>
                <w:rFonts w:hint="eastAsia" w:hAnsi="宋体" w:eastAsia="宋体" w:cs="宋体"/>
                <w:snapToGrid w:val="0"/>
                <w:color w:val="auto"/>
                <w:sz w:val="20"/>
              </w:rPr>
              <w:t>南侧易家细屋居民水井</w:t>
            </w:r>
          </w:p>
        </w:tc>
        <w:tc>
          <w:tcPr>
            <w:tcW w:w="1730" w:type="dxa"/>
            <w:tcBorders>
              <w:tl2br w:val="nil"/>
              <w:tr2bl w:val="nil"/>
            </w:tcBorders>
            <w:vAlign w:val="center"/>
          </w:tcPr>
          <w:p>
            <w:pPr>
              <w:kinsoku w:val="0"/>
              <w:autoSpaceDE w:val="0"/>
              <w:autoSpaceDN w:val="0"/>
              <w:adjustRightInd w:val="0"/>
              <w:snapToGrid w:val="0"/>
              <w:spacing w:before="209" w:line="229" w:lineRule="auto"/>
              <w:jc w:val="center"/>
              <w:textAlignment w:val="baseline"/>
              <w:rPr>
                <w:rFonts w:ascii="Times New Roman" w:eastAsia="宋体"/>
                <w:snapToGrid w:val="0"/>
                <w:color w:val="auto"/>
                <w:sz w:val="20"/>
              </w:rPr>
            </w:pPr>
            <w:r>
              <w:rPr>
                <w:rFonts w:hint="eastAsia" w:ascii="Times New Roman" w:eastAsia="宋体"/>
                <w:snapToGrid w:val="0"/>
                <w:color w:val="auto"/>
                <w:sz w:val="20"/>
              </w:rPr>
              <w:t>S435</w:t>
            </w:r>
          </w:p>
        </w:tc>
        <w:tc>
          <w:tcPr>
            <w:tcW w:w="1655" w:type="dxa"/>
            <w:tcBorders>
              <w:tl2br w:val="nil"/>
              <w:tr2bl w:val="nil"/>
            </w:tcBorders>
            <w:vAlign w:val="center"/>
          </w:tcPr>
          <w:p>
            <w:pPr>
              <w:kinsoku w:val="0"/>
              <w:autoSpaceDE w:val="0"/>
              <w:autoSpaceDN w:val="0"/>
              <w:adjustRightInd w:val="0"/>
              <w:snapToGrid w:val="0"/>
              <w:spacing w:before="209"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5"/>
                <w:sz w:val="20"/>
                <w:lang w:eastAsia="en-US"/>
              </w:rPr>
              <w:t>潜水</w:t>
            </w:r>
          </w:p>
        </w:tc>
        <w:tc>
          <w:tcPr>
            <w:tcW w:w="1512" w:type="dxa"/>
            <w:tcBorders>
              <w:tl2br w:val="nil"/>
              <w:tr2bl w:val="nil"/>
            </w:tcBorders>
            <w:vAlign w:val="center"/>
          </w:tcPr>
          <w:p>
            <w:pPr>
              <w:kinsoku w:val="0"/>
              <w:autoSpaceDE w:val="0"/>
              <w:autoSpaceDN w:val="0"/>
              <w:adjustRightInd w:val="0"/>
              <w:snapToGrid w:val="0"/>
              <w:spacing w:before="209"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3"/>
                <w:sz w:val="20"/>
                <w:lang w:eastAsia="en-US"/>
              </w:rPr>
              <w:t>水位</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469" w:hRule="atLeast"/>
          <w:jc w:val="center"/>
        </w:trPr>
        <w:tc>
          <w:tcPr>
            <w:tcW w:w="1005" w:type="dxa"/>
            <w:tcBorders>
              <w:tl2br w:val="nil"/>
              <w:tr2bl w:val="nil"/>
            </w:tcBorders>
            <w:vAlign w:val="center"/>
          </w:tcPr>
          <w:p>
            <w:pPr>
              <w:widowControl/>
              <w:kinsoku w:val="0"/>
              <w:autoSpaceDE w:val="0"/>
              <w:autoSpaceDN w:val="0"/>
              <w:adjustRightInd w:val="0"/>
              <w:snapToGrid w:val="0"/>
              <w:spacing w:before="249" w:line="192" w:lineRule="auto"/>
              <w:jc w:val="center"/>
              <w:textAlignment w:val="baseline"/>
              <w:rPr>
                <w:rFonts w:ascii="Times New Roman" w:eastAsia="Times New Roman"/>
                <w:snapToGrid w:val="0"/>
                <w:color w:val="auto"/>
                <w:sz w:val="20"/>
                <w:lang w:eastAsia="en-US"/>
              </w:rPr>
            </w:pPr>
            <w:r>
              <w:rPr>
                <w:rFonts w:hint="eastAsia" w:ascii="Times New Roman" w:eastAsia="宋体"/>
                <w:snapToGrid w:val="0"/>
                <w:color w:val="auto"/>
                <w:spacing w:val="5"/>
                <w:sz w:val="20"/>
              </w:rPr>
              <w:t>J</w:t>
            </w:r>
            <w:r>
              <w:rPr>
                <w:rFonts w:ascii="Times New Roman" w:eastAsia="Times New Roman"/>
                <w:snapToGrid w:val="0"/>
                <w:color w:val="auto"/>
                <w:spacing w:val="5"/>
                <w:sz w:val="20"/>
                <w:lang w:eastAsia="en-US"/>
              </w:rPr>
              <w:t>5</w:t>
            </w:r>
          </w:p>
        </w:tc>
        <w:tc>
          <w:tcPr>
            <w:tcW w:w="2475" w:type="dxa"/>
            <w:tcBorders>
              <w:tl2br w:val="nil"/>
              <w:tr2bl w:val="nil"/>
            </w:tcBorders>
            <w:vAlign w:val="center"/>
          </w:tcPr>
          <w:p>
            <w:pPr>
              <w:kinsoku w:val="0"/>
              <w:autoSpaceDE w:val="0"/>
              <w:autoSpaceDN w:val="0"/>
              <w:adjustRightInd w:val="0"/>
              <w:snapToGrid w:val="0"/>
              <w:spacing w:before="210" w:line="227" w:lineRule="auto"/>
              <w:jc w:val="center"/>
              <w:textAlignment w:val="baseline"/>
              <w:rPr>
                <w:rFonts w:hAnsi="宋体" w:eastAsia="宋体" w:cs="宋体"/>
                <w:snapToGrid w:val="0"/>
                <w:color w:val="auto"/>
                <w:sz w:val="20"/>
                <w:lang w:eastAsia="en-US"/>
              </w:rPr>
            </w:pPr>
            <w:r>
              <w:rPr>
                <w:rFonts w:hint="eastAsia" w:hAnsi="宋体" w:eastAsia="宋体" w:cs="宋体"/>
                <w:snapToGrid w:val="0"/>
                <w:color w:val="auto"/>
                <w:sz w:val="20"/>
              </w:rPr>
              <w:t>东侧细蒋家居民水井</w:t>
            </w:r>
          </w:p>
        </w:tc>
        <w:tc>
          <w:tcPr>
            <w:tcW w:w="1730" w:type="dxa"/>
            <w:tcBorders>
              <w:tl2br w:val="nil"/>
              <w:tr2bl w:val="nil"/>
            </w:tcBorders>
            <w:vAlign w:val="center"/>
          </w:tcPr>
          <w:p>
            <w:pPr>
              <w:kinsoku w:val="0"/>
              <w:autoSpaceDE w:val="0"/>
              <w:autoSpaceDN w:val="0"/>
              <w:adjustRightInd w:val="0"/>
              <w:snapToGrid w:val="0"/>
              <w:spacing w:before="210" w:line="229" w:lineRule="auto"/>
              <w:jc w:val="center"/>
              <w:textAlignment w:val="baseline"/>
              <w:rPr>
                <w:rFonts w:ascii="Times New Roman" w:eastAsia="宋体"/>
                <w:snapToGrid w:val="0"/>
                <w:color w:val="auto"/>
                <w:sz w:val="20"/>
              </w:rPr>
            </w:pPr>
            <w:r>
              <w:rPr>
                <w:rFonts w:hint="eastAsia" w:ascii="Times New Roman" w:eastAsia="宋体"/>
                <w:snapToGrid w:val="0"/>
                <w:color w:val="auto"/>
                <w:sz w:val="20"/>
              </w:rPr>
              <w:t>E542</w:t>
            </w:r>
          </w:p>
        </w:tc>
        <w:tc>
          <w:tcPr>
            <w:tcW w:w="1655" w:type="dxa"/>
            <w:tcBorders>
              <w:tl2br w:val="nil"/>
              <w:tr2bl w:val="nil"/>
            </w:tcBorders>
            <w:vAlign w:val="center"/>
          </w:tcPr>
          <w:p>
            <w:pPr>
              <w:kinsoku w:val="0"/>
              <w:autoSpaceDE w:val="0"/>
              <w:autoSpaceDN w:val="0"/>
              <w:adjustRightInd w:val="0"/>
              <w:snapToGrid w:val="0"/>
              <w:spacing w:before="209"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5"/>
                <w:sz w:val="20"/>
                <w:lang w:eastAsia="en-US"/>
              </w:rPr>
              <w:t>潜水</w:t>
            </w:r>
          </w:p>
        </w:tc>
        <w:tc>
          <w:tcPr>
            <w:tcW w:w="1512" w:type="dxa"/>
            <w:tcBorders>
              <w:tl2br w:val="nil"/>
              <w:tr2bl w:val="nil"/>
            </w:tcBorders>
            <w:vAlign w:val="center"/>
          </w:tcPr>
          <w:p>
            <w:pPr>
              <w:kinsoku w:val="0"/>
              <w:autoSpaceDE w:val="0"/>
              <w:autoSpaceDN w:val="0"/>
              <w:adjustRightInd w:val="0"/>
              <w:snapToGrid w:val="0"/>
              <w:spacing w:before="209"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3"/>
                <w:sz w:val="20"/>
                <w:lang w:eastAsia="en-US"/>
              </w:rPr>
              <w:t>水位</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538" w:hRule="atLeast"/>
          <w:jc w:val="center"/>
        </w:trPr>
        <w:tc>
          <w:tcPr>
            <w:tcW w:w="1005" w:type="dxa"/>
            <w:tcBorders>
              <w:tl2br w:val="nil"/>
              <w:tr2bl w:val="nil"/>
            </w:tcBorders>
            <w:vAlign w:val="center"/>
          </w:tcPr>
          <w:p>
            <w:pPr>
              <w:widowControl/>
              <w:kinsoku w:val="0"/>
              <w:autoSpaceDE w:val="0"/>
              <w:autoSpaceDN w:val="0"/>
              <w:adjustRightInd w:val="0"/>
              <w:snapToGrid w:val="0"/>
              <w:spacing w:before="249" w:line="195" w:lineRule="auto"/>
              <w:jc w:val="center"/>
              <w:textAlignment w:val="baseline"/>
              <w:rPr>
                <w:rFonts w:ascii="Times New Roman" w:eastAsia="Times New Roman"/>
                <w:snapToGrid w:val="0"/>
                <w:color w:val="auto"/>
                <w:sz w:val="20"/>
                <w:lang w:eastAsia="en-US"/>
              </w:rPr>
            </w:pPr>
            <w:r>
              <w:rPr>
                <w:rFonts w:hint="eastAsia" w:ascii="Times New Roman" w:eastAsia="宋体"/>
                <w:snapToGrid w:val="0"/>
                <w:color w:val="auto"/>
                <w:spacing w:val="5"/>
                <w:sz w:val="20"/>
              </w:rPr>
              <w:t>J</w:t>
            </w:r>
            <w:r>
              <w:rPr>
                <w:rFonts w:ascii="Times New Roman" w:eastAsia="Times New Roman"/>
                <w:snapToGrid w:val="0"/>
                <w:color w:val="auto"/>
                <w:spacing w:val="5"/>
                <w:sz w:val="20"/>
                <w:lang w:eastAsia="en-US"/>
              </w:rPr>
              <w:t>6</w:t>
            </w:r>
          </w:p>
        </w:tc>
        <w:tc>
          <w:tcPr>
            <w:tcW w:w="2475" w:type="dxa"/>
            <w:tcBorders>
              <w:tl2br w:val="nil"/>
              <w:tr2bl w:val="nil"/>
            </w:tcBorders>
            <w:vAlign w:val="center"/>
          </w:tcPr>
          <w:p>
            <w:pPr>
              <w:kinsoku w:val="0"/>
              <w:autoSpaceDE w:val="0"/>
              <w:autoSpaceDN w:val="0"/>
              <w:adjustRightInd w:val="0"/>
              <w:snapToGrid w:val="0"/>
              <w:spacing w:before="213" w:line="227" w:lineRule="auto"/>
              <w:jc w:val="center"/>
              <w:textAlignment w:val="baseline"/>
              <w:rPr>
                <w:rFonts w:hAnsi="宋体" w:eastAsia="宋体" w:cs="宋体"/>
                <w:snapToGrid w:val="0"/>
                <w:color w:val="auto"/>
                <w:sz w:val="20"/>
              </w:rPr>
            </w:pPr>
            <w:r>
              <w:rPr>
                <w:rFonts w:hint="eastAsia" w:hAnsi="宋体" w:eastAsia="宋体" w:cs="宋体"/>
                <w:snapToGrid w:val="0"/>
                <w:color w:val="auto"/>
                <w:sz w:val="20"/>
              </w:rPr>
              <w:t>南侧易家细屋居民水井</w:t>
            </w:r>
          </w:p>
        </w:tc>
        <w:tc>
          <w:tcPr>
            <w:tcW w:w="1730" w:type="dxa"/>
            <w:tcBorders>
              <w:tl2br w:val="nil"/>
              <w:tr2bl w:val="nil"/>
            </w:tcBorders>
            <w:vAlign w:val="center"/>
          </w:tcPr>
          <w:p>
            <w:pPr>
              <w:kinsoku w:val="0"/>
              <w:autoSpaceDE w:val="0"/>
              <w:autoSpaceDN w:val="0"/>
              <w:adjustRightInd w:val="0"/>
              <w:snapToGrid w:val="0"/>
              <w:spacing w:before="212" w:line="228" w:lineRule="auto"/>
              <w:jc w:val="center"/>
              <w:textAlignment w:val="baseline"/>
              <w:rPr>
                <w:rFonts w:ascii="Times New Roman" w:eastAsia="宋体"/>
                <w:snapToGrid w:val="0"/>
                <w:color w:val="auto"/>
                <w:sz w:val="20"/>
              </w:rPr>
            </w:pPr>
            <w:r>
              <w:rPr>
                <w:rFonts w:hint="eastAsia" w:ascii="Times New Roman" w:eastAsia="宋体"/>
                <w:snapToGrid w:val="0"/>
                <w:color w:val="auto"/>
                <w:sz w:val="20"/>
              </w:rPr>
              <w:t>S521</w:t>
            </w:r>
          </w:p>
        </w:tc>
        <w:tc>
          <w:tcPr>
            <w:tcW w:w="1655" w:type="dxa"/>
            <w:tcBorders>
              <w:tl2br w:val="nil"/>
              <w:tr2bl w:val="nil"/>
            </w:tcBorders>
            <w:vAlign w:val="center"/>
          </w:tcPr>
          <w:p>
            <w:pPr>
              <w:kinsoku w:val="0"/>
              <w:autoSpaceDE w:val="0"/>
              <w:autoSpaceDN w:val="0"/>
              <w:adjustRightInd w:val="0"/>
              <w:snapToGrid w:val="0"/>
              <w:spacing w:before="212"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5"/>
                <w:sz w:val="20"/>
                <w:lang w:eastAsia="en-US"/>
              </w:rPr>
              <w:t>潜水</w:t>
            </w:r>
          </w:p>
        </w:tc>
        <w:tc>
          <w:tcPr>
            <w:tcW w:w="1512" w:type="dxa"/>
            <w:tcBorders>
              <w:tl2br w:val="nil"/>
              <w:tr2bl w:val="nil"/>
            </w:tcBorders>
            <w:vAlign w:val="center"/>
          </w:tcPr>
          <w:p>
            <w:pPr>
              <w:kinsoku w:val="0"/>
              <w:autoSpaceDE w:val="0"/>
              <w:autoSpaceDN w:val="0"/>
              <w:adjustRightInd w:val="0"/>
              <w:snapToGrid w:val="0"/>
              <w:spacing w:before="212" w:line="228" w:lineRule="auto"/>
              <w:jc w:val="center"/>
              <w:textAlignment w:val="baseline"/>
              <w:rPr>
                <w:rFonts w:hAnsi="宋体" w:eastAsia="宋体" w:cs="宋体"/>
                <w:snapToGrid w:val="0"/>
                <w:color w:val="auto"/>
                <w:sz w:val="20"/>
                <w:lang w:eastAsia="en-US"/>
              </w:rPr>
            </w:pPr>
            <w:r>
              <w:rPr>
                <w:rFonts w:hAnsi="宋体" w:eastAsia="宋体" w:cs="宋体"/>
                <w:snapToGrid w:val="0"/>
                <w:color w:val="auto"/>
                <w:spacing w:val="3"/>
                <w:sz w:val="20"/>
                <w:lang w:eastAsia="en-US"/>
              </w:rPr>
              <w:t>水位</w:t>
            </w:r>
          </w:p>
        </w:tc>
      </w:tr>
    </w:tbl>
    <w:p>
      <w:pPr>
        <w:spacing w:line="360" w:lineRule="auto"/>
        <w:ind w:firstLine="482"/>
        <w:rPr>
          <w:rFonts w:ascii="Times New Roman" w:eastAsia="宋体"/>
          <w:color w:val="auto"/>
        </w:rPr>
      </w:pPr>
      <w:r>
        <w:rPr>
          <w:rFonts w:hint="eastAsia" w:ascii="Times New Roman" w:eastAsia="宋体"/>
          <w:color w:val="auto"/>
        </w:rPr>
        <w:t>（2）</w:t>
      </w:r>
      <w:r>
        <w:rPr>
          <w:rFonts w:ascii="Times New Roman" w:eastAsia="宋体"/>
          <w:color w:val="auto"/>
        </w:rPr>
        <w:t>监测因子</w:t>
      </w:r>
    </w:p>
    <w:p>
      <w:pPr>
        <w:spacing w:line="360" w:lineRule="auto"/>
        <w:ind w:firstLine="496" w:firstLineChars="200"/>
        <w:rPr>
          <w:rFonts w:ascii="Times New Roman" w:eastAsia="宋体"/>
          <w:color w:val="auto"/>
          <w:szCs w:val="24"/>
        </w:rPr>
      </w:pPr>
      <w:r>
        <w:rPr>
          <w:rFonts w:ascii="Times New Roman" w:eastAsia="宋体"/>
          <w:color w:val="auto"/>
          <w:szCs w:val="24"/>
        </w:rPr>
        <w:t>pH值、氨氮、硝酸盐</w:t>
      </w:r>
      <w:r>
        <w:rPr>
          <w:rFonts w:hint="eastAsia" w:ascii="Times New Roman" w:eastAsia="宋体"/>
          <w:color w:val="auto"/>
          <w:szCs w:val="24"/>
        </w:rPr>
        <w:t>氮</w:t>
      </w:r>
      <w:r>
        <w:rPr>
          <w:rFonts w:ascii="Times New Roman" w:eastAsia="宋体"/>
          <w:color w:val="auto"/>
          <w:szCs w:val="24"/>
        </w:rPr>
        <w:t>、</w:t>
      </w:r>
      <w:r>
        <w:rPr>
          <w:rFonts w:hint="eastAsia" w:ascii="Times New Roman" w:eastAsia="宋体"/>
          <w:color w:val="auto"/>
          <w:szCs w:val="24"/>
        </w:rPr>
        <w:t>亚硝酸盐氮、总硬度、溶解性总固体、高锰酸盐指数、硫酸盐、氯化物、氟化物、氰化物、挥发酚、六价铬、铁、锰、铅、镉、砷、汞、总</w:t>
      </w:r>
      <w:r>
        <w:rPr>
          <w:rFonts w:ascii="Times New Roman" w:eastAsia="宋体"/>
          <w:color w:val="auto"/>
          <w:szCs w:val="24"/>
        </w:rPr>
        <w:t>大肠菌群</w:t>
      </w:r>
      <w:r>
        <w:rPr>
          <w:rFonts w:hint="eastAsia" w:ascii="Times New Roman" w:eastAsia="宋体"/>
          <w:color w:val="auto"/>
          <w:szCs w:val="24"/>
        </w:rPr>
        <w:t>、菌落总数。</w:t>
      </w:r>
    </w:p>
    <w:p>
      <w:pPr>
        <w:pStyle w:val="23"/>
        <w:ind w:firstLine="420"/>
        <w:rPr>
          <w:color w:val="auto"/>
        </w:rPr>
      </w:pPr>
      <w:r>
        <w:rPr>
          <w:rFonts w:hint="eastAsia" w:ascii="Times New Roman" w:eastAsia="宋体"/>
          <w:color w:val="auto"/>
          <w:szCs w:val="24"/>
        </w:rPr>
        <w:t>八大离子：K</w:t>
      </w:r>
      <w:r>
        <w:rPr>
          <w:rFonts w:hint="eastAsia" w:ascii="Times New Roman" w:eastAsia="宋体"/>
          <w:color w:val="auto"/>
          <w:szCs w:val="24"/>
          <w:vertAlign w:val="superscript"/>
        </w:rPr>
        <w:t>+</w:t>
      </w:r>
      <w:r>
        <w:rPr>
          <w:rFonts w:hint="eastAsia" w:ascii="Times New Roman" w:eastAsia="宋体"/>
          <w:color w:val="auto"/>
          <w:szCs w:val="24"/>
        </w:rPr>
        <w:t>、Na</w:t>
      </w:r>
      <w:r>
        <w:rPr>
          <w:rFonts w:hint="eastAsia" w:ascii="Times New Roman" w:eastAsia="宋体"/>
          <w:color w:val="auto"/>
          <w:szCs w:val="24"/>
          <w:vertAlign w:val="superscript"/>
        </w:rPr>
        <w:t>+</w:t>
      </w:r>
      <w:r>
        <w:rPr>
          <w:rFonts w:hint="eastAsia" w:ascii="Times New Roman" w:eastAsia="宋体"/>
          <w:color w:val="auto"/>
          <w:szCs w:val="24"/>
        </w:rPr>
        <w:t>、Ca</w:t>
      </w:r>
      <w:r>
        <w:rPr>
          <w:rFonts w:hint="eastAsia" w:ascii="Times New Roman" w:eastAsia="宋体"/>
          <w:color w:val="auto"/>
          <w:szCs w:val="24"/>
          <w:vertAlign w:val="superscript"/>
        </w:rPr>
        <w:t>2+</w:t>
      </w:r>
      <w:r>
        <w:rPr>
          <w:rFonts w:hint="eastAsia" w:ascii="Times New Roman" w:eastAsia="宋体"/>
          <w:color w:val="auto"/>
          <w:szCs w:val="24"/>
        </w:rPr>
        <w:t>、Mg</w:t>
      </w:r>
      <w:r>
        <w:rPr>
          <w:rFonts w:hint="eastAsia" w:ascii="Times New Roman" w:eastAsia="宋体"/>
          <w:color w:val="auto"/>
          <w:szCs w:val="24"/>
          <w:vertAlign w:val="superscript"/>
        </w:rPr>
        <w:t>2+</w:t>
      </w:r>
      <w:r>
        <w:rPr>
          <w:rFonts w:hint="eastAsia" w:ascii="Times New Roman" w:eastAsia="宋体"/>
          <w:color w:val="auto"/>
          <w:szCs w:val="24"/>
        </w:rPr>
        <w:t>、Cl</w:t>
      </w:r>
      <w:r>
        <w:rPr>
          <w:rFonts w:hint="eastAsia" w:ascii="Times New Roman" w:eastAsia="宋体"/>
          <w:color w:val="auto"/>
          <w:szCs w:val="24"/>
          <w:vertAlign w:val="superscript"/>
        </w:rPr>
        <w:t>-</w:t>
      </w:r>
      <w:r>
        <w:rPr>
          <w:rFonts w:hint="eastAsia" w:ascii="Times New Roman" w:eastAsia="宋体"/>
          <w:color w:val="auto"/>
          <w:szCs w:val="24"/>
        </w:rPr>
        <w:t>、SO</w:t>
      </w:r>
      <w:r>
        <w:rPr>
          <w:rFonts w:hint="eastAsia" w:ascii="Times New Roman" w:eastAsia="宋体"/>
          <w:color w:val="auto"/>
          <w:szCs w:val="24"/>
          <w:vertAlign w:val="subscript"/>
        </w:rPr>
        <w:t>4</w:t>
      </w:r>
      <w:r>
        <w:rPr>
          <w:rFonts w:hint="eastAsia" w:ascii="Times New Roman" w:eastAsia="宋体"/>
          <w:color w:val="auto"/>
          <w:szCs w:val="24"/>
          <w:vertAlign w:val="superscript"/>
        </w:rPr>
        <w:t>2-</w:t>
      </w:r>
      <w:r>
        <w:rPr>
          <w:rFonts w:hint="eastAsia" w:ascii="Times New Roman" w:eastAsia="宋体"/>
          <w:color w:val="auto"/>
          <w:szCs w:val="24"/>
        </w:rPr>
        <w:t>、CO</w:t>
      </w:r>
      <w:r>
        <w:rPr>
          <w:rFonts w:hint="eastAsia" w:ascii="Times New Roman" w:eastAsia="宋体"/>
          <w:color w:val="auto"/>
          <w:szCs w:val="24"/>
          <w:vertAlign w:val="subscript"/>
        </w:rPr>
        <w:t>3</w:t>
      </w:r>
      <w:r>
        <w:rPr>
          <w:rFonts w:hint="eastAsia" w:ascii="Times New Roman" w:eastAsia="宋体"/>
          <w:color w:val="auto"/>
          <w:szCs w:val="24"/>
          <w:vertAlign w:val="superscript"/>
        </w:rPr>
        <w:t>2-</w:t>
      </w:r>
      <w:r>
        <w:rPr>
          <w:rFonts w:hint="eastAsia" w:ascii="Times New Roman" w:eastAsia="宋体"/>
          <w:color w:val="auto"/>
          <w:szCs w:val="24"/>
        </w:rPr>
        <w:t>、HCO</w:t>
      </w:r>
      <w:r>
        <w:rPr>
          <w:rFonts w:hint="eastAsia" w:ascii="Times New Roman" w:eastAsia="宋体"/>
          <w:color w:val="auto"/>
          <w:szCs w:val="24"/>
          <w:vertAlign w:val="subscript"/>
        </w:rPr>
        <w:t>3</w:t>
      </w:r>
      <w:r>
        <w:rPr>
          <w:rFonts w:hint="eastAsia" w:ascii="Times New Roman" w:eastAsia="宋体"/>
          <w:color w:val="auto"/>
          <w:szCs w:val="24"/>
          <w:vertAlign w:val="superscript"/>
        </w:rPr>
        <w:t>-</w:t>
      </w:r>
    </w:p>
    <w:p>
      <w:pPr>
        <w:spacing w:line="360" w:lineRule="auto"/>
        <w:ind w:firstLine="482"/>
        <w:rPr>
          <w:rFonts w:ascii="Times New Roman" w:eastAsia="宋体"/>
          <w:color w:val="auto"/>
        </w:rPr>
      </w:pPr>
      <w:r>
        <w:rPr>
          <w:rFonts w:hint="eastAsia" w:ascii="Times New Roman" w:eastAsia="宋体"/>
          <w:color w:val="auto"/>
        </w:rPr>
        <w:t>（3）</w:t>
      </w:r>
      <w:r>
        <w:rPr>
          <w:rFonts w:ascii="Times New Roman" w:eastAsia="宋体"/>
          <w:color w:val="auto"/>
        </w:rPr>
        <w:t>监测时间和频率</w:t>
      </w:r>
    </w:p>
    <w:p>
      <w:pPr>
        <w:spacing w:line="360" w:lineRule="auto"/>
        <w:ind w:firstLine="482"/>
        <w:rPr>
          <w:rFonts w:ascii="Times New Roman" w:eastAsia="宋体"/>
          <w:color w:val="auto"/>
        </w:rPr>
      </w:pPr>
      <w:r>
        <w:rPr>
          <w:rFonts w:ascii="Times New Roman" w:eastAsia="宋体"/>
          <w:color w:val="auto"/>
        </w:rPr>
        <w:t>监测点地下水质量由</w:t>
      </w:r>
      <w:r>
        <w:rPr>
          <w:rFonts w:hint="eastAsia" w:ascii="Times New Roman" w:eastAsia="宋体"/>
          <w:color w:val="auto"/>
        </w:rPr>
        <w:t>湖南衡润科技有限公司</w:t>
      </w:r>
      <w:r>
        <w:rPr>
          <w:rFonts w:ascii="Times New Roman" w:eastAsia="宋体"/>
          <w:color w:val="auto"/>
        </w:rPr>
        <w:t>进行监测，监测时间为20</w:t>
      </w:r>
      <w:r>
        <w:rPr>
          <w:rFonts w:hint="eastAsia" w:ascii="Times New Roman" w:eastAsia="宋体"/>
          <w:color w:val="auto"/>
        </w:rPr>
        <w:t>23</w:t>
      </w:r>
      <w:r>
        <w:rPr>
          <w:rFonts w:ascii="Times New Roman" w:eastAsia="宋体"/>
          <w:color w:val="auto"/>
        </w:rPr>
        <w:t>年</w:t>
      </w:r>
      <w:r>
        <w:rPr>
          <w:rFonts w:hint="eastAsia" w:ascii="Times New Roman" w:eastAsia="宋体"/>
          <w:color w:val="auto"/>
        </w:rPr>
        <w:t>7</w:t>
      </w:r>
      <w:r>
        <w:rPr>
          <w:rFonts w:ascii="Times New Roman" w:eastAsia="宋体"/>
          <w:color w:val="auto"/>
        </w:rPr>
        <w:t>月</w:t>
      </w:r>
      <w:r>
        <w:rPr>
          <w:rFonts w:hint="eastAsia" w:ascii="Times New Roman" w:eastAsia="宋体"/>
          <w:color w:val="auto"/>
        </w:rPr>
        <w:t>11</w:t>
      </w:r>
      <w:r>
        <w:rPr>
          <w:rFonts w:ascii="Times New Roman" w:eastAsia="宋体"/>
          <w:color w:val="auto"/>
        </w:rPr>
        <w:t>日，共</w:t>
      </w:r>
      <w:r>
        <w:rPr>
          <w:rFonts w:hint="eastAsia" w:ascii="Times New Roman" w:eastAsia="宋体"/>
          <w:color w:val="auto"/>
        </w:rPr>
        <w:t>1</w:t>
      </w:r>
      <w:r>
        <w:rPr>
          <w:rFonts w:ascii="Times New Roman" w:eastAsia="宋体"/>
          <w:color w:val="auto"/>
        </w:rPr>
        <w:t>天。</w:t>
      </w:r>
    </w:p>
    <w:p>
      <w:pPr>
        <w:spacing w:line="360" w:lineRule="auto"/>
        <w:ind w:firstLine="482"/>
        <w:rPr>
          <w:rFonts w:ascii="Times New Roman" w:eastAsia="宋体"/>
          <w:color w:val="auto"/>
        </w:rPr>
      </w:pPr>
      <w:r>
        <w:rPr>
          <w:rFonts w:ascii="Times New Roman" w:eastAsia="宋体"/>
          <w:color w:val="auto"/>
        </w:rPr>
        <w:t>（</w:t>
      </w:r>
      <w:r>
        <w:rPr>
          <w:rFonts w:hint="eastAsia" w:ascii="Times New Roman" w:eastAsia="宋体"/>
          <w:color w:val="auto"/>
        </w:rPr>
        <w:t>4</w:t>
      </w:r>
      <w:r>
        <w:rPr>
          <w:rFonts w:ascii="Times New Roman" w:eastAsia="宋体"/>
          <w:color w:val="auto"/>
        </w:rPr>
        <w:t>）监测数据及评价结果</w:t>
      </w:r>
    </w:p>
    <w:p>
      <w:pPr>
        <w:spacing w:line="360" w:lineRule="auto"/>
        <w:ind w:firstLine="496" w:firstLineChars="200"/>
        <w:rPr>
          <w:rFonts w:ascii="Times New Roman" w:eastAsia="宋体"/>
          <w:b/>
          <w:color w:val="auto"/>
          <w:sz w:val="21"/>
          <w:szCs w:val="21"/>
        </w:rPr>
      </w:pPr>
      <w:r>
        <w:rPr>
          <w:rFonts w:ascii="Times New Roman" w:eastAsia="宋体"/>
          <w:color w:val="auto"/>
          <w:szCs w:val="24"/>
        </w:rPr>
        <w:t>地</w:t>
      </w:r>
      <w:r>
        <w:rPr>
          <w:rFonts w:hint="eastAsia" w:ascii="Times New Roman" w:eastAsia="宋体"/>
          <w:color w:val="auto"/>
          <w:szCs w:val="24"/>
        </w:rPr>
        <w:t>下</w:t>
      </w:r>
      <w:r>
        <w:rPr>
          <w:rFonts w:ascii="Times New Roman" w:eastAsia="宋体"/>
          <w:color w:val="auto"/>
          <w:szCs w:val="24"/>
        </w:rPr>
        <w:t>水环境质量现状监测结果及分析见表</w:t>
      </w:r>
      <w:r>
        <w:rPr>
          <w:rFonts w:hint="eastAsia" w:ascii="Times New Roman" w:eastAsia="宋体"/>
          <w:color w:val="auto"/>
          <w:szCs w:val="24"/>
        </w:rPr>
        <w:t>4</w:t>
      </w:r>
      <w:r>
        <w:rPr>
          <w:rFonts w:ascii="Times New Roman" w:eastAsia="宋体"/>
          <w:color w:val="auto"/>
          <w:szCs w:val="24"/>
        </w:rPr>
        <w:t>.2-</w:t>
      </w:r>
      <w:r>
        <w:rPr>
          <w:rFonts w:hint="eastAsia" w:ascii="Times New Roman" w:eastAsia="宋体"/>
          <w:color w:val="auto"/>
          <w:szCs w:val="24"/>
        </w:rPr>
        <w:t>7</w:t>
      </w:r>
      <w:r>
        <w:rPr>
          <w:rFonts w:ascii="Times New Roman" w:eastAsia="宋体"/>
          <w:color w:val="auto"/>
          <w:szCs w:val="24"/>
        </w:rPr>
        <w:t>。</w:t>
      </w:r>
    </w:p>
    <w:p>
      <w:pPr>
        <w:spacing w:beforeLines="50" w:line="0" w:lineRule="atLeast"/>
        <w:jc w:val="center"/>
        <w:rPr>
          <w:rFonts w:ascii="Times New Roman" w:eastAsia="宋体"/>
          <w:b/>
          <w:color w:val="auto"/>
          <w:kern w:val="2"/>
          <w:sz w:val="21"/>
          <w:szCs w:val="21"/>
        </w:rPr>
      </w:pPr>
      <w:r>
        <w:rPr>
          <w:rFonts w:ascii="Times New Roman" w:eastAsia="宋体"/>
          <w:b/>
          <w:color w:val="auto"/>
          <w:sz w:val="21"/>
          <w:szCs w:val="21"/>
        </w:rPr>
        <w:t>表</w:t>
      </w:r>
      <w:r>
        <w:rPr>
          <w:rFonts w:hint="eastAsia" w:ascii="Times New Roman" w:eastAsia="宋体"/>
          <w:b/>
          <w:color w:val="auto"/>
          <w:sz w:val="21"/>
          <w:szCs w:val="21"/>
        </w:rPr>
        <w:t>4</w:t>
      </w:r>
      <w:r>
        <w:rPr>
          <w:rFonts w:ascii="Times New Roman" w:eastAsia="宋体"/>
          <w:b/>
          <w:color w:val="auto"/>
          <w:sz w:val="21"/>
          <w:szCs w:val="21"/>
        </w:rPr>
        <w:t>.</w:t>
      </w:r>
      <w:r>
        <w:rPr>
          <w:rFonts w:hint="eastAsia" w:ascii="Times New Roman" w:eastAsia="宋体"/>
          <w:b/>
          <w:color w:val="auto"/>
          <w:sz w:val="21"/>
          <w:szCs w:val="21"/>
        </w:rPr>
        <w:t>3</w:t>
      </w:r>
      <w:r>
        <w:rPr>
          <w:rFonts w:ascii="Times New Roman" w:eastAsia="宋体"/>
          <w:b/>
          <w:color w:val="auto"/>
          <w:sz w:val="21"/>
          <w:szCs w:val="21"/>
        </w:rPr>
        <w:t>-</w:t>
      </w:r>
      <w:r>
        <w:rPr>
          <w:rFonts w:hint="eastAsia" w:ascii="Times New Roman" w:eastAsia="宋体"/>
          <w:b/>
          <w:color w:val="auto"/>
          <w:sz w:val="21"/>
          <w:szCs w:val="21"/>
        </w:rPr>
        <w:t>2</w:t>
      </w:r>
      <w:r>
        <w:rPr>
          <w:rFonts w:ascii="Times New Roman" w:eastAsia="宋体"/>
          <w:b/>
          <w:color w:val="auto"/>
          <w:sz w:val="21"/>
          <w:szCs w:val="21"/>
        </w:rPr>
        <w:t>地下水监测结果</w:t>
      </w:r>
      <w:r>
        <w:rPr>
          <w:rFonts w:hint="eastAsia" w:ascii="Times New Roman" w:eastAsia="宋体"/>
          <w:b/>
          <w:color w:val="auto"/>
          <w:kern w:val="2"/>
          <w:sz w:val="21"/>
          <w:szCs w:val="21"/>
        </w:rPr>
        <w:t>单位：mg/L</w:t>
      </w:r>
    </w:p>
    <w:tbl>
      <w:tblPr>
        <w:tblStyle w:val="47"/>
        <w:tblW w:w="512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396"/>
        <w:gridCol w:w="1560"/>
        <w:gridCol w:w="1441"/>
        <w:gridCol w:w="1380"/>
        <w:gridCol w:w="935"/>
        <w:gridCol w:w="8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696" w:type="pct"/>
            <w:vMerge w:val="restart"/>
            <w:tcBorders>
              <w:tl2br w:val="nil"/>
              <w:tr2bl w:val="nil"/>
            </w:tcBorders>
            <w:shd w:val="clear" w:color="auto" w:fill="auto"/>
            <w:vAlign w:val="center"/>
          </w:tcPr>
          <w:p>
            <w:pPr>
              <w:snapToGrid w:val="0"/>
              <w:jc w:val="center"/>
              <w:rPr>
                <w:rFonts w:ascii="Times New Roman" w:eastAsia="宋体"/>
                <w:b/>
                <w:bCs/>
                <w:color w:val="auto"/>
                <w:sz w:val="21"/>
                <w:szCs w:val="21"/>
              </w:rPr>
            </w:pPr>
            <w:r>
              <w:rPr>
                <w:rFonts w:hint="eastAsia" w:ascii="Times New Roman" w:eastAsia="宋体"/>
                <w:b/>
                <w:bCs/>
                <w:color w:val="auto"/>
                <w:sz w:val="21"/>
                <w:szCs w:val="21"/>
              </w:rPr>
              <w:t>检测</w:t>
            </w:r>
            <w:r>
              <w:rPr>
                <w:rFonts w:ascii="Times New Roman" w:eastAsia="宋体"/>
                <w:b/>
                <w:bCs/>
                <w:color w:val="auto"/>
                <w:sz w:val="21"/>
                <w:szCs w:val="21"/>
              </w:rPr>
              <w:t>项目</w:t>
            </w:r>
          </w:p>
        </w:tc>
        <w:tc>
          <w:tcPr>
            <w:tcW w:w="798" w:type="pct"/>
            <w:tcBorders>
              <w:tl2br w:val="nil"/>
              <w:tr2bl w:val="nil"/>
            </w:tcBorders>
            <w:shd w:val="clear" w:color="auto" w:fill="auto"/>
            <w:vAlign w:val="center"/>
          </w:tcPr>
          <w:p>
            <w:pPr>
              <w:snapToGrid w:val="0"/>
              <w:jc w:val="center"/>
              <w:rPr>
                <w:rFonts w:ascii="Times New Roman" w:eastAsia="宋体"/>
                <w:b/>
                <w:bCs/>
                <w:color w:val="auto"/>
                <w:sz w:val="21"/>
                <w:szCs w:val="21"/>
              </w:rPr>
            </w:pPr>
            <w:r>
              <w:rPr>
                <w:rFonts w:hint="eastAsia" w:ascii="Times New Roman" w:eastAsia="宋体"/>
                <w:b/>
                <w:bCs/>
                <w:color w:val="auto"/>
                <w:sz w:val="21"/>
                <w:szCs w:val="21"/>
              </w:rPr>
              <w:t>J1</w:t>
            </w:r>
          </w:p>
        </w:tc>
        <w:tc>
          <w:tcPr>
            <w:tcW w:w="892" w:type="pct"/>
            <w:tcBorders>
              <w:tl2br w:val="nil"/>
              <w:tr2bl w:val="nil"/>
            </w:tcBorders>
            <w:shd w:val="clear" w:color="auto" w:fill="auto"/>
            <w:vAlign w:val="center"/>
          </w:tcPr>
          <w:p>
            <w:pPr>
              <w:snapToGrid w:val="0"/>
              <w:jc w:val="center"/>
              <w:rPr>
                <w:rFonts w:ascii="Times New Roman" w:eastAsia="宋体"/>
                <w:b/>
                <w:bCs/>
                <w:color w:val="auto"/>
                <w:sz w:val="21"/>
                <w:szCs w:val="21"/>
              </w:rPr>
            </w:pPr>
            <w:r>
              <w:rPr>
                <w:rFonts w:hint="eastAsia" w:ascii="Times New Roman" w:eastAsia="宋体"/>
                <w:b/>
                <w:bCs/>
                <w:color w:val="auto"/>
                <w:sz w:val="21"/>
                <w:szCs w:val="21"/>
              </w:rPr>
              <w:t>J2</w:t>
            </w:r>
          </w:p>
        </w:tc>
        <w:tc>
          <w:tcPr>
            <w:tcW w:w="824" w:type="pct"/>
            <w:tcBorders>
              <w:tl2br w:val="nil"/>
              <w:tr2bl w:val="nil"/>
            </w:tcBorders>
            <w:shd w:val="clear" w:color="auto" w:fill="auto"/>
            <w:vAlign w:val="center"/>
          </w:tcPr>
          <w:p>
            <w:pPr>
              <w:snapToGrid w:val="0"/>
              <w:jc w:val="center"/>
              <w:rPr>
                <w:rFonts w:ascii="Times New Roman" w:eastAsia="宋体"/>
                <w:b/>
                <w:bCs/>
                <w:color w:val="auto"/>
                <w:sz w:val="21"/>
                <w:szCs w:val="21"/>
              </w:rPr>
            </w:pPr>
            <w:r>
              <w:rPr>
                <w:rFonts w:hint="eastAsia" w:ascii="Times New Roman" w:eastAsia="宋体"/>
                <w:b/>
                <w:bCs/>
                <w:color w:val="auto"/>
                <w:sz w:val="21"/>
                <w:szCs w:val="21"/>
              </w:rPr>
              <w:t>J3</w:t>
            </w:r>
          </w:p>
        </w:tc>
        <w:tc>
          <w:tcPr>
            <w:tcW w:w="789" w:type="pct"/>
            <w:vMerge w:val="restart"/>
            <w:tcBorders>
              <w:tl2br w:val="nil"/>
              <w:tr2bl w:val="nil"/>
            </w:tcBorders>
            <w:shd w:val="clear" w:color="auto" w:fill="auto"/>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GB/T 14848-2017Ⅲ类标准</w:t>
            </w:r>
          </w:p>
        </w:tc>
        <w:tc>
          <w:tcPr>
            <w:tcW w:w="535" w:type="pct"/>
            <w:vMerge w:val="restart"/>
            <w:tcBorders>
              <w:tl2br w:val="nil"/>
              <w:tr2bl w:val="nil"/>
            </w:tcBorders>
            <w:shd w:val="clear" w:color="auto" w:fill="auto"/>
            <w:vAlign w:val="center"/>
          </w:tcPr>
          <w:p>
            <w:pPr>
              <w:snapToGrid w:val="0"/>
              <w:jc w:val="center"/>
              <w:rPr>
                <w:rFonts w:ascii="Times New Roman" w:eastAsia="宋体"/>
                <w:b/>
                <w:bCs/>
                <w:color w:val="auto"/>
                <w:sz w:val="21"/>
                <w:szCs w:val="21"/>
              </w:rPr>
            </w:pPr>
            <w:r>
              <w:rPr>
                <w:rFonts w:hint="eastAsia" w:ascii="Times New Roman" w:eastAsia="宋体"/>
                <w:b/>
                <w:bCs/>
                <w:color w:val="auto"/>
                <w:sz w:val="21"/>
                <w:szCs w:val="21"/>
              </w:rPr>
              <w:t>标准指数</w:t>
            </w:r>
          </w:p>
        </w:tc>
        <w:tc>
          <w:tcPr>
            <w:tcW w:w="462" w:type="pct"/>
            <w:vMerge w:val="restart"/>
            <w:tcBorders>
              <w:tl2br w:val="nil"/>
              <w:tr2bl w:val="nil"/>
            </w:tcBorders>
            <w:shd w:val="clear" w:color="auto" w:fill="auto"/>
            <w:vAlign w:val="center"/>
          </w:tcPr>
          <w:p>
            <w:pPr>
              <w:snapToGrid w:val="0"/>
              <w:jc w:val="center"/>
              <w:rPr>
                <w:rFonts w:ascii="Times New Roman" w:eastAsia="宋体"/>
                <w:b/>
                <w:bCs/>
                <w:color w:val="auto"/>
                <w:sz w:val="21"/>
                <w:szCs w:val="21"/>
              </w:rPr>
            </w:pPr>
            <w:r>
              <w:rPr>
                <w:rFonts w:hint="eastAsia" w:ascii="Times New Roman" w:eastAsia="宋体"/>
                <w:b/>
                <w:bCs/>
                <w:color w:val="auto"/>
                <w:sz w:val="21"/>
                <w:szCs w:val="21"/>
              </w:rPr>
              <w:t>是否达标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696" w:type="pct"/>
            <w:vMerge w:val="continue"/>
            <w:tcBorders>
              <w:tl2br w:val="nil"/>
              <w:tr2bl w:val="nil"/>
            </w:tcBorders>
            <w:shd w:val="clear" w:color="auto" w:fill="auto"/>
            <w:vAlign w:val="center"/>
          </w:tcPr>
          <w:p>
            <w:pPr>
              <w:snapToGrid w:val="0"/>
              <w:jc w:val="center"/>
              <w:rPr>
                <w:rFonts w:ascii="Times New Roman" w:eastAsia="宋体"/>
                <w:b/>
                <w:bCs/>
                <w:color w:val="auto"/>
                <w:sz w:val="21"/>
                <w:szCs w:val="21"/>
              </w:rPr>
            </w:pPr>
          </w:p>
        </w:tc>
        <w:tc>
          <w:tcPr>
            <w:tcW w:w="798" w:type="pct"/>
            <w:tcBorders>
              <w:tl2br w:val="nil"/>
              <w:tr2bl w:val="nil"/>
            </w:tcBorders>
            <w:shd w:val="clear" w:color="auto" w:fill="auto"/>
            <w:vAlign w:val="center"/>
          </w:tcPr>
          <w:p>
            <w:pPr>
              <w:pStyle w:val="373"/>
              <w:rPr>
                <w:color w:val="auto"/>
              </w:rPr>
            </w:pPr>
            <w:r>
              <w:rPr>
                <w:rFonts w:hint="eastAsia"/>
                <w:color w:val="auto"/>
              </w:rPr>
              <w:t>113.173202,</w:t>
            </w:r>
          </w:p>
          <w:p>
            <w:pPr>
              <w:snapToGrid w:val="0"/>
              <w:jc w:val="center"/>
              <w:rPr>
                <w:rFonts w:ascii="Times New Roman" w:eastAsia="宋体"/>
                <w:b/>
                <w:bCs/>
                <w:color w:val="auto"/>
                <w:sz w:val="21"/>
                <w:szCs w:val="21"/>
              </w:rPr>
            </w:pPr>
            <w:r>
              <w:rPr>
                <w:rFonts w:hint="eastAsia"/>
                <w:color w:val="auto"/>
                <w:sz w:val="21"/>
                <w:szCs w:val="21"/>
              </w:rPr>
              <w:t>29.091468</w:t>
            </w:r>
          </w:p>
        </w:tc>
        <w:tc>
          <w:tcPr>
            <w:tcW w:w="892" w:type="pct"/>
            <w:tcBorders>
              <w:tl2br w:val="nil"/>
              <w:tr2bl w:val="nil"/>
            </w:tcBorders>
            <w:shd w:val="clear" w:color="auto" w:fill="auto"/>
            <w:vAlign w:val="center"/>
          </w:tcPr>
          <w:p>
            <w:pPr>
              <w:pStyle w:val="373"/>
              <w:rPr>
                <w:color w:val="auto"/>
              </w:rPr>
            </w:pPr>
            <w:r>
              <w:rPr>
                <w:rFonts w:hint="eastAsia"/>
                <w:color w:val="auto"/>
              </w:rPr>
              <w:t>113.185827,</w:t>
            </w:r>
          </w:p>
          <w:p>
            <w:pPr>
              <w:snapToGrid w:val="0"/>
              <w:jc w:val="center"/>
              <w:rPr>
                <w:rFonts w:ascii="Times New Roman" w:eastAsia="宋体"/>
                <w:b/>
                <w:bCs/>
                <w:color w:val="auto"/>
                <w:sz w:val="21"/>
                <w:szCs w:val="21"/>
              </w:rPr>
            </w:pPr>
            <w:r>
              <w:rPr>
                <w:rFonts w:hint="eastAsia"/>
                <w:color w:val="auto"/>
                <w:sz w:val="21"/>
                <w:szCs w:val="21"/>
              </w:rPr>
              <w:t>29.094738</w:t>
            </w:r>
          </w:p>
        </w:tc>
        <w:tc>
          <w:tcPr>
            <w:tcW w:w="824" w:type="pct"/>
            <w:tcBorders>
              <w:tl2br w:val="nil"/>
              <w:tr2bl w:val="nil"/>
            </w:tcBorders>
            <w:shd w:val="clear" w:color="auto" w:fill="auto"/>
            <w:vAlign w:val="center"/>
          </w:tcPr>
          <w:p>
            <w:pPr>
              <w:pStyle w:val="373"/>
              <w:rPr>
                <w:color w:val="auto"/>
              </w:rPr>
            </w:pPr>
            <w:r>
              <w:rPr>
                <w:rFonts w:hint="eastAsia"/>
                <w:color w:val="auto"/>
              </w:rPr>
              <w:t>113.175437,</w:t>
            </w:r>
          </w:p>
          <w:p>
            <w:pPr>
              <w:snapToGrid w:val="0"/>
              <w:jc w:val="center"/>
              <w:rPr>
                <w:rFonts w:ascii="Times New Roman" w:eastAsia="宋体"/>
                <w:b/>
                <w:bCs/>
                <w:color w:val="auto"/>
                <w:sz w:val="21"/>
                <w:szCs w:val="21"/>
              </w:rPr>
            </w:pPr>
            <w:r>
              <w:rPr>
                <w:rFonts w:hint="eastAsia"/>
                <w:color w:val="auto"/>
                <w:sz w:val="21"/>
                <w:szCs w:val="21"/>
              </w:rPr>
              <w:t>29.093678</w:t>
            </w:r>
          </w:p>
        </w:tc>
        <w:tc>
          <w:tcPr>
            <w:tcW w:w="789" w:type="pct"/>
            <w:vMerge w:val="continue"/>
            <w:tcBorders>
              <w:tl2br w:val="nil"/>
              <w:tr2bl w:val="nil"/>
            </w:tcBorders>
            <w:shd w:val="clear" w:color="auto" w:fill="auto"/>
            <w:vAlign w:val="center"/>
          </w:tcPr>
          <w:p>
            <w:pPr>
              <w:snapToGrid w:val="0"/>
              <w:jc w:val="center"/>
              <w:rPr>
                <w:rFonts w:ascii="Times New Roman" w:eastAsia="宋体"/>
                <w:b/>
                <w:bCs/>
                <w:color w:val="auto"/>
                <w:sz w:val="21"/>
                <w:szCs w:val="21"/>
              </w:rPr>
            </w:pPr>
          </w:p>
        </w:tc>
        <w:tc>
          <w:tcPr>
            <w:tcW w:w="535" w:type="pct"/>
            <w:vMerge w:val="continue"/>
            <w:tcBorders>
              <w:tl2br w:val="nil"/>
              <w:tr2bl w:val="nil"/>
            </w:tcBorders>
            <w:shd w:val="clear" w:color="auto" w:fill="auto"/>
            <w:vAlign w:val="center"/>
          </w:tcPr>
          <w:p>
            <w:pPr>
              <w:snapToGrid w:val="0"/>
              <w:jc w:val="center"/>
              <w:rPr>
                <w:rFonts w:ascii="Times New Roman" w:eastAsia="宋体"/>
                <w:b/>
                <w:bCs/>
                <w:color w:val="auto"/>
                <w:sz w:val="21"/>
                <w:szCs w:val="21"/>
              </w:rPr>
            </w:pPr>
          </w:p>
        </w:tc>
        <w:tc>
          <w:tcPr>
            <w:tcW w:w="462" w:type="pct"/>
            <w:vMerge w:val="continue"/>
            <w:tcBorders>
              <w:tl2br w:val="nil"/>
              <w:tr2bl w:val="nil"/>
            </w:tcBorders>
            <w:shd w:val="clear" w:color="auto" w:fill="auto"/>
            <w:vAlign w:val="center"/>
          </w:tcPr>
          <w:p>
            <w:pPr>
              <w:snapToGrid w:val="0"/>
              <w:jc w:val="center"/>
              <w:rPr>
                <w:rFonts w:ascii="Times New Roman" w:eastAsia="宋体"/>
                <w:b/>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pH值</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6.6</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6.5</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6.6</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6.5-8.5</w:t>
            </w:r>
          </w:p>
        </w:tc>
        <w:tc>
          <w:tcPr>
            <w:tcW w:w="535" w:type="pct"/>
            <w:tcBorders>
              <w:tl2br w:val="nil"/>
              <w:tr2bl w:val="nil"/>
            </w:tcBorders>
            <w:vAlign w:val="center"/>
          </w:tcPr>
          <w:p>
            <w:pPr>
              <w:widowControl/>
              <w:snapToGrid w:val="0"/>
              <w:ind w:firstLine="218" w:firstLineChars="100"/>
              <w:textAlignment w:val="center"/>
              <w:rPr>
                <w:rFonts w:ascii="Times New Roman" w:eastAsia="宋体"/>
                <w:color w:val="auto"/>
                <w:sz w:val="21"/>
                <w:szCs w:val="21"/>
              </w:rPr>
            </w:pPr>
            <w:r>
              <w:rPr>
                <w:rFonts w:hint="eastAsia" w:ascii="Times New Roman" w:eastAsia="宋体"/>
                <w:color w:val="auto"/>
                <w:sz w:val="21"/>
                <w:szCs w:val="21"/>
              </w:rPr>
              <w:t>—</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氨氮</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0.289</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0.100</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0.125</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≤0.50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0.2-0.58</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硝酸盐</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16.0</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42.0</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30.9</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≤20.0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0.8-2.1</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ind w:right="-171" w:rightChars="-69"/>
              <w:jc w:val="center"/>
              <w:rPr>
                <w:rFonts w:ascii="Times New Roman" w:eastAsia="宋体"/>
                <w:color w:val="auto"/>
                <w:sz w:val="21"/>
                <w:szCs w:val="21"/>
              </w:rPr>
            </w:pPr>
            <w:r>
              <w:rPr>
                <w:rFonts w:ascii="Times New Roman" w:eastAsia="宋体"/>
                <w:color w:val="auto"/>
                <w:sz w:val="21"/>
                <w:szCs w:val="21"/>
              </w:rPr>
              <w:t>亚硝酸盐</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≤1.00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总硬度</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85</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68</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80</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≤450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0.15-0.17</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溶解性总固体</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140</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128</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150</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≤1000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0.13-0.15</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ascii="Times New Roman" w:eastAsia="宋体"/>
                <w:color w:val="auto"/>
                <w:sz w:val="21"/>
                <w:szCs w:val="21"/>
              </w:rPr>
              <w:t>高锰酸盐指数</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0.8</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1.0</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0.8</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≤3.0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0.26-0.33</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highlight w:val="yellow"/>
              </w:rPr>
            </w:pPr>
            <w:r>
              <w:rPr>
                <w:rFonts w:ascii="Times New Roman" w:eastAsia="宋体"/>
                <w:color w:val="auto"/>
                <w:sz w:val="21"/>
                <w:szCs w:val="21"/>
              </w:rPr>
              <w:t>硫酸盐</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7.34</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11.4</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5.22</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≤250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0.02-0.05</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highlight w:val="yellow"/>
              </w:rPr>
            </w:pPr>
            <w:r>
              <w:rPr>
                <w:rFonts w:ascii="Times New Roman" w:eastAsia="宋体"/>
                <w:bCs/>
                <w:color w:val="auto"/>
                <w:sz w:val="21"/>
                <w:szCs w:val="21"/>
              </w:rPr>
              <w:t>氯化物</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72</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68</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89</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≤250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0.27-0.36</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highlight w:val="yellow"/>
              </w:rPr>
            </w:pPr>
            <w:r>
              <w:rPr>
                <w:rFonts w:ascii="Times New Roman" w:eastAsia="宋体"/>
                <w:bCs/>
                <w:color w:val="auto"/>
                <w:sz w:val="21"/>
                <w:szCs w:val="21"/>
              </w:rPr>
              <w:t>氟化物</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0.670</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0.802</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0.473</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0.47-0.80</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highlight w:val="yellow"/>
              </w:rPr>
            </w:pPr>
            <w:r>
              <w:rPr>
                <w:rFonts w:ascii="Times New Roman" w:eastAsia="宋体"/>
                <w:bCs/>
                <w:color w:val="auto"/>
                <w:sz w:val="21"/>
                <w:szCs w:val="21"/>
              </w:rPr>
              <w:t>氰化物</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≤0.05</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highlight w:val="yellow"/>
              </w:rPr>
            </w:pPr>
            <w:r>
              <w:rPr>
                <w:rFonts w:ascii="Times New Roman" w:eastAsia="宋体"/>
                <w:color w:val="auto"/>
                <w:sz w:val="21"/>
                <w:szCs w:val="21"/>
              </w:rPr>
              <w:t>碳酸根</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ascii="Times New Roman" w:eastAsia="宋体"/>
                <w:color w:val="auto"/>
                <w:sz w:val="21"/>
                <w:szCs w:val="21"/>
              </w:rPr>
              <w:t>重碳酸根</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62.8</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12.6</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22.0</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ascii="Times New Roman" w:eastAsia="宋体"/>
                <w:color w:val="auto"/>
                <w:sz w:val="21"/>
                <w:szCs w:val="21"/>
              </w:rPr>
              <w:t>挥发酚类</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≤0.002</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ascii="Times New Roman" w:eastAsia="宋体"/>
                <w:color w:val="auto"/>
                <w:sz w:val="21"/>
                <w:szCs w:val="21"/>
              </w:rPr>
              <w:t>六价铬</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≤0.05</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hint="eastAsia" w:ascii="Times New Roman" w:eastAsia="宋体"/>
                <w:color w:val="auto"/>
                <w:sz w:val="21"/>
                <w:szCs w:val="21"/>
              </w:rPr>
              <w:t>K</w:t>
            </w:r>
            <w:r>
              <w:rPr>
                <w:rFonts w:hint="eastAsia" w:ascii="Times New Roman" w:eastAsia="宋体"/>
                <w:color w:val="auto"/>
                <w:sz w:val="21"/>
                <w:szCs w:val="21"/>
                <w:vertAlign w:val="superscript"/>
              </w:rPr>
              <w:t>+</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5.49</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17.2</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4.36</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hint="eastAsia" w:ascii="Times New Roman" w:eastAsia="宋体"/>
                <w:color w:val="auto"/>
                <w:sz w:val="21"/>
                <w:szCs w:val="21"/>
              </w:rPr>
              <w:t>Na+</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25.8</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22.4</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28.2</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≤200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0.11-0.14</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hint="eastAsia" w:ascii="Times New Roman" w:eastAsia="宋体"/>
                <w:color w:val="auto"/>
                <w:sz w:val="21"/>
                <w:szCs w:val="21"/>
              </w:rPr>
              <w:t>Ca</w:t>
            </w:r>
            <w:r>
              <w:rPr>
                <w:rFonts w:hint="eastAsia" w:ascii="Times New Roman" w:eastAsia="宋体"/>
                <w:color w:val="auto"/>
                <w:sz w:val="21"/>
                <w:szCs w:val="21"/>
                <w:vertAlign w:val="superscript"/>
              </w:rPr>
              <w:t>2+</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28.9</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8.94</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20.4</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hint="eastAsia" w:ascii="Times New Roman" w:eastAsia="宋体"/>
                <w:color w:val="auto"/>
                <w:sz w:val="21"/>
                <w:szCs w:val="21"/>
              </w:rPr>
              <w:t>Mg</w:t>
            </w:r>
            <w:r>
              <w:rPr>
                <w:rFonts w:hint="eastAsia" w:ascii="Times New Roman" w:eastAsia="宋体"/>
                <w:color w:val="auto"/>
                <w:sz w:val="21"/>
                <w:szCs w:val="21"/>
                <w:vertAlign w:val="superscript"/>
              </w:rPr>
              <w:t>2+</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2.73</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5.88</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6.20</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铁</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0.29</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≤0.3</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ND-0.96</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锰</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0.007</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0.081</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0.051</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≤0.10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铅</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0.00061</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0.002</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≤0.01</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0.06-0.2</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镉</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≤0.005</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ascii="Times New Roman" w:eastAsia="宋体"/>
                <w:color w:val="auto"/>
                <w:sz w:val="21"/>
                <w:szCs w:val="21"/>
              </w:rPr>
              <w:t>砷</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0.00054</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≤0.01</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0.05</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6" w:type="pct"/>
            <w:tcBorders>
              <w:tl2br w:val="nil"/>
              <w:tr2bl w:val="nil"/>
            </w:tcBorders>
            <w:vAlign w:val="center"/>
          </w:tcPr>
          <w:p>
            <w:pPr>
              <w:widowControl/>
              <w:snapToGrid w:val="0"/>
              <w:jc w:val="center"/>
              <w:rPr>
                <w:rFonts w:ascii="Times New Roman" w:eastAsia="宋体"/>
                <w:color w:val="auto"/>
                <w:sz w:val="21"/>
                <w:szCs w:val="21"/>
              </w:rPr>
            </w:pPr>
            <w:r>
              <w:rPr>
                <w:rFonts w:ascii="Times New Roman" w:eastAsia="宋体"/>
                <w:color w:val="auto"/>
                <w:sz w:val="21"/>
                <w:szCs w:val="21"/>
              </w:rPr>
              <w:t>汞</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未检出</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≤0.001</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未检出</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总大肠菌群(MPN/100mL）</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1.6×10</w:t>
            </w:r>
            <w:r>
              <w:rPr>
                <w:rFonts w:hint="eastAsia" w:ascii="Times New Roman" w:eastAsia="宋体"/>
                <w:color w:val="auto"/>
                <w:sz w:val="21"/>
                <w:szCs w:val="21"/>
                <w:vertAlign w:val="superscript"/>
              </w:rPr>
              <w:t>4</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9.2×10</w:t>
            </w:r>
            <w:r>
              <w:rPr>
                <w:rFonts w:hint="eastAsia" w:ascii="Times New Roman" w:eastAsia="宋体"/>
                <w:color w:val="auto"/>
                <w:sz w:val="21"/>
                <w:szCs w:val="21"/>
                <w:vertAlign w:val="superscript"/>
              </w:rPr>
              <w:t>4</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9.2×10</w:t>
            </w:r>
            <w:r>
              <w:rPr>
                <w:rFonts w:hint="eastAsia" w:ascii="Times New Roman" w:eastAsia="宋体"/>
                <w:color w:val="auto"/>
                <w:sz w:val="21"/>
                <w:szCs w:val="21"/>
                <w:vertAlign w:val="superscript"/>
              </w:rPr>
              <w:t>3</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≤3.0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3067-5333</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696"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菌落总数(CFU/mL）</w:t>
            </w:r>
          </w:p>
        </w:tc>
        <w:tc>
          <w:tcPr>
            <w:tcW w:w="798" w:type="pct"/>
            <w:tcBorders>
              <w:tl2br w:val="nil"/>
              <w:tr2bl w:val="nil"/>
            </w:tcBorders>
            <w:vAlign w:val="center"/>
          </w:tcPr>
          <w:p>
            <w:pPr>
              <w:adjustRightInd w:val="0"/>
              <w:snapToGrid w:val="0"/>
              <w:jc w:val="center"/>
              <w:rPr>
                <w:rFonts w:ascii="Times New Roman" w:eastAsia="宋体"/>
                <w:color w:val="auto"/>
                <w:sz w:val="21"/>
                <w:szCs w:val="21"/>
              </w:rPr>
            </w:pPr>
            <w:r>
              <w:rPr>
                <w:rFonts w:hint="eastAsia" w:ascii="Times New Roman" w:eastAsia="宋体"/>
                <w:color w:val="auto"/>
                <w:sz w:val="21"/>
                <w:szCs w:val="21"/>
              </w:rPr>
              <w:t>74</w:t>
            </w:r>
          </w:p>
        </w:tc>
        <w:tc>
          <w:tcPr>
            <w:tcW w:w="89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97</w:t>
            </w:r>
          </w:p>
        </w:tc>
        <w:tc>
          <w:tcPr>
            <w:tcW w:w="824"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95</w:t>
            </w:r>
          </w:p>
        </w:tc>
        <w:tc>
          <w:tcPr>
            <w:tcW w:w="789"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≤100</w:t>
            </w:r>
          </w:p>
        </w:tc>
        <w:tc>
          <w:tcPr>
            <w:tcW w:w="535"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0.74-0.97</w:t>
            </w:r>
          </w:p>
        </w:tc>
        <w:tc>
          <w:tcPr>
            <w:tcW w:w="462"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是</w:t>
            </w:r>
          </w:p>
        </w:tc>
      </w:tr>
    </w:tbl>
    <w:p>
      <w:pPr>
        <w:spacing w:beforeLines="50" w:line="0" w:lineRule="atLeast"/>
        <w:jc w:val="center"/>
        <w:rPr>
          <w:rFonts w:ascii="Times New Roman" w:eastAsia="宋体"/>
          <w:b/>
          <w:color w:val="auto"/>
          <w:sz w:val="21"/>
          <w:szCs w:val="21"/>
        </w:rPr>
      </w:pPr>
      <w:r>
        <w:rPr>
          <w:rFonts w:ascii="Times New Roman" w:eastAsia="宋体"/>
          <w:b/>
          <w:color w:val="auto"/>
          <w:sz w:val="21"/>
          <w:szCs w:val="21"/>
        </w:rPr>
        <w:t>表4</w:t>
      </w:r>
      <w:r>
        <w:rPr>
          <w:rFonts w:hint="eastAsia" w:ascii="Times New Roman" w:eastAsia="宋体"/>
          <w:b/>
          <w:color w:val="auto"/>
          <w:sz w:val="21"/>
          <w:szCs w:val="21"/>
        </w:rPr>
        <w:t>.3</w:t>
      </w:r>
      <w:r>
        <w:rPr>
          <w:rFonts w:ascii="Times New Roman" w:eastAsia="宋体"/>
          <w:b/>
          <w:color w:val="auto"/>
          <w:sz w:val="21"/>
          <w:szCs w:val="21"/>
        </w:rPr>
        <w:t>-</w:t>
      </w:r>
      <w:r>
        <w:rPr>
          <w:rFonts w:hint="eastAsia" w:ascii="Times New Roman" w:eastAsia="宋体"/>
          <w:b/>
          <w:color w:val="auto"/>
          <w:sz w:val="21"/>
          <w:szCs w:val="21"/>
        </w:rPr>
        <w:t>3 地下水水位监测结果</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1213"/>
        <w:gridCol w:w="1214"/>
        <w:gridCol w:w="1214"/>
        <w:gridCol w:w="1214"/>
        <w:gridCol w:w="121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233" w:type="dxa"/>
            <w:tcBorders>
              <w:top w:val="single" w:color="auto" w:sz="12" w:space="0"/>
              <w:left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点位</w:t>
            </w:r>
          </w:p>
        </w:tc>
        <w:tc>
          <w:tcPr>
            <w:tcW w:w="1213" w:type="dxa"/>
            <w:tcBorders>
              <w:top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J1</w:t>
            </w:r>
          </w:p>
        </w:tc>
        <w:tc>
          <w:tcPr>
            <w:tcW w:w="1214" w:type="dxa"/>
            <w:tcBorders>
              <w:top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J2</w:t>
            </w:r>
          </w:p>
        </w:tc>
        <w:tc>
          <w:tcPr>
            <w:tcW w:w="1214" w:type="dxa"/>
            <w:tcBorders>
              <w:top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J3</w:t>
            </w:r>
          </w:p>
        </w:tc>
        <w:tc>
          <w:tcPr>
            <w:tcW w:w="1214" w:type="dxa"/>
            <w:tcBorders>
              <w:top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J4</w:t>
            </w:r>
          </w:p>
        </w:tc>
        <w:tc>
          <w:tcPr>
            <w:tcW w:w="1214" w:type="dxa"/>
            <w:tcBorders>
              <w:top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J5</w:t>
            </w:r>
          </w:p>
        </w:tc>
        <w:tc>
          <w:tcPr>
            <w:tcW w:w="1214" w:type="dxa"/>
            <w:tcBorders>
              <w:top w:val="single" w:color="auto" w:sz="12" w:space="0"/>
              <w:right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J6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233" w:type="dxa"/>
            <w:tcBorders>
              <w:left w:val="single" w:color="auto" w:sz="12" w:space="0"/>
              <w:bottom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水位（m）</w:t>
            </w:r>
          </w:p>
        </w:tc>
        <w:tc>
          <w:tcPr>
            <w:tcW w:w="1213" w:type="dxa"/>
            <w:tcBorders>
              <w:bottom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9.1</w:t>
            </w:r>
          </w:p>
        </w:tc>
        <w:tc>
          <w:tcPr>
            <w:tcW w:w="1214" w:type="dxa"/>
            <w:tcBorders>
              <w:bottom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8.2</w:t>
            </w:r>
          </w:p>
        </w:tc>
        <w:tc>
          <w:tcPr>
            <w:tcW w:w="1214" w:type="dxa"/>
            <w:tcBorders>
              <w:bottom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9.3</w:t>
            </w:r>
          </w:p>
        </w:tc>
        <w:tc>
          <w:tcPr>
            <w:tcW w:w="1214" w:type="dxa"/>
            <w:tcBorders>
              <w:bottom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10.6</w:t>
            </w:r>
          </w:p>
        </w:tc>
        <w:tc>
          <w:tcPr>
            <w:tcW w:w="1214" w:type="dxa"/>
            <w:tcBorders>
              <w:bottom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8.4</w:t>
            </w:r>
          </w:p>
        </w:tc>
        <w:tc>
          <w:tcPr>
            <w:tcW w:w="1214" w:type="dxa"/>
            <w:tcBorders>
              <w:bottom w:val="single" w:color="auto" w:sz="12" w:space="0"/>
              <w:right w:val="single" w:color="auto" w:sz="12" w:space="0"/>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9.6</w:t>
            </w:r>
          </w:p>
        </w:tc>
      </w:tr>
    </w:tbl>
    <w:p>
      <w:pPr>
        <w:spacing w:line="360" w:lineRule="auto"/>
        <w:ind w:firstLine="496" w:firstLineChars="200"/>
        <w:rPr>
          <w:rFonts w:hint="default" w:ascii="Times New Roman" w:eastAsia="宋体"/>
          <w:color w:val="auto"/>
          <w:lang w:val="en-US" w:eastAsia="zh-CN"/>
        </w:rPr>
      </w:pPr>
      <w:r>
        <w:rPr>
          <w:rFonts w:ascii="Times New Roman" w:eastAsia="宋体"/>
          <w:color w:val="auto"/>
          <w:szCs w:val="24"/>
        </w:rPr>
        <w:t>结果分析：根据监测结果可知，项目</w:t>
      </w:r>
      <w:r>
        <w:rPr>
          <w:rFonts w:hint="eastAsia" w:ascii="Times New Roman" w:eastAsia="宋体"/>
          <w:color w:val="auto"/>
          <w:szCs w:val="24"/>
        </w:rPr>
        <w:t>下游和项目地</w:t>
      </w:r>
      <w:r>
        <w:rPr>
          <w:rFonts w:ascii="Times New Roman" w:eastAsia="宋体"/>
          <w:color w:val="auto"/>
          <w:szCs w:val="24"/>
        </w:rPr>
        <w:t>地下水监测点硝酸盐</w:t>
      </w:r>
      <w:r>
        <w:rPr>
          <w:rFonts w:hint="eastAsia" w:ascii="Times New Roman" w:eastAsia="宋体"/>
          <w:color w:val="auto"/>
          <w:szCs w:val="24"/>
        </w:rPr>
        <w:t>、</w:t>
      </w:r>
      <w:r>
        <w:rPr>
          <w:rFonts w:ascii="Times New Roman" w:eastAsia="宋体"/>
          <w:color w:val="auto"/>
          <w:szCs w:val="24"/>
        </w:rPr>
        <w:t>总大肠菌群超过《地下水质量标准（GB/T14848-2017）》中的Ⅲ类标准，其他各项指标均达到《地下水质量标准（GB/T14848-2017）》中的Ⅲ类标准。地下水硝酸盐、总大肠菌群超标，可能是周边居民生活污水渗漏</w:t>
      </w:r>
      <w:r>
        <w:rPr>
          <w:rFonts w:hint="eastAsia" w:ascii="Times New Roman" w:eastAsia="宋体"/>
          <w:color w:val="auto"/>
          <w:szCs w:val="24"/>
          <w:lang w:eastAsia="zh-CN"/>
        </w:rPr>
        <w:t>、</w:t>
      </w:r>
      <w:r>
        <w:rPr>
          <w:rFonts w:ascii="Times New Roman" w:eastAsia="宋体"/>
          <w:color w:val="auto"/>
          <w:szCs w:val="24"/>
        </w:rPr>
        <w:t>农业化肥污染，需加强对区域生活污水的管理，</w:t>
      </w:r>
      <w:r>
        <w:rPr>
          <w:rFonts w:hint="eastAsia" w:ascii="Times New Roman" w:eastAsia="宋体"/>
          <w:color w:val="auto"/>
          <w:szCs w:val="24"/>
          <w:lang w:val="en-US" w:eastAsia="zh-CN"/>
        </w:rPr>
        <w:t>合理</w:t>
      </w:r>
      <w:r>
        <w:rPr>
          <w:rFonts w:ascii="Times New Roman" w:eastAsia="宋体"/>
          <w:color w:val="auto"/>
          <w:szCs w:val="24"/>
        </w:rPr>
        <w:t>使用农业化肥。</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67" w:name="_Toc12750"/>
      <w:bookmarkStart w:id="368" w:name="_Toc10370"/>
      <w:r>
        <w:rPr>
          <w:rFonts w:ascii="Times New Roman" w:hAnsi="Times New Roman" w:eastAsia="宋体"/>
          <w:color w:val="auto"/>
          <w:kern w:val="2"/>
          <w:sz w:val="28"/>
          <w:szCs w:val="28"/>
        </w:rPr>
        <w:t>4.4地表水环境质量现状监测与评价</w:t>
      </w:r>
      <w:bookmarkEnd w:id="367"/>
      <w:bookmarkEnd w:id="368"/>
    </w:p>
    <w:p>
      <w:pPr>
        <w:spacing w:line="360" w:lineRule="auto"/>
        <w:outlineLvl w:val="2"/>
        <w:rPr>
          <w:rFonts w:hint="default" w:ascii="Times New Roman" w:hAnsi="Times New Roman" w:eastAsia="宋体" w:cs="Times New Roman"/>
          <w:b/>
          <w:bCs/>
          <w:color w:val="auto"/>
          <w:spacing w:val="6"/>
          <w:sz w:val="28"/>
          <w:szCs w:val="28"/>
          <w:lang w:val="en-US" w:eastAsia="zh-CN"/>
        </w:rPr>
      </w:pPr>
      <w:r>
        <w:rPr>
          <w:rFonts w:hint="eastAsia" w:ascii="Times New Roman" w:hAnsi="Times New Roman" w:eastAsia="宋体" w:cs="Times New Roman"/>
          <w:b/>
          <w:bCs/>
          <w:color w:val="auto"/>
          <w:spacing w:val="6"/>
          <w:sz w:val="28"/>
          <w:szCs w:val="28"/>
          <w:lang w:val="en-US" w:eastAsia="zh-CN"/>
        </w:rPr>
        <w:t>4.4.1区域水质状况</w:t>
      </w:r>
    </w:p>
    <w:p>
      <w:pPr>
        <w:widowControl w:val="0"/>
        <w:adjustRightInd w:val="0"/>
        <w:snapToGrid w:val="0"/>
        <w:spacing w:line="360" w:lineRule="auto"/>
        <w:ind w:firstLine="496" w:firstLineChars="200"/>
        <w:jc w:val="both"/>
        <w:rPr>
          <w:rFonts w:ascii="宋体" w:hAnsi="宋体" w:eastAsia="宋体" w:cs="宋体"/>
          <w:color w:val="auto"/>
          <w:kern w:val="2"/>
          <w:sz w:val="21"/>
          <w:lang w:val="zh-CN" w:eastAsia="zh-CN" w:bidi="zh-CN"/>
        </w:rPr>
      </w:pPr>
      <w:r>
        <w:rPr>
          <w:rFonts w:hint="default" w:ascii="Times New Roman" w:hAnsi="Times New Roman" w:eastAsia="宋体" w:cs="Times New Roman"/>
          <w:color w:val="auto"/>
          <w:spacing w:val="0"/>
          <w:w w:val="100"/>
          <w:kern w:val="2"/>
          <w:position w:val="0"/>
          <w:sz w:val="24"/>
          <w:szCs w:val="24"/>
          <w:lang w:val="zh-CN" w:eastAsia="zh-CN" w:bidi="zh-CN"/>
        </w:rPr>
        <w:t>为了解项目所在区域地表水环境质量现状，本项目收集岳阳生态环境监测中心202</w:t>
      </w:r>
      <w:r>
        <w:rPr>
          <w:rFonts w:hint="eastAsia" w:ascii="Times New Roman" w:eastAsia="宋体" w:cs="Times New Roman"/>
          <w:color w:val="auto"/>
          <w:spacing w:val="0"/>
          <w:w w:val="100"/>
          <w:kern w:val="2"/>
          <w:position w:val="0"/>
          <w:sz w:val="24"/>
          <w:szCs w:val="24"/>
          <w:lang w:val="en-US" w:eastAsia="zh-CN" w:bidi="zh-CN"/>
        </w:rPr>
        <w:t>2</w:t>
      </w:r>
      <w:r>
        <w:rPr>
          <w:rFonts w:hint="default" w:ascii="Times New Roman" w:hAnsi="Times New Roman" w:eastAsia="宋体" w:cs="Times New Roman"/>
          <w:color w:val="auto"/>
          <w:spacing w:val="0"/>
          <w:w w:val="100"/>
          <w:kern w:val="2"/>
          <w:position w:val="0"/>
          <w:sz w:val="24"/>
          <w:szCs w:val="24"/>
          <w:lang w:val="zh-CN" w:eastAsia="zh-CN" w:bidi="zh-CN"/>
        </w:rPr>
        <w:t>年全年</w:t>
      </w:r>
      <w:r>
        <w:rPr>
          <w:rFonts w:hint="eastAsia" w:ascii="Times New Roman" w:hAnsi="Times New Roman" w:eastAsia="宋体" w:cs="Times New Roman"/>
          <w:color w:val="auto"/>
          <w:spacing w:val="0"/>
          <w:w w:val="100"/>
          <w:kern w:val="2"/>
          <w:position w:val="0"/>
          <w:sz w:val="24"/>
          <w:szCs w:val="24"/>
          <w:lang w:val="zh-CN" w:eastAsia="zh-CN" w:bidi="zh-CN"/>
        </w:rPr>
        <w:t>新墙河六合垸断面和八仙桥</w:t>
      </w:r>
      <w:r>
        <w:rPr>
          <w:rFonts w:hint="default" w:ascii="Times New Roman" w:hAnsi="Times New Roman" w:eastAsia="宋体" w:cs="Times New Roman"/>
          <w:color w:val="auto"/>
          <w:spacing w:val="0"/>
          <w:w w:val="100"/>
          <w:kern w:val="2"/>
          <w:position w:val="0"/>
          <w:sz w:val="24"/>
          <w:szCs w:val="24"/>
          <w:lang w:val="zh-CN" w:eastAsia="zh-CN" w:bidi="zh-CN"/>
        </w:rPr>
        <w:t>监测断面的</w:t>
      </w:r>
      <w:r>
        <w:rPr>
          <w:rFonts w:hint="eastAsia" w:ascii="Times New Roman" w:hAnsi="Times New Roman" w:eastAsia="宋体" w:cs="Times New Roman"/>
          <w:color w:val="auto"/>
          <w:spacing w:val="0"/>
          <w:w w:val="100"/>
          <w:kern w:val="2"/>
          <w:position w:val="0"/>
          <w:sz w:val="24"/>
          <w:szCs w:val="24"/>
          <w:lang w:val="zh-CN" w:eastAsia="zh-CN" w:bidi="zh-CN"/>
        </w:rPr>
        <w:t>年</w:t>
      </w:r>
      <w:r>
        <w:rPr>
          <w:rFonts w:hint="default" w:ascii="Times New Roman" w:hAnsi="Times New Roman" w:eastAsia="宋体" w:cs="Times New Roman"/>
          <w:color w:val="auto"/>
          <w:spacing w:val="0"/>
          <w:w w:val="100"/>
          <w:kern w:val="2"/>
          <w:position w:val="0"/>
          <w:sz w:val="24"/>
          <w:szCs w:val="24"/>
          <w:lang w:val="zh-CN" w:eastAsia="zh-CN" w:bidi="zh-CN"/>
        </w:rPr>
        <w:t>均监测数据。</w:t>
      </w:r>
    </w:p>
    <w:p>
      <w:pPr>
        <w:widowControl w:val="0"/>
        <w:adjustRightInd/>
        <w:snapToGrid/>
        <w:spacing w:line="360" w:lineRule="auto"/>
        <w:ind w:firstLine="0" w:firstLineChars="0"/>
        <w:jc w:val="center"/>
      </w:pPr>
      <w:r>
        <w:rPr>
          <w:rFonts w:hint="default" w:ascii="Times New Roman" w:hAnsi="Times New Roman" w:eastAsia="宋体" w:cs="Times New Roman"/>
          <w:b/>
          <w:bCs/>
          <w:color w:val="auto"/>
          <w:spacing w:val="0"/>
          <w:w w:val="100"/>
          <w:kern w:val="2"/>
          <w:position w:val="0"/>
          <w:sz w:val="21"/>
          <w:szCs w:val="21"/>
          <w:u w:val="none"/>
          <w:lang w:val="zh-CN" w:eastAsia="zh-CN" w:bidi="zh-CN"/>
        </w:rPr>
        <w:t>表</w:t>
      </w:r>
      <w:r>
        <w:rPr>
          <w:rFonts w:hint="default" w:ascii="Times New Roman" w:hAnsi="Times New Roman" w:eastAsia="宋体" w:cs="Times New Roman"/>
          <w:b/>
          <w:bCs/>
          <w:color w:val="auto"/>
          <w:spacing w:val="0"/>
          <w:w w:val="100"/>
          <w:kern w:val="2"/>
          <w:position w:val="0"/>
          <w:sz w:val="21"/>
          <w:szCs w:val="21"/>
          <w:u w:val="none"/>
          <w:lang w:val="en-US" w:eastAsia="en-US" w:bidi="en-US"/>
        </w:rPr>
        <w:t>3-</w:t>
      </w:r>
      <w:r>
        <w:rPr>
          <w:rFonts w:hint="eastAsia" w:ascii="Times New Roman" w:hAnsi="Times New Roman" w:eastAsia="宋体" w:cs="Times New Roman"/>
          <w:b/>
          <w:bCs/>
          <w:color w:val="auto"/>
          <w:spacing w:val="0"/>
          <w:w w:val="100"/>
          <w:kern w:val="2"/>
          <w:position w:val="0"/>
          <w:sz w:val="21"/>
          <w:szCs w:val="21"/>
          <w:u w:val="none"/>
          <w:lang w:val="en-US" w:eastAsia="zh-CN" w:bidi="en-US"/>
        </w:rPr>
        <w:t>2</w:t>
      </w:r>
      <w:r>
        <w:rPr>
          <w:rFonts w:hint="default" w:ascii="Times New Roman" w:hAnsi="Times New Roman" w:eastAsia="宋体" w:cs="Times New Roman"/>
          <w:b/>
          <w:bCs/>
          <w:color w:val="auto"/>
          <w:spacing w:val="0"/>
          <w:w w:val="100"/>
          <w:kern w:val="2"/>
          <w:position w:val="0"/>
          <w:sz w:val="21"/>
          <w:szCs w:val="21"/>
          <w:u w:val="none"/>
          <w:lang w:val="en-US" w:eastAsia="zh-CN" w:bidi="en-US"/>
        </w:rPr>
        <w:t xml:space="preserve">  </w:t>
      </w:r>
      <w:r>
        <w:rPr>
          <w:rFonts w:hint="default" w:ascii="Times New Roman" w:hAnsi="Times New Roman" w:eastAsia="宋体" w:cs="Times New Roman"/>
          <w:b/>
          <w:bCs/>
          <w:color w:val="auto"/>
          <w:spacing w:val="0"/>
          <w:w w:val="100"/>
          <w:kern w:val="2"/>
          <w:position w:val="0"/>
          <w:sz w:val="21"/>
          <w:szCs w:val="21"/>
          <w:u w:val="none"/>
          <w:lang w:val="zh-CN" w:eastAsia="zh-CN" w:bidi="zh-CN"/>
        </w:rPr>
        <w:t>202</w:t>
      </w:r>
      <w:r>
        <w:rPr>
          <w:rFonts w:hint="eastAsia" w:ascii="Times New Roman" w:eastAsia="宋体" w:cs="Times New Roman"/>
          <w:b/>
          <w:bCs/>
          <w:color w:val="auto"/>
          <w:spacing w:val="0"/>
          <w:w w:val="100"/>
          <w:kern w:val="2"/>
          <w:position w:val="0"/>
          <w:sz w:val="21"/>
          <w:szCs w:val="21"/>
          <w:u w:val="none"/>
          <w:lang w:val="en-US" w:eastAsia="zh-CN" w:bidi="zh-CN"/>
        </w:rPr>
        <w:t>2</w:t>
      </w:r>
      <w:r>
        <w:rPr>
          <w:rFonts w:hint="default" w:ascii="Times New Roman" w:hAnsi="Times New Roman" w:eastAsia="宋体" w:cs="Times New Roman"/>
          <w:b/>
          <w:bCs/>
          <w:color w:val="auto"/>
          <w:spacing w:val="0"/>
          <w:w w:val="100"/>
          <w:kern w:val="2"/>
          <w:position w:val="0"/>
          <w:sz w:val="21"/>
          <w:szCs w:val="21"/>
          <w:u w:val="none"/>
          <w:lang w:val="zh-CN" w:eastAsia="zh-CN" w:bidi="zh-CN"/>
        </w:rPr>
        <w:t>年</w:t>
      </w:r>
      <w:r>
        <w:rPr>
          <w:rFonts w:hint="eastAsia" w:ascii="Times New Roman" w:hAnsi="Times New Roman" w:eastAsia="宋体" w:cs="Times New Roman"/>
          <w:b/>
          <w:bCs/>
          <w:color w:val="auto"/>
          <w:spacing w:val="0"/>
          <w:w w:val="100"/>
          <w:kern w:val="2"/>
          <w:position w:val="0"/>
          <w:sz w:val="21"/>
          <w:szCs w:val="21"/>
          <w:u w:val="none"/>
          <w:lang w:val="zh-CN" w:eastAsia="zh-CN" w:bidi="zh-CN"/>
        </w:rPr>
        <w:t>新墙河</w:t>
      </w:r>
      <w:r>
        <w:rPr>
          <w:rFonts w:hint="default" w:ascii="Times New Roman" w:hAnsi="Times New Roman" w:eastAsia="宋体" w:cs="Times New Roman"/>
          <w:b/>
          <w:bCs/>
          <w:color w:val="auto"/>
          <w:spacing w:val="0"/>
          <w:w w:val="100"/>
          <w:kern w:val="2"/>
          <w:position w:val="0"/>
          <w:sz w:val="21"/>
          <w:szCs w:val="21"/>
          <w:u w:val="none"/>
          <w:lang w:val="zh-CN" w:eastAsia="zh-CN" w:bidi="zh-CN"/>
        </w:rPr>
        <w:t>水质现状监测及评价结果表</w:t>
      </w:r>
    </w:p>
    <w:tbl>
      <w:tblPr>
        <w:tblStyle w:val="47"/>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77"/>
        <w:gridCol w:w="1916"/>
        <w:gridCol w:w="1673"/>
        <w:gridCol w:w="1673"/>
        <w:gridCol w:w="167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Align w:val="center"/>
          </w:tcPr>
          <w:p>
            <w:pPr>
              <w:spacing w:line="276" w:lineRule="auto"/>
              <w:jc w:val="center"/>
              <w:rPr>
                <w:sz w:val="21"/>
                <w:szCs w:val="21"/>
                <w:u w:val="single"/>
              </w:rPr>
            </w:pPr>
            <w:r>
              <w:rPr>
                <w:sz w:val="21"/>
                <w:szCs w:val="21"/>
                <w:u w:val="single"/>
              </w:rPr>
              <w:t>监测断面</w:t>
            </w:r>
          </w:p>
        </w:tc>
        <w:tc>
          <w:tcPr>
            <w:tcW w:w="1125" w:type="pct"/>
            <w:vAlign w:val="center"/>
          </w:tcPr>
          <w:p>
            <w:pPr>
              <w:spacing w:line="276" w:lineRule="auto"/>
              <w:jc w:val="center"/>
              <w:rPr>
                <w:sz w:val="21"/>
                <w:szCs w:val="21"/>
                <w:u w:val="single"/>
              </w:rPr>
            </w:pPr>
            <w:r>
              <w:rPr>
                <w:sz w:val="21"/>
                <w:szCs w:val="21"/>
                <w:u w:val="single"/>
              </w:rPr>
              <w:t>监测因子</w:t>
            </w:r>
          </w:p>
        </w:tc>
        <w:tc>
          <w:tcPr>
            <w:tcW w:w="982" w:type="pct"/>
            <w:vAlign w:val="center"/>
          </w:tcPr>
          <w:p>
            <w:pPr>
              <w:spacing w:line="276" w:lineRule="auto"/>
              <w:jc w:val="center"/>
              <w:rPr>
                <w:sz w:val="21"/>
                <w:szCs w:val="21"/>
                <w:u w:val="single"/>
              </w:rPr>
            </w:pPr>
            <w:r>
              <w:rPr>
                <w:sz w:val="21"/>
                <w:szCs w:val="21"/>
                <w:u w:val="single"/>
              </w:rPr>
              <w:t>单位</w:t>
            </w:r>
          </w:p>
        </w:tc>
        <w:tc>
          <w:tcPr>
            <w:tcW w:w="982" w:type="pct"/>
            <w:vAlign w:val="center"/>
          </w:tcPr>
          <w:p>
            <w:pPr>
              <w:spacing w:line="276" w:lineRule="auto"/>
              <w:jc w:val="center"/>
              <w:rPr>
                <w:sz w:val="21"/>
                <w:szCs w:val="21"/>
                <w:u w:val="single"/>
              </w:rPr>
            </w:pPr>
            <w:r>
              <w:rPr>
                <w:sz w:val="21"/>
                <w:szCs w:val="21"/>
                <w:u w:val="single"/>
              </w:rPr>
              <w:t>年均值</w:t>
            </w:r>
          </w:p>
        </w:tc>
        <w:tc>
          <w:tcPr>
            <w:tcW w:w="982" w:type="pct"/>
            <w:vAlign w:val="center"/>
          </w:tcPr>
          <w:p>
            <w:pPr>
              <w:spacing w:line="276" w:lineRule="auto"/>
              <w:jc w:val="center"/>
              <w:rPr>
                <w:sz w:val="21"/>
                <w:szCs w:val="21"/>
                <w:u w:val="single"/>
              </w:rPr>
            </w:pPr>
            <w:r>
              <w:rPr>
                <w:sz w:val="21"/>
                <w:szCs w:val="21"/>
                <w:u w:val="single"/>
              </w:rPr>
              <w:t>标准值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restart"/>
            <w:vAlign w:val="center"/>
          </w:tcPr>
          <w:p>
            <w:pPr>
              <w:spacing w:line="276" w:lineRule="auto"/>
              <w:jc w:val="center"/>
              <w:rPr>
                <w:sz w:val="21"/>
                <w:szCs w:val="21"/>
                <w:u w:val="single"/>
              </w:rPr>
            </w:pPr>
            <w:r>
              <w:rPr>
                <w:sz w:val="21"/>
                <w:szCs w:val="21"/>
                <w:u w:val="single"/>
              </w:rPr>
              <w:t>新墙河六合垸断面（Ⅲ类水体）</w:t>
            </w:r>
          </w:p>
        </w:tc>
        <w:tc>
          <w:tcPr>
            <w:tcW w:w="1125" w:type="pct"/>
            <w:vAlign w:val="center"/>
          </w:tcPr>
          <w:p>
            <w:pPr>
              <w:spacing w:line="276" w:lineRule="auto"/>
              <w:jc w:val="center"/>
              <w:rPr>
                <w:sz w:val="21"/>
                <w:szCs w:val="21"/>
                <w:u w:val="single"/>
              </w:rPr>
            </w:pPr>
            <w:r>
              <w:rPr>
                <w:sz w:val="21"/>
                <w:szCs w:val="21"/>
                <w:u w:val="single"/>
              </w:rPr>
              <w:t>pH</w:t>
            </w:r>
          </w:p>
        </w:tc>
        <w:tc>
          <w:tcPr>
            <w:tcW w:w="982" w:type="pct"/>
            <w:vAlign w:val="center"/>
          </w:tcPr>
          <w:p>
            <w:pPr>
              <w:spacing w:line="276" w:lineRule="auto"/>
              <w:jc w:val="center"/>
              <w:rPr>
                <w:sz w:val="21"/>
                <w:szCs w:val="21"/>
                <w:u w:val="single"/>
              </w:rPr>
            </w:pPr>
            <w:r>
              <w:rPr>
                <w:sz w:val="21"/>
                <w:szCs w:val="21"/>
                <w:u w:val="single"/>
              </w:rPr>
              <w:t>无量纲</w:t>
            </w:r>
          </w:p>
        </w:tc>
        <w:tc>
          <w:tcPr>
            <w:tcW w:w="982" w:type="pct"/>
            <w:vAlign w:val="center"/>
          </w:tcPr>
          <w:p>
            <w:pPr>
              <w:spacing w:line="276" w:lineRule="auto"/>
              <w:jc w:val="center"/>
              <w:rPr>
                <w:sz w:val="21"/>
                <w:szCs w:val="21"/>
                <w:u w:val="single"/>
              </w:rPr>
            </w:pPr>
            <w:r>
              <w:rPr>
                <w:rFonts w:hint="eastAsia"/>
                <w:sz w:val="21"/>
                <w:szCs w:val="21"/>
                <w:u w:val="single"/>
              </w:rPr>
              <w:t>7.43</w:t>
            </w:r>
          </w:p>
        </w:tc>
        <w:tc>
          <w:tcPr>
            <w:tcW w:w="982" w:type="pct"/>
            <w:vAlign w:val="center"/>
          </w:tcPr>
          <w:p>
            <w:pPr>
              <w:spacing w:line="276" w:lineRule="auto"/>
              <w:jc w:val="center"/>
              <w:rPr>
                <w:sz w:val="21"/>
                <w:szCs w:val="21"/>
                <w:u w:val="single"/>
              </w:rPr>
            </w:pPr>
            <w:r>
              <w:rPr>
                <w:sz w:val="21"/>
                <w:szCs w:val="21"/>
                <w:u w:val="single"/>
              </w:rPr>
              <w:t>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溶解氧</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8.35</w:t>
            </w:r>
          </w:p>
        </w:tc>
        <w:tc>
          <w:tcPr>
            <w:tcW w:w="982" w:type="pct"/>
            <w:vAlign w:val="center"/>
          </w:tcPr>
          <w:p>
            <w:pPr>
              <w:spacing w:line="276" w:lineRule="auto"/>
              <w:jc w:val="center"/>
              <w:rPr>
                <w:sz w:val="21"/>
                <w:szCs w:val="21"/>
                <w:u w:val="single"/>
              </w:rPr>
            </w:pPr>
            <w:r>
              <w:rPr>
                <w:sz w:val="21"/>
                <w:szCs w:val="21"/>
                <w:u w:val="single"/>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高锰酸盐指数</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3.60</w:t>
            </w:r>
          </w:p>
        </w:tc>
        <w:tc>
          <w:tcPr>
            <w:tcW w:w="982" w:type="pct"/>
            <w:vAlign w:val="center"/>
          </w:tcPr>
          <w:p>
            <w:pPr>
              <w:spacing w:line="276" w:lineRule="auto"/>
              <w:jc w:val="center"/>
              <w:rPr>
                <w:sz w:val="21"/>
                <w:szCs w:val="21"/>
                <w:u w:val="single"/>
              </w:rPr>
            </w:pPr>
            <w:r>
              <w:rPr>
                <w:sz w:val="21"/>
                <w:szCs w:val="21"/>
                <w:u w:val="single"/>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化学需氧量</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14.50</w:t>
            </w:r>
          </w:p>
        </w:tc>
        <w:tc>
          <w:tcPr>
            <w:tcW w:w="982" w:type="pct"/>
            <w:vAlign w:val="center"/>
          </w:tcPr>
          <w:p>
            <w:pPr>
              <w:spacing w:line="276" w:lineRule="auto"/>
              <w:jc w:val="center"/>
              <w:rPr>
                <w:sz w:val="21"/>
                <w:szCs w:val="21"/>
                <w:u w:val="single"/>
              </w:rPr>
            </w:pPr>
            <w:r>
              <w:rPr>
                <w:sz w:val="21"/>
                <w:szCs w:val="21"/>
                <w:u w:val="single"/>
              </w:rPr>
              <w:t>≤20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五日生化需氧量</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2.41</w:t>
            </w:r>
          </w:p>
        </w:tc>
        <w:tc>
          <w:tcPr>
            <w:tcW w:w="982" w:type="pct"/>
            <w:vAlign w:val="center"/>
          </w:tcPr>
          <w:p>
            <w:pPr>
              <w:spacing w:line="276" w:lineRule="auto"/>
              <w:jc w:val="center"/>
              <w:rPr>
                <w:sz w:val="21"/>
                <w:szCs w:val="21"/>
                <w:u w:val="single"/>
              </w:rPr>
            </w:pPr>
            <w:r>
              <w:rPr>
                <w:sz w:val="21"/>
                <w:szCs w:val="21"/>
                <w:u w:val="single"/>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氨氮</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0.44</w:t>
            </w:r>
          </w:p>
        </w:tc>
        <w:tc>
          <w:tcPr>
            <w:tcW w:w="982" w:type="pct"/>
            <w:vAlign w:val="center"/>
          </w:tcPr>
          <w:p>
            <w:pPr>
              <w:spacing w:line="276" w:lineRule="auto"/>
              <w:jc w:val="center"/>
              <w:rPr>
                <w:sz w:val="21"/>
                <w:szCs w:val="21"/>
                <w:u w:val="single"/>
              </w:rPr>
            </w:pPr>
            <w:r>
              <w:rPr>
                <w:sz w:val="21"/>
                <w:szCs w:val="21"/>
                <w:u w:val="single"/>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总磷</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0.096</w:t>
            </w:r>
          </w:p>
        </w:tc>
        <w:tc>
          <w:tcPr>
            <w:tcW w:w="982" w:type="pct"/>
            <w:vAlign w:val="center"/>
          </w:tcPr>
          <w:p>
            <w:pPr>
              <w:spacing w:line="276" w:lineRule="auto"/>
              <w:jc w:val="center"/>
              <w:rPr>
                <w:sz w:val="21"/>
                <w:szCs w:val="21"/>
                <w:u w:val="single"/>
              </w:rPr>
            </w:pPr>
            <w:r>
              <w:rPr>
                <w:sz w:val="21"/>
                <w:szCs w:val="21"/>
                <w:u w:val="single"/>
              </w:rPr>
              <w:t>≤0.2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LAS</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0.05L</w:t>
            </w:r>
          </w:p>
        </w:tc>
        <w:tc>
          <w:tcPr>
            <w:tcW w:w="982" w:type="pct"/>
            <w:vAlign w:val="center"/>
          </w:tcPr>
          <w:p>
            <w:pPr>
              <w:spacing w:line="276" w:lineRule="auto"/>
              <w:jc w:val="center"/>
              <w:rPr>
                <w:sz w:val="21"/>
                <w:szCs w:val="21"/>
                <w:u w:val="single"/>
              </w:rPr>
            </w:pPr>
            <w:r>
              <w:rPr>
                <w:sz w:val="21"/>
                <w:szCs w:val="21"/>
                <w:u w:val="single"/>
              </w:rPr>
              <w:t>≤0.2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restart"/>
            <w:vAlign w:val="center"/>
          </w:tcPr>
          <w:p>
            <w:pPr>
              <w:spacing w:line="276" w:lineRule="auto"/>
              <w:jc w:val="center"/>
              <w:rPr>
                <w:sz w:val="21"/>
                <w:szCs w:val="21"/>
                <w:u w:val="single"/>
              </w:rPr>
            </w:pPr>
            <w:r>
              <w:rPr>
                <w:sz w:val="21"/>
                <w:szCs w:val="21"/>
                <w:u w:val="single"/>
              </w:rPr>
              <w:t>新墙河八仙桥断面（Ⅲ类水体）</w:t>
            </w:r>
          </w:p>
        </w:tc>
        <w:tc>
          <w:tcPr>
            <w:tcW w:w="1125" w:type="pct"/>
            <w:vAlign w:val="center"/>
          </w:tcPr>
          <w:p>
            <w:pPr>
              <w:spacing w:line="276" w:lineRule="auto"/>
              <w:jc w:val="center"/>
              <w:rPr>
                <w:sz w:val="21"/>
                <w:szCs w:val="21"/>
                <w:u w:val="single"/>
              </w:rPr>
            </w:pPr>
            <w:r>
              <w:rPr>
                <w:sz w:val="21"/>
                <w:szCs w:val="21"/>
                <w:u w:val="single"/>
              </w:rPr>
              <w:t>pH</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7</w:t>
            </w:r>
          </w:p>
        </w:tc>
        <w:tc>
          <w:tcPr>
            <w:tcW w:w="982" w:type="pct"/>
            <w:vAlign w:val="center"/>
          </w:tcPr>
          <w:p>
            <w:pPr>
              <w:spacing w:line="276" w:lineRule="auto"/>
              <w:jc w:val="center"/>
              <w:rPr>
                <w:sz w:val="21"/>
                <w:szCs w:val="21"/>
                <w:u w:val="single"/>
              </w:rPr>
            </w:pPr>
            <w:r>
              <w:rPr>
                <w:sz w:val="21"/>
                <w:szCs w:val="21"/>
                <w:u w:val="single"/>
              </w:rPr>
              <w:t>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溶解氧</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7.6</w:t>
            </w:r>
          </w:p>
        </w:tc>
        <w:tc>
          <w:tcPr>
            <w:tcW w:w="982" w:type="pct"/>
            <w:vAlign w:val="center"/>
          </w:tcPr>
          <w:p>
            <w:pPr>
              <w:spacing w:line="276" w:lineRule="auto"/>
              <w:jc w:val="center"/>
              <w:rPr>
                <w:sz w:val="21"/>
                <w:szCs w:val="21"/>
                <w:u w:val="single"/>
              </w:rPr>
            </w:pPr>
            <w:r>
              <w:rPr>
                <w:sz w:val="21"/>
                <w:szCs w:val="21"/>
                <w:u w:val="single"/>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高锰酸盐指数</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3.1</w:t>
            </w:r>
          </w:p>
        </w:tc>
        <w:tc>
          <w:tcPr>
            <w:tcW w:w="982" w:type="pct"/>
            <w:vAlign w:val="center"/>
          </w:tcPr>
          <w:p>
            <w:pPr>
              <w:spacing w:line="276" w:lineRule="auto"/>
              <w:jc w:val="center"/>
              <w:rPr>
                <w:sz w:val="21"/>
                <w:szCs w:val="21"/>
                <w:u w:val="single"/>
              </w:rPr>
            </w:pPr>
            <w:r>
              <w:rPr>
                <w:sz w:val="21"/>
                <w:szCs w:val="21"/>
                <w:u w:val="single"/>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化学需氧量</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13.4</w:t>
            </w:r>
          </w:p>
        </w:tc>
        <w:tc>
          <w:tcPr>
            <w:tcW w:w="982" w:type="pct"/>
            <w:vAlign w:val="center"/>
          </w:tcPr>
          <w:p>
            <w:pPr>
              <w:spacing w:line="276" w:lineRule="auto"/>
              <w:jc w:val="center"/>
              <w:rPr>
                <w:sz w:val="21"/>
                <w:szCs w:val="21"/>
                <w:u w:val="single"/>
              </w:rPr>
            </w:pPr>
            <w:r>
              <w:rPr>
                <w:sz w:val="21"/>
                <w:szCs w:val="21"/>
                <w:u w:val="single"/>
              </w:rPr>
              <w:t>≤20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五日生化需氧量</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sz w:val="21"/>
                <w:szCs w:val="21"/>
                <w:u w:val="single"/>
              </w:rPr>
              <w:t>1.</w:t>
            </w:r>
            <w:r>
              <w:rPr>
                <w:rFonts w:hint="eastAsia"/>
                <w:sz w:val="21"/>
                <w:szCs w:val="21"/>
                <w:u w:val="single"/>
              </w:rPr>
              <w:t>5</w:t>
            </w:r>
          </w:p>
        </w:tc>
        <w:tc>
          <w:tcPr>
            <w:tcW w:w="982" w:type="pct"/>
            <w:vAlign w:val="center"/>
          </w:tcPr>
          <w:p>
            <w:pPr>
              <w:spacing w:line="276" w:lineRule="auto"/>
              <w:jc w:val="center"/>
              <w:rPr>
                <w:sz w:val="21"/>
                <w:szCs w:val="21"/>
                <w:u w:val="single"/>
              </w:rPr>
            </w:pPr>
            <w:r>
              <w:rPr>
                <w:sz w:val="21"/>
                <w:szCs w:val="21"/>
                <w:u w:val="single"/>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氨氮</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sz w:val="21"/>
                <w:szCs w:val="21"/>
                <w:u w:val="single"/>
              </w:rPr>
              <w:t>0.</w:t>
            </w:r>
            <w:r>
              <w:rPr>
                <w:rFonts w:hint="eastAsia"/>
                <w:sz w:val="21"/>
                <w:szCs w:val="21"/>
                <w:u w:val="single"/>
              </w:rPr>
              <w:t>39</w:t>
            </w:r>
          </w:p>
        </w:tc>
        <w:tc>
          <w:tcPr>
            <w:tcW w:w="982" w:type="pct"/>
            <w:vAlign w:val="center"/>
          </w:tcPr>
          <w:p>
            <w:pPr>
              <w:spacing w:line="276" w:lineRule="auto"/>
              <w:jc w:val="center"/>
              <w:rPr>
                <w:sz w:val="21"/>
                <w:szCs w:val="21"/>
                <w:u w:val="single"/>
              </w:rPr>
            </w:pPr>
            <w:r>
              <w:rPr>
                <w:sz w:val="21"/>
                <w:szCs w:val="21"/>
                <w:u w:val="single"/>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总磷</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0.091</w:t>
            </w:r>
          </w:p>
        </w:tc>
        <w:tc>
          <w:tcPr>
            <w:tcW w:w="982" w:type="pct"/>
            <w:vAlign w:val="center"/>
          </w:tcPr>
          <w:p>
            <w:pPr>
              <w:spacing w:line="276" w:lineRule="auto"/>
              <w:jc w:val="center"/>
              <w:rPr>
                <w:sz w:val="21"/>
                <w:szCs w:val="21"/>
                <w:u w:val="single"/>
              </w:rPr>
            </w:pPr>
            <w:r>
              <w:rPr>
                <w:sz w:val="21"/>
                <w:szCs w:val="21"/>
                <w:u w:val="single"/>
              </w:rPr>
              <w:t>≤0.2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26" w:type="pct"/>
            <w:vMerge w:val="continue"/>
            <w:vAlign w:val="center"/>
          </w:tcPr>
          <w:p>
            <w:pPr>
              <w:spacing w:line="276" w:lineRule="auto"/>
              <w:jc w:val="center"/>
              <w:rPr>
                <w:sz w:val="21"/>
                <w:szCs w:val="21"/>
                <w:u w:val="single"/>
              </w:rPr>
            </w:pPr>
          </w:p>
        </w:tc>
        <w:tc>
          <w:tcPr>
            <w:tcW w:w="1125" w:type="pct"/>
            <w:vAlign w:val="center"/>
          </w:tcPr>
          <w:p>
            <w:pPr>
              <w:spacing w:line="276" w:lineRule="auto"/>
              <w:jc w:val="center"/>
              <w:rPr>
                <w:sz w:val="21"/>
                <w:szCs w:val="21"/>
                <w:u w:val="single"/>
              </w:rPr>
            </w:pPr>
            <w:r>
              <w:rPr>
                <w:sz w:val="21"/>
                <w:szCs w:val="21"/>
                <w:u w:val="single"/>
              </w:rPr>
              <w:t>LAS</w:t>
            </w:r>
          </w:p>
        </w:tc>
        <w:tc>
          <w:tcPr>
            <w:tcW w:w="982" w:type="pct"/>
            <w:vAlign w:val="center"/>
          </w:tcPr>
          <w:p>
            <w:pPr>
              <w:spacing w:line="276" w:lineRule="auto"/>
              <w:jc w:val="center"/>
              <w:rPr>
                <w:sz w:val="21"/>
                <w:szCs w:val="21"/>
                <w:u w:val="single"/>
              </w:rPr>
            </w:pPr>
            <w:r>
              <w:rPr>
                <w:sz w:val="21"/>
                <w:szCs w:val="21"/>
                <w:u w:val="single"/>
              </w:rPr>
              <w:t>mg/L</w:t>
            </w:r>
          </w:p>
        </w:tc>
        <w:tc>
          <w:tcPr>
            <w:tcW w:w="982" w:type="pct"/>
            <w:vAlign w:val="center"/>
          </w:tcPr>
          <w:p>
            <w:pPr>
              <w:spacing w:line="276" w:lineRule="auto"/>
              <w:jc w:val="center"/>
              <w:rPr>
                <w:sz w:val="21"/>
                <w:szCs w:val="21"/>
                <w:u w:val="single"/>
              </w:rPr>
            </w:pPr>
            <w:r>
              <w:rPr>
                <w:rFonts w:hint="eastAsia"/>
                <w:sz w:val="21"/>
                <w:szCs w:val="21"/>
                <w:u w:val="single"/>
              </w:rPr>
              <w:t>0.02</w:t>
            </w:r>
          </w:p>
        </w:tc>
        <w:tc>
          <w:tcPr>
            <w:tcW w:w="982" w:type="pct"/>
            <w:vAlign w:val="center"/>
          </w:tcPr>
          <w:p>
            <w:pPr>
              <w:spacing w:line="276" w:lineRule="auto"/>
              <w:jc w:val="center"/>
              <w:rPr>
                <w:sz w:val="21"/>
                <w:szCs w:val="21"/>
                <w:u w:val="single"/>
              </w:rPr>
            </w:pPr>
            <w:r>
              <w:rPr>
                <w:sz w:val="21"/>
                <w:szCs w:val="21"/>
                <w:u w:val="single"/>
              </w:rPr>
              <w:t>≤0.2</w:t>
            </w:r>
          </w:p>
        </w:tc>
      </w:tr>
    </w:tbl>
    <w:p>
      <w:pPr>
        <w:pStyle w:val="23"/>
      </w:pPr>
    </w:p>
    <w:p>
      <w:pPr>
        <w:rPr>
          <w:rFonts w:hint="default"/>
          <w:lang w:val="zh-CN" w:eastAsia="zh-CN"/>
        </w:rPr>
      </w:pPr>
    </w:p>
    <w:p>
      <w:pPr>
        <w:wordWrap w:val="0"/>
        <w:autoSpaceDE w:val="0"/>
        <w:autoSpaceDN w:val="0"/>
        <w:adjustRightInd w:val="0"/>
        <w:snapToGrid w:val="0"/>
        <w:spacing w:line="360" w:lineRule="auto"/>
        <w:ind w:firstLine="496" w:firstLineChars="200"/>
        <w:jc w:val="left"/>
        <w:textAlignment w:val="baseline"/>
        <w:rPr>
          <w:rFonts w:ascii="Times New Roman" w:hAnsi="Times New Roman" w:eastAsia="宋体" w:cs="Times New Roman"/>
          <w:color w:val="auto"/>
          <w:kern w:val="2"/>
        </w:rPr>
      </w:pPr>
      <w:r>
        <w:rPr>
          <w:rFonts w:hint="default" w:ascii="Times New Roman" w:hAnsi="Times New Roman" w:eastAsia="宋体" w:cs="Times New Roman"/>
          <w:b w:val="0"/>
          <w:bCs w:val="0"/>
          <w:color w:val="auto"/>
          <w:spacing w:val="0"/>
          <w:w w:val="100"/>
          <w:kern w:val="2"/>
          <w:position w:val="0"/>
          <w:sz w:val="24"/>
          <w:szCs w:val="24"/>
        </w:rPr>
        <w:t>由上表可知，</w:t>
      </w:r>
      <w:r>
        <w:rPr>
          <w:rFonts w:hint="eastAsia" w:ascii="Times New Roman" w:hAnsi="Times New Roman" w:eastAsia="宋体" w:cs="Times New Roman"/>
          <w:b w:val="0"/>
          <w:bCs w:val="0"/>
          <w:color w:val="auto"/>
          <w:spacing w:val="0"/>
          <w:w w:val="100"/>
          <w:kern w:val="2"/>
          <w:position w:val="0"/>
          <w:sz w:val="24"/>
          <w:szCs w:val="24"/>
          <w:lang w:eastAsia="zh-CN"/>
        </w:rPr>
        <w:t>新墙河</w:t>
      </w:r>
      <w:r>
        <w:rPr>
          <w:rFonts w:hint="default" w:ascii="Times New Roman" w:hAnsi="Times New Roman" w:eastAsia="宋体" w:cs="Times New Roman"/>
          <w:b w:val="0"/>
          <w:bCs w:val="0"/>
          <w:color w:val="auto"/>
          <w:spacing w:val="0"/>
          <w:w w:val="100"/>
          <w:kern w:val="2"/>
          <w:position w:val="0"/>
          <w:sz w:val="24"/>
          <w:szCs w:val="24"/>
        </w:rPr>
        <w:t>监测断面各水质均可以达到《地表水环境质量标准》</w:t>
      </w:r>
      <w:r>
        <w:rPr>
          <w:rFonts w:hint="default" w:ascii="Times New Roman" w:hAnsi="Times New Roman" w:eastAsia="宋体" w:cs="Times New Roman"/>
          <w:b w:val="0"/>
          <w:bCs w:val="0"/>
          <w:color w:val="auto"/>
          <w:spacing w:val="0"/>
          <w:w w:val="100"/>
          <w:kern w:val="2"/>
          <w:position w:val="0"/>
          <w:sz w:val="24"/>
          <w:szCs w:val="24"/>
          <w:lang w:val="en-US" w:eastAsia="en-US"/>
        </w:rPr>
        <w:t>(GB3838-2002)</w:t>
      </w:r>
      <w:r>
        <w:rPr>
          <w:rFonts w:hint="default" w:ascii="Times New Roman" w:hAnsi="Times New Roman" w:eastAsia="宋体" w:cs="Times New Roman"/>
          <w:b w:val="0"/>
          <w:bCs w:val="0"/>
          <w:color w:val="auto"/>
          <w:spacing w:val="0"/>
          <w:w w:val="100"/>
          <w:kern w:val="2"/>
          <w:position w:val="0"/>
          <w:sz w:val="24"/>
          <w:szCs w:val="24"/>
          <w:lang w:val="zh-TW" w:eastAsia="zh-TW"/>
        </w:rPr>
        <w:t>中的III类水质要求</w:t>
      </w:r>
      <w:r>
        <w:rPr>
          <w:rFonts w:hint="default" w:ascii="Times New Roman" w:hAnsi="Times New Roman" w:eastAsia="宋体" w:cs="Times New Roman"/>
          <w:b w:val="0"/>
          <w:bCs w:val="0"/>
          <w:color w:val="auto"/>
          <w:spacing w:val="0"/>
          <w:w w:val="100"/>
          <w:kern w:val="2"/>
          <w:position w:val="0"/>
          <w:sz w:val="24"/>
          <w:szCs w:val="24"/>
          <w:lang w:val="zh-TW" w:eastAsia="zh-CN"/>
        </w:rPr>
        <w:t>。</w:t>
      </w:r>
    </w:p>
    <w:p>
      <w:pPr>
        <w:spacing w:line="360" w:lineRule="auto"/>
        <w:outlineLvl w:val="2"/>
        <w:rPr>
          <w:rFonts w:ascii="Times New Roman" w:eastAsia="宋体"/>
          <w:color w:val="auto"/>
          <w:szCs w:val="24"/>
        </w:rPr>
      </w:pPr>
      <w:r>
        <w:rPr>
          <w:rFonts w:hint="eastAsia" w:ascii="Times New Roman" w:eastAsia="宋体"/>
          <w:b/>
          <w:bCs/>
          <w:color w:val="auto"/>
          <w:spacing w:val="6"/>
          <w:sz w:val="28"/>
          <w:szCs w:val="28"/>
        </w:rPr>
        <w:t>4.4.</w:t>
      </w:r>
      <w:r>
        <w:rPr>
          <w:rFonts w:hint="eastAsia" w:ascii="Times New Roman" w:eastAsia="宋体"/>
          <w:b/>
          <w:bCs/>
          <w:color w:val="auto"/>
          <w:spacing w:val="6"/>
          <w:sz w:val="28"/>
          <w:szCs w:val="28"/>
          <w:lang w:val="en-US" w:eastAsia="zh-CN"/>
        </w:rPr>
        <w:t>2</w:t>
      </w:r>
      <w:r>
        <w:rPr>
          <w:rFonts w:hint="eastAsia" w:ascii="Times New Roman" w:eastAsia="宋体"/>
          <w:b/>
          <w:bCs/>
          <w:color w:val="auto"/>
          <w:spacing w:val="6"/>
          <w:sz w:val="28"/>
          <w:szCs w:val="28"/>
        </w:rPr>
        <w:t>现状监测</w:t>
      </w:r>
    </w:p>
    <w:p>
      <w:pPr>
        <w:spacing w:line="360" w:lineRule="auto"/>
        <w:ind w:firstLine="496" w:firstLineChars="200"/>
        <w:rPr>
          <w:rFonts w:ascii="Times New Roman" w:eastAsia="宋体"/>
          <w:color w:val="auto"/>
          <w:szCs w:val="24"/>
        </w:rPr>
      </w:pPr>
      <w:r>
        <w:rPr>
          <w:rFonts w:ascii="Times New Roman" w:eastAsia="宋体"/>
          <w:color w:val="auto"/>
          <w:szCs w:val="24"/>
        </w:rPr>
        <w:t>本项目位于岳阳县</w:t>
      </w:r>
      <w:r>
        <w:rPr>
          <w:rFonts w:hint="eastAsia" w:ascii="Times New Roman" w:eastAsia="宋体"/>
          <w:color w:val="auto"/>
          <w:szCs w:val="24"/>
        </w:rPr>
        <w:t>新墙镇新华</w:t>
      </w:r>
      <w:r>
        <w:rPr>
          <w:rFonts w:ascii="Times New Roman" w:eastAsia="宋体"/>
          <w:color w:val="auto"/>
          <w:szCs w:val="24"/>
        </w:rPr>
        <w:t>村，项目所在区域水体主要为项目</w:t>
      </w:r>
      <w:r>
        <w:rPr>
          <w:rFonts w:hint="eastAsia" w:ascii="Times New Roman" w:eastAsia="宋体"/>
          <w:color w:val="auto"/>
          <w:szCs w:val="24"/>
        </w:rPr>
        <w:t>西</w:t>
      </w:r>
      <w:r>
        <w:rPr>
          <w:rFonts w:ascii="Times New Roman" w:eastAsia="宋体"/>
          <w:color w:val="auto"/>
          <w:szCs w:val="24"/>
        </w:rPr>
        <w:t>侧水塘，为了解水塘水质情况，项目委托湖</w:t>
      </w:r>
      <w:r>
        <w:rPr>
          <w:rFonts w:hint="eastAsia" w:ascii="Times New Roman" w:eastAsia="宋体"/>
          <w:color w:val="auto"/>
          <w:szCs w:val="24"/>
        </w:rPr>
        <w:t>湖南衡润科技有限公司</w:t>
      </w:r>
      <w:r>
        <w:rPr>
          <w:rFonts w:ascii="Times New Roman" w:eastAsia="宋体"/>
          <w:color w:val="auto"/>
          <w:szCs w:val="24"/>
        </w:rPr>
        <w:t>对项目用地区地表水环境质量进行了现状监测，于202</w:t>
      </w:r>
      <w:r>
        <w:rPr>
          <w:rFonts w:hint="eastAsia" w:ascii="Times New Roman" w:eastAsia="宋体"/>
          <w:color w:val="auto"/>
          <w:szCs w:val="24"/>
        </w:rPr>
        <w:t>3</w:t>
      </w:r>
      <w:r>
        <w:rPr>
          <w:rFonts w:ascii="Times New Roman" w:eastAsia="宋体"/>
          <w:color w:val="auto"/>
          <w:szCs w:val="24"/>
        </w:rPr>
        <w:t>年</w:t>
      </w:r>
      <w:r>
        <w:rPr>
          <w:rFonts w:hint="eastAsia" w:ascii="Times New Roman" w:eastAsia="宋体"/>
          <w:color w:val="auto"/>
          <w:szCs w:val="24"/>
        </w:rPr>
        <w:t>7</w:t>
      </w:r>
      <w:r>
        <w:rPr>
          <w:rFonts w:ascii="Times New Roman" w:eastAsia="宋体"/>
          <w:color w:val="auto"/>
          <w:szCs w:val="24"/>
        </w:rPr>
        <w:t>月</w:t>
      </w:r>
      <w:r>
        <w:rPr>
          <w:rFonts w:hint="eastAsia" w:ascii="Times New Roman" w:eastAsia="宋体"/>
          <w:color w:val="auto"/>
          <w:szCs w:val="24"/>
        </w:rPr>
        <w:t>11</w:t>
      </w:r>
      <w:r>
        <w:rPr>
          <w:rFonts w:ascii="Times New Roman" w:eastAsia="宋体"/>
          <w:color w:val="auto"/>
          <w:szCs w:val="24"/>
        </w:rPr>
        <w:t>日至</w:t>
      </w:r>
      <w:r>
        <w:rPr>
          <w:rFonts w:hint="eastAsia" w:ascii="Times New Roman" w:eastAsia="宋体"/>
          <w:color w:val="auto"/>
          <w:szCs w:val="24"/>
        </w:rPr>
        <w:t>7</w:t>
      </w:r>
      <w:r>
        <w:rPr>
          <w:rFonts w:ascii="Times New Roman" w:eastAsia="宋体"/>
          <w:color w:val="auto"/>
          <w:szCs w:val="24"/>
        </w:rPr>
        <w:t>月1</w:t>
      </w:r>
      <w:r>
        <w:rPr>
          <w:rFonts w:hint="eastAsia" w:ascii="Times New Roman" w:eastAsia="宋体"/>
          <w:color w:val="auto"/>
          <w:szCs w:val="24"/>
        </w:rPr>
        <w:t>3</w:t>
      </w:r>
      <w:r>
        <w:rPr>
          <w:rFonts w:ascii="Times New Roman" w:eastAsia="宋体"/>
          <w:color w:val="auto"/>
          <w:szCs w:val="24"/>
        </w:rPr>
        <w:t>日连续3天进行了采样监测。</w:t>
      </w:r>
    </w:p>
    <w:p>
      <w:pPr>
        <w:spacing w:line="360" w:lineRule="auto"/>
        <w:ind w:firstLine="496" w:firstLineChars="200"/>
        <w:rPr>
          <w:rFonts w:ascii="Times New Roman" w:eastAsia="宋体"/>
          <w:color w:val="auto"/>
          <w:szCs w:val="22"/>
        </w:rPr>
      </w:pPr>
      <w:r>
        <w:rPr>
          <w:rFonts w:hint="eastAsia" w:ascii="Times New Roman" w:eastAsia="宋体"/>
          <w:color w:val="auto"/>
          <w:szCs w:val="22"/>
        </w:rPr>
        <w:t>（1）监测项目：pH、COD、氨氮、总磷、SS、COD</w:t>
      </w:r>
      <w:r>
        <w:rPr>
          <w:rFonts w:hint="eastAsia" w:ascii="Times New Roman" w:eastAsia="宋体"/>
          <w:color w:val="auto"/>
          <w:szCs w:val="22"/>
          <w:vertAlign w:val="subscript"/>
        </w:rPr>
        <w:t>Mn</w:t>
      </w:r>
      <w:r>
        <w:rPr>
          <w:rFonts w:hint="eastAsia" w:ascii="Times New Roman" w:eastAsia="宋体"/>
          <w:color w:val="auto"/>
          <w:szCs w:val="22"/>
        </w:rPr>
        <w:t>、DO、粪大肠菌群</w:t>
      </w:r>
      <w:r>
        <w:rPr>
          <w:rFonts w:ascii="Times New Roman" w:eastAsia="宋体"/>
          <w:color w:val="auto"/>
          <w:szCs w:val="22"/>
        </w:rPr>
        <w:t>，并记录当时的水温。</w:t>
      </w:r>
    </w:p>
    <w:p>
      <w:pPr>
        <w:spacing w:line="360" w:lineRule="auto"/>
        <w:ind w:firstLine="496" w:firstLineChars="200"/>
        <w:rPr>
          <w:rFonts w:ascii="Times New Roman" w:eastAsia="宋体"/>
          <w:color w:val="auto"/>
          <w:szCs w:val="22"/>
        </w:rPr>
      </w:pPr>
      <w:r>
        <w:rPr>
          <w:rFonts w:hint="eastAsia" w:ascii="Times New Roman" w:eastAsia="宋体"/>
          <w:color w:val="auto"/>
          <w:szCs w:val="22"/>
        </w:rPr>
        <w:t>（2）监测频次：</w:t>
      </w:r>
      <w:r>
        <w:rPr>
          <w:rFonts w:ascii="Times New Roman" w:eastAsia="宋体"/>
          <w:color w:val="auto"/>
          <w:szCs w:val="22"/>
        </w:rPr>
        <w:t>监测3天，每天监测1次。</w:t>
      </w:r>
    </w:p>
    <w:p>
      <w:pPr>
        <w:spacing w:line="360" w:lineRule="auto"/>
        <w:ind w:firstLine="496" w:firstLineChars="200"/>
        <w:rPr>
          <w:rFonts w:ascii="Times New Roman" w:eastAsia="宋体"/>
          <w:color w:val="auto"/>
          <w:szCs w:val="22"/>
        </w:rPr>
      </w:pPr>
      <w:r>
        <w:rPr>
          <w:rFonts w:hint="eastAsia" w:ascii="Times New Roman" w:eastAsia="宋体"/>
          <w:color w:val="auto"/>
          <w:szCs w:val="22"/>
        </w:rPr>
        <w:t>（3）监测断面</w:t>
      </w:r>
    </w:p>
    <w:p>
      <w:pPr>
        <w:spacing w:line="360" w:lineRule="auto"/>
        <w:ind w:firstLine="496" w:firstLineChars="200"/>
        <w:rPr>
          <w:rFonts w:ascii="Times New Roman" w:eastAsia="宋体"/>
          <w:color w:val="auto"/>
          <w:szCs w:val="22"/>
        </w:rPr>
      </w:pPr>
      <w:r>
        <w:rPr>
          <w:rFonts w:ascii="Times New Roman" w:eastAsia="宋体"/>
          <w:color w:val="auto"/>
          <w:szCs w:val="22"/>
        </w:rPr>
        <w:t>共设</w:t>
      </w:r>
      <w:r>
        <w:rPr>
          <w:rFonts w:hint="eastAsia" w:ascii="Times New Roman" w:eastAsia="宋体"/>
          <w:color w:val="auto"/>
          <w:szCs w:val="22"/>
        </w:rPr>
        <w:t>1</w:t>
      </w:r>
      <w:r>
        <w:rPr>
          <w:rFonts w:ascii="Times New Roman" w:eastAsia="宋体"/>
          <w:color w:val="auto"/>
          <w:szCs w:val="22"/>
        </w:rPr>
        <w:t>个监测</w:t>
      </w:r>
      <w:r>
        <w:rPr>
          <w:rFonts w:hint="eastAsia" w:ascii="Times New Roman" w:eastAsia="宋体"/>
          <w:color w:val="auto"/>
          <w:szCs w:val="22"/>
        </w:rPr>
        <w:t>点位</w:t>
      </w:r>
      <w:r>
        <w:rPr>
          <w:rFonts w:ascii="Times New Roman" w:eastAsia="宋体"/>
          <w:color w:val="auto"/>
          <w:szCs w:val="22"/>
        </w:rPr>
        <w:t>，</w:t>
      </w:r>
      <w:r>
        <w:rPr>
          <w:rFonts w:hint="eastAsia" w:ascii="Times New Roman" w:eastAsia="宋体"/>
          <w:color w:val="auto"/>
          <w:szCs w:val="22"/>
        </w:rPr>
        <w:t>位于</w:t>
      </w:r>
      <w:r>
        <w:rPr>
          <w:rFonts w:ascii="Times New Roman" w:eastAsia="宋体"/>
          <w:color w:val="auto"/>
          <w:szCs w:val="24"/>
        </w:rPr>
        <w:t>项目厂界外</w:t>
      </w:r>
      <w:r>
        <w:rPr>
          <w:rFonts w:hint="eastAsia" w:ascii="Times New Roman" w:eastAsia="宋体"/>
          <w:color w:val="auto"/>
          <w:szCs w:val="24"/>
        </w:rPr>
        <w:t>西</w:t>
      </w:r>
      <w:r>
        <w:rPr>
          <w:rFonts w:ascii="Times New Roman" w:eastAsia="宋体"/>
          <w:color w:val="auto"/>
          <w:szCs w:val="24"/>
        </w:rPr>
        <w:t>侧水塘</w:t>
      </w:r>
      <w:r>
        <w:rPr>
          <w:rFonts w:ascii="Times New Roman" w:eastAsia="宋体"/>
          <w:color w:val="auto"/>
          <w:szCs w:val="22"/>
        </w:rPr>
        <w:t>。</w:t>
      </w:r>
    </w:p>
    <w:p>
      <w:pPr>
        <w:jc w:val="center"/>
        <w:rPr>
          <w:rFonts w:ascii="Times New Roman" w:eastAsia="宋体"/>
          <w:b/>
          <w:color w:val="auto"/>
          <w:sz w:val="21"/>
        </w:rPr>
      </w:pPr>
      <w:r>
        <w:rPr>
          <w:rFonts w:ascii="Times New Roman" w:eastAsia="宋体"/>
          <w:b/>
          <w:color w:val="auto"/>
          <w:sz w:val="21"/>
        </w:rPr>
        <w:t>表4.</w:t>
      </w:r>
      <w:r>
        <w:rPr>
          <w:rFonts w:hint="eastAsia" w:ascii="Times New Roman" w:eastAsia="宋体"/>
          <w:b/>
          <w:color w:val="auto"/>
          <w:sz w:val="21"/>
        </w:rPr>
        <w:t>4</w:t>
      </w:r>
      <w:r>
        <w:rPr>
          <w:rFonts w:ascii="Times New Roman" w:eastAsia="宋体"/>
          <w:b/>
          <w:color w:val="auto"/>
          <w:sz w:val="21"/>
        </w:rPr>
        <w:t>-</w:t>
      </w:r>
      <w:r>
        <w:rPr>
          <w:rFonts w:hint="eastAsia" w:ascii="Times New Roman" w:eastAsia="宋体"/>
          <w:b/>
          <w:color w:val="auto"/>
          <w:sz w:val="21"/>
        </w:rPr>
        <w:t>1</w:t>
      </w:r>
      <w:r>
        <w:rPr>
          <w:rFonts w:ascii="Times New Roman" w:eastAsia="宋体"/>
          <w:b/>
          <w:color w:val="auto"/>
          <w:sz w:val="21"/>
        </w:rPr>
        <w:t>地表水监测点位基本信息</w:t>
      </w:r>
    </w:p>
    <w:tbl>
      <w:tblPr>
        <w:tblStyle w:val="47"/>
        <w:tblW w:w="84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300"/>
        <w:gridCol w:w="2562"/>
        <w:gridCol w:w="2373"/>
        <w:gridCol w:w="22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0" w:hRule="exact"/>
          <w:jc w:val="center"/>
        </w:trPr>
        <w:tc>
          <w:tcPr>
            <w:tcW w:w="1300" w:type="dxa"/>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监测点位</w:t>
            </w:r>
          </w:p>
        </w:tc>
        <w:tc>
          <w:tcPr>
            <w:tcW w:w="4935"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监测点位坐标</w:t>
            </w:r>
          </w:p>
        </w:tc>
        <w:tc>
          <w:tcPr>
            <w:tcW w:w="2243" w:type="dxa"/>
            <w:vMerge w:val="restar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0" w:hRule="exact"/>
          <w:jc w:val="center"/>
        </w:trPr>
        <w:tc>
          <w:tcPr>
            <w:tcW w:w="1300" w:type="dxa"/>
            <w:vMerge w:val="continue"/>
            <w:tcBorders>
              <w:tl2br w:val="nil"/>
              <w:tr2bl w:val="nil"/>
            </w:tcBorders>
            <w:vAlign w:val="center"/>
          </w:tcPr>
          <w:p>
            <w:pPr>
              <w:jc w:val="center"/>
              <w:rPr>
                <w:rFonts w:ascii="Times New Roman" w:eastAsia="宋体"/>
                <w:color w:val="auto"/>
                <w:kern w:val="2"/>
                <w:sz w:val="21"/>
                <w:szCs w:val="21"/>
              </w:rPr>
            </w:pPr>
          </w:p>
        </w:tc>
        <w:tc>
          <w:tcPr>
            <w:tcW w:w="2562"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经度</w:t>
            </w:r>
          </w:p>
        </w:tc>
        <w:tc>
          <w:tcPr>
            <w:tcW w:w="2373"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纬度</w:t>
            </w:r>
          </w:p>
        </w:tc>
        <w:tc>
          <w:tcPr>
            <w:tcW w:w="2243" w:type="dxa"/>
            <w:vMerge w:val="continue"/>
            <w:tcBorders>
              <w:tl2br w:val="nil"/>
              <w:tr2bl w:val="nil"/>
            </w:tcBorders>
            <w:vAlign w:val="center"/>
          </w:tcPr>
          <w:p>
            <w:pPr>
              <w:jc w:val="center"/>
              <w:rPr>
                <w:rFonts w:ascii="Times New Roman" w:eastAsia="宋体"/>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99" w:hRule="exact"/>
          <w:jc w:val="center"/>
        </w:trPr>
        <w:tc>
          <w:tcPr>
            <w:tcW w:w="1300" w:type="dxa"/>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D1</w:t>
            </w:r>
          </w:p>
        </w:tc>
        <w:tc>
          <w:tcPr>
            <w:tcW w:w="2562" w:type="dxa"/>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113.176130</w:t>
            </w:r>
          </w:p>
        </w:tc>
        <w:tc>
          <w:tcPr>
            <w:tcW w:w="2373" w:type="dxa"/>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29.096003</w:t>
            </w:r>
          </w:p>
        </w:tc>
        <w:tc>
          <w:tcPr>
            <w:tcW w:w="2243" w:type="dxa"/>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项目地西侧</w:t>
            </w:r>
          </w:p>
        </w:tc>
      </w:tr>
    </w:tbl>
    <w:p>
      <w:pPr>
        <w:spacing w:line="360" w:lineRule="auto"/>
        <w:ind w:firstLine="482"/>
        <w:rPr>
          <w:rFonts w:ascii="Times New Roman" w:eastAsia="宋体"/>
          <w:color w:val="auto"/>
          <w:lang w:val="zh-CN"/>
        </w:rPr>
      </w:pPr>
      <w:r>
        <w:rPr>
          <w:rFonts w:hint="eastAsia" w:ascii="Times New Roman" w:eastAsia="宋体"/>
          <w:color w:val="auto"/>
          <w:lang w:val="zh-CN"/>
        </w:rPr>
        <w:t>（4）监测结果</w:t>
      </w:r>
    </w:p>
    <w:p>
      <w:pPr>
        <w:spacing w:line="360" w:lineRule="auto"/>
        <w:ind w:firstLine="496" w:firstLineChars="200"/>
        <w:rPr>
          <w:rFonts w:ascii="Times New Roman" w:eastAsia="宋体"/>
          <w:color w:val="auto"/>
          <w:szCs w:val="22"/>
        </w:rPr>
      </w:pPr>
      <w:r>
        <w:rPr>
          <w:rFonts w:ascii="Times New Roman" w:eastAsia="宋体"/>
          <w:color w:val="auto"/>
          <w:szCs w:val="22"/>
        </w:rPr>
        <w:t>地表水环境质量现状监测结果见表4.</w:t>
      </w:r>
      <w:r>
        <w:rPr>
          <w:rFonts w:hint="eastAsia" w:ascii="Times New Roman" w:eastAsia="宋体"/>
          <w:color w:val="auto"/>
          <w:szCs w:val="22"/>
        </w:rPr>
        <w:t>4</w:t>
      </w:r>
      <w:r>
        <w:rPr>
          <w:rFonts w:ascii="Times New Roman" w:eastAsia="宋体"/>
          <w:color w:val="auto"/>
          <w:szCs w:val="22"/>
        </w:rPr>
        <w:t>-</w:t>
      </w:r>
      <w:r>
        <w:rPr>
          <w:rFonts w:hint="eastAsia" w:ascii="Times New Roman" w:eastAsia="宋体"/>
          <w:color w:val="auto"/>
          <w:szCs w:val="22"/>
        </w:rPr>
        <w:t>2</w:t>
      </w:r>
      <w:r>
        <w:rPr>
          <w:rFonts w:ascii="Times New Roman" w:eastAsia="宋体"/>
          <w:color w:val="auto"/>
          <w:szCs w:val="22"/>
        </w:rPr>
        <w:t>。</w:t>
      </w:r>
    </w:p>
    <w:p>
      <w:pPr>
        <w:jc w:val="center"/>
        <w:rPr>
          <w:rFonts w:ascii="Times New Roman" w:eastAsia="宋体"/>
          <w:b/>
          <w:color w:val="auto"/>
          <w:sz w:val="21"/>
        </w:rPr>
      </w:pPr>
      <w:r>
        <w:rPr>
          <w:rFonts w:ascii="Times New Roman" w:eastAsia="宋体"/>
          <w:b/>
          <w:color w:val="auto"/>
          <w:sz w:val="21"/>
        </w:rPr>
        <w:t>表4.</w:t>
      </w:r>
      <w:r>
        <w:rPr>
          <w:rFonts w:hint="eastAsia" w:ascii="Times New Roman" w:eastAsia="宋体"/>
          <w:b/>
          <w:color w:val="auto"/>
          <w:sz w:val="21"/>
        </w:rPr>
        <w:t>4</w:t>
      </w:r>
      <w:r>
        <w:rPr>
          <w:rFonts w:ascii="Times New Roman" w:eastAsia="宋体"/>
          <w:b/>
          <w:color w:val="auto"/>
          <w:sz w:val="21"/>
        </w:rPr>
        <w:t>-</w:t>
      </w:r>
      <w:r>
        <w:rPr>
          <w:rFonts w:hint="eastAsia" w:ascii="Times New Roman" w:eastAsia="宋体"/>
          <w:b/>
          <w:color w:val="auto"/>
          <w:sz w:val="21"/>
        </w:rPr>
        <w:t>2</w:t>
      </w:r>
      <w:r>
        <w:rPr>
          <w:rFonts w:ascii="Times New Roman" w:eastAsia="宋体"/>
          <w:b/>
          <w:color w:val="auto"/>
          <w:sz w:val="21"/>
        </w:rPr>
        <w:t>地表水环境质量现状监测结果</w:t>
      </w:r>
    </w:p>
    <w:tbl>
      <w:tblPr>
        <w:tblStyle w:val="47"/>
        <w:tblW w:w="5129" w:type="pct"/>
        <w:tblInd w:w="-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4"/>
        <w:gridCol w:w="887"/>
        <w:gridCol w:w="1012"/>
        <w:gridCol w:w="1012"/>
        <w:gridCol w:w="1040"/>
        <w:gridCol w:w="990"/>
        <w:gridCol w:w="689"/>
        <w:gridCol w:w="759"/>
        <w:gridCol w:w="771"/>
        <w:gridCol w:w="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7" w:type="pct"/>
            <w:gridSpan w:val="2"/>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采样日期</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7月11日</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7月12日</w:t>
            </w:r>
          </w:p>
        </w:tc>
        <w:tc>
          <w:tcPr>
            <w:tcW w:w="595"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7月13日</w:t>
            </w:r>
          </w:p>
        </w:tc>
        <w:tc>
          <w:tcPr>
            <w:tcW w:w="566" w:type="pct"/>
            <w:vMerge w:val="restart"/>
            <w:tcBorders>
              <w:tl2br w:val="nil"/>
              <w:tr2bl w:val="nil"/>
            </w:tcBorders>
            <w:vAlign w:val="center"/>
          </w:tcPr>
          <w:p>
            <w:pPr>
              <w:jc w:val="center"/>
              <w:rPr>
                <w:rFonts w:ascii="Times New Roman" w:eastAsia="宋体"/>
                <w:bCs/>
                <w:color w:val="auto"/>
                <w:sz w:val="21"/>
                <w:szCs w:val="21"/>
              </w:rPr>
            </w:pPr>
            <w:r>
              <w:rPr>
                <w:rFonts w:hint="eastAsia" w:ascii="Times New Roman" w:eastAsia="宋体" w:cs="宋体"/>
                <w:color w:val="auto"/>
                <w:sz w:val="21"/>
                <w:szCs w:val="21"/>
              </w:rPr>
              <w:t>Ⅲ</w:t>
            </w:r>
            <w:r>
              <w:rPr>
                <w:rFonts w:ascii="Times New Roman" w:eastAsia="宋体"/>
                <w:color w:val="auto"/>
                <w:kern w:val="2"/>
                <w:sz w:val="21"/>
                <w:szCs w:val="21"/>
              </w:rPr>
              <w:t>类水域标准值</w:t>
            </w:r>
          </w:p>
        </w:tc>
        <w:tc>
          <w:tcPr>
            <w:tcW w:w="394" w:type="pct"/>
            <w:vMerge w:val="restar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超标率</w:t>
            </w:r>
          </w:p>
        </w:tc>
        <w:tc>
          <w:tcPr>
            <w:tcW w:w="434" w:type="pct"/>
            <w:vMerge w:val="restar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超标倍数</w:t>
            </w:r>
          </w:p>
        </w:tc>
        <w:tc>
          <w:tcPr>
            <w:tcW w:w="441" w:type="pct"/>
            <w:vMerge w:val="restar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标准指数</w:t>
            </w:r>
          </w:p>
        </w:tc>
        <w:tc>
          <w:tcPr>
            <w:tcW w:w="401" w:type="pct"/>
            <w:vMerge w:val="restart"/>
            <w:tcBorders>
              <w:tl2br w:val="nil"/>
              <w:tr2bl w:val="nil"/>
            </w:tcBorders>
            <w:vAlign w:val="center"/>
          </w:tcPr>
          <w:p>
            <w:pPr>
              <w:jc w:val="center"/>
              <w:rPr>
                <w:rFonts w:ascii="Times New Roman" w:eastAsia="宋体" w:cs="宋体"/>
                <w:color w:val="auto"/>
                <w:sz w:val="21"/>
                <w:szCs w:val="21"/>
              </w:rPr>
            </w:pPr>
            <w:r>
              <w:rPr>
                <w:rFonts w:hint="eastAsia" w:ascii="Times New Roman" w:eastAsia="宋体" w:cs="宋体"/>
                <w:color w:val="auto"/>
                <w:sz w:val="21"/>
                <w:szCs w:val="21"/>
              </w:rPr>
              <w:t>是否达标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007" w:type="pct"/>
            <w:gridSpan w:val="2"/>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采样点位</w:t>
            </w:r>
          </w:p>
        </w:tc>
        <w:tc>
          <w:tcPr>
            <w:tcW w:w="1753" w:type="pct"/>
            <w:gridSpan w:val="3"/>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西侧水塘</w:t>
            </w:r>
          </w:p>
        </w:tc>
        <w:tc>
          <w:tcPr>
            <w:tcW w:w="566" w:type="pct"/>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394" w:type="pct"/>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434" w:type="pct"/>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441" w:type="pct"/>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c>
          <w:tcPr>
            <w:tcW w:w="401" w:type="pct"/>
            <w:vMerge w:val="continue"/>
            <w:tcBorders>
              <w:tl2br w:val="nil"/>
              <w:tr2bl w:val="nil"/>
            </w:tcBorders>
            <w:vAlign w:val="center"/>
          </w:tcPr>
          <w:p>
            <w:pPr>
              <w:adjustRightInd w:val="0"/>
              <w:snapToGrid w:val="0"/>
              <w:jc w:val="center"/>
              <w:rPr>
                <w:rFonts w:ascii="Times New Roman" w:eastAsia="宋体"/>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pH值</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无量纲</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8.6</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8.5</w:t>
            </w:r>
          </w:p>
        </w:tc>
        <w:tc>
          <w:tcPr>
            <w:tcW w:w="595"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8.7</w:t>
            </w:r>
          </w:p>
        </w:tc>
        <w:tc>
          <w:tcPr>
            <w:tcW w:w="566" w:type="pct"/>
            <w:tcBorders>
              <w:tl2br w:val="nil"/>
              <w:tr2bl w:val="nil"/>
            </w:tcBorders>
            <w:vAlign w:val="center"/>
          </w:tcPr>
          <w:p>
            <w:pPr>
              <w:jc w:val="center"/>
              <w:rPr>
                <w:rFonts w:ascii="Times New Roman" w:eastAsia="宋体"/>
                <w:bCs/>
                <w:color w:val="auto"/>
                <w:sz w:val="21"/>
                <w:szCs w:val="21"/>
              </w:rPr>
            </w:pPr>
            <w:r>
              <w:rPr>
                <w:rFonts w:ascii="Times New Roman" w:eastAsia="宋体"/>
                <w:color w:val="auto"/>
                <w:kern w:val="2"/>
                <w:sz w:val="21"/>
                <w:szCs w:val="21"/>
              </w:rPr>
              <w:t>6~9</w:t>
            </w:r>
          </w:p>
        </w:tc>
        <w:tc>
          <w:tcPr>
            <w:tcW w:w="39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3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41" w:type="pc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0.75</w:t>
            </w:r>
            <w:r>
              <w:rPr>
                <w:rFonts w:ascii="Times New Roman" w:eastAsia="宋体"/>
                <w:color w:val="auto"/>
                <w:kern w:val="2"/>
                <w:sz w:val="21"/>
                <w:szCs w:val="21"/>
              </w:rPr>
              <w:t>~</w:t>
            </w:r>
            <w:r>
              <w:rPr>
                <w:rFonts w:hint="eastAsia" w:ascii="Times New Roman" w:eastAsia="宋体"/>
                <w:color w:val="auto"/>
                <w:kern w:val="2"/>
                <w:sz w:val="21"/>
                <w:szCs w:val="21"/>
                <w:lang w:val="en-US" w:eastAsia="zh-CN"/>
              </w:rPr>
              <w:t>0.85</w:t>
            </w:r>
          </w:p>
        </w:tc>
        <w:tc>
          <w:tcPr>
            <w:tcW w:w="401"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悬浮物</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s="宋体"/>
                <w:color w:val="auto"/>
                <w:sz w:val="21"/>
                <w:szCs w:val="21"/>
              </w:rPr>
              <w:t>mg/L</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30</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29</w:t>
            </w:r>
          </w:p>
        </w:tc>
        <w:tc>
          <w:tcPr>
            <w:tcW w:w="595"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33</w:t>
            </w:r>
          </w:p>
        </w:tc>
        <w:tc>
          <w:tcPr>
            <w:tcW w:w="566" w:type="pct"/>
            <w:tcBorders>
              <w:tl2br w:val="nil"/>
              <w:tr2bl w:val="nil"/>
            </w:tcBorders>
            <w:vAlign w:val="center"/>
          </w:tcPr>
          <w:p>
            <w:pPr>
              <w:jc w:val="center"/>
              <w:rPr>
                <w:rFonts w:hint="eastAsia" w:ascii="Times New Roman" w:eastAsia="宋体"/>
                <w:bCs/>
                <w:color w:val="auto"/>
                <w:sz w:val="21"/>
                <w:szCs w:val="21"/>
                <w:lang w:val="en-US" w:eastAsia="zh-CN"/>
              </w:rPr>
            </w:pPr>
            <w:r>
              <w:rPr>
                <w:rFonts w:hint="eastAsia" w:ascii="Times New Roman" w:eastAsia="宋体"/>
                <w:bCs/>
                <w:color w:val="auto"/>
                <w:sz w:val="21"/>
                <w:szCs w:val="21"/>
                <w:lang w:val="en-US" w:eastAsia="zh-CN"/>
              </w:rPr>
              <w:t>—</w:t>
            </w:r>
          </w:p>
        </w:tc>
        <w:tc>
          <w:tcPr>
            <w:tcW w:w="394"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color w:val="auto"/>
                <w:kern w:val="2"/>
                <w:sz w:val="21"/>
                <w:szCs w:val="21"/>
              </w:rPr>
              <w:t>0</w:t>
            </w:r>
          </w:p>
        </w:tc>
        <w:tc>
          <w:tcPr>
            <w:tcW w:w="434"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color w:val="auto"/>
                <w:kern w:val="2"/>
                <w:sz w:val="21"/>
                <w:szCs w:val="21"/>
              </w:rPr>
              <w:t>0</w:t>
            </w:r>
          </w:p>
        </w:tc>
        <w:tc>
          <w:tcPr>
            <w:tcW w:w="441" w:type="pct"/>
            <w:tcBorders>
              <w:tl2br w:val="nil"/>
              <w:tr2bl w:val="nil"/>
            </w:tcBorders>
            <w:vAlign w:val="center"/>
          </w:tcPr>
          <w:p>
            <w:pPr>
              <w:jc w:val="center"/>
              <w:rPr>
                <w:rFonts w:hint="eastAsia" w:ascii="Times New Roman" w:eastAsia="宋体"/>
                <w:color w:val="auto"/>
                <w:kern w:val="2"/>
                <w:sz w:val="21"/>
                <w:szCs w:val="21"/>
                <w:lang w:eastAsia="zh-CN"/>
              </w:rPr>
            </w:pPr>
            <w:r>
              <w:rPr>
                <w:rFonts w:hint="eastAsia" w:ascii="Times New Roman" w:eastAsia="宋体"/>
                <w:color w:val="auto"/>
                <w:kern w:val="2"/>
                <w:sz w:val="21"/>
                <w:szCs w:val="21"/>
                <w:lang w:eastAsia="zh-CN"/>
              </w:rPr>
              <w:t>—</w:t>
            </w:r>
          </w:p>
        </w:tc>
        <w:tc>
          <w:tcPr>
            <w:tcW w:w="401"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COD</w:t>
            </w:r>
            <w:r>
              <w:rPr>
                <w:rFonts w:hint="eastAsia" w:ascii="Times New Roman" w:eastAsia="宋体"/>
                <w:color w:val="auto"/>
                <w:kern w:val="2"/>
                <w:sz w:val="21"/>
                <w:szCs w:val="21"/>
                <w:vertAlign w:val="subscript"/>
              </w:rPr>
              <w:t>Cr</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s="宋体"/>
                <w:color w:val="auto"/>
                <w:sz w:val="21"/>
                <w:szCs w:val="21"/>
              </w:rPr>
              <w:t>mg/L</w:t>
            </w:r>
          </w:p>
        </w:tc>
        <w:tc>
          <w:tcPr>
            <w:tcW w:w="579"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18</w:t>
            </w:r>
          </w:p>
        </w:tc>
        <w:tc>
          <w:tcPr>
            <w:tcW w:w="579"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19</w:t>
            </w:r>
          </w:p>
        </w:tc>
        <w:tc>
          <w:tcPr>
            <w:tcW w:w="595"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20</w:t>
            </w:r>
          </w:p>
        </w:tc>
        <w:tc>
          <w:tcPr>
            <w:tcW w:w="566" w:type="pct"/>
            <w:tcBorders>
              <w:tl2br w:val="nil"/>
              <w:tr2bl w:val="nil"/>
            </w:tcBorders>
            <w:vAlign w:val="center"/>
          </w:tcPr>
          <w:p>
            <w:pPr>
              <w:spacing w:line="360" w:lineRule="auto"/>
              <w:jc w:val="center"/>
              <w:rPr>
                <w:rFonts w:ascii="Times New Roman" w:eastAsia="宋体"/>
                <w:bCs/>
                <w:color w:val="auto"/>
                <w:sz w:val="21"/>
                <w:szCs w:val="21"/>
              </w:rPr>
            </w:pPr>
            <w:r>
              <w:rPr>
                <w:rFonts w:ascii="Times New Roman" w:eastAsia="宋体"/>
                <w:color w:val="auto"/>
                <w:kern w:val="2"/>
                <w:sz w:val="21"/>
                <w:szCs w:val="21"/>
              </w:rPr>
              <w:t>≤20</w:t>
            </w:r>
          </w:p>
        </w:tc>
        <w:tc>
          <w:tcPr>
            <w:tcW w:w="39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3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41" w:type="pc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0.9</w:t>
            </w:r>
            <w:r>
              <w:rPr>
                <w:rFonts w:ascii="Times New Roman" w:eastAsia="宋体"/>
                <w:color w:val="auto"/>
                <w:kern w:val="2"/>
                <w:sz w:val="21"/>
                <w:szCs w:val="21"/>
              </w:rPr>
              <w:t>~</w:t>
            </w:r>
            <w:r>
              <w:rPr>
                <w:rFonts w:hint="eastAsia" w:ascii="Times New Roman" w:eastAsia="宋体"/>
                <w:color w:val="auto"/>
                <w:kern w:val="2"/>
                <w:sz w:val="21"/>
                <w:szCs w:val="21"/>
                <w:lang w:val="en-US" w:eastAsia="zh-CN"/>
              </w:rPr>
              <w:t>1</w:t>
            </w:r>
          </w:p>
        </w:tc>
        <w:tc>
          <w:tcPr>
            <w:tcW w:w="401"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溶解氧</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s="宋体"/>
                <w:color w:val="auto"/>
                <w:sz w:val="21"/>
                <w:szCs w:val="21"/>
              </w:rPr>
              <w:t>mg/L</w:t>
            </w:r>
          </w:p>
        </w:tc>
        <w:tc>
          <w:tcPr>
            <w:tcW w:w="579"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6.13</w:t>
            </w:r>
          </w:p>
        </w:tc>
        <w:tc>
          <w:tcPr>
            <w:tcW w:w="579"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6.05</w:t>
            </w:r>
          </w:p>
        </w:tc>
        <w:tc>
          <w:tcPr>
            <w:tcW w:w="595"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6.15</w:t>
            </w:r>
          </w:p>
        </w:tc>
        <w:tc>
          <w:tcPr>
            <w:tcW w:w="566" w:type="pct"/>
            <w:tcBorders>
              <w:tl2br w:val="nil"/>
              <w:tr2bl w:val="nil"/>
            </w:tcBorders>
            <w:vAlign w:val="center"/>
          </w:tcPr>
          <w:p>
            <w:pPr>
              <w:spacing w:line="360" w:lineRule="auto"/>
              <w:jc w:val="center"/>
              <w:rPr>
                <w:rFonts w:ascii="Times New Roman" w:eastAsia="宋体"/>
                <w:bCs/>
                <w:color w:val="auto"/>
                <w:sz w:val="21"/>
                <w:szCs w:val="21"/>
              </w:rPr>
            </w:pPr>
            <w:r>
              <w:rPr>
                <w:rFonts w:ascii="Times New Roman" w:eastAsia="宋体"/>
                <w:color w:val="auto"/>
                <w:kern w:val="2"/>
                <w:sz w:val="21"/>
                <w:szCs w:val="21"/>
              </w:rPr>
              <w:t>≥5</w:t>
            </w:r>
          </w:p>
        </w:tc>
        <w:tc>
          <w:tcPr>
            <w:tcW w:w="39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3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41" w:type="pc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0.81</w:t>
            </w:r>
            <w:r>
              <w:rPr>
                <w:rFonts w:ascii="Times New Roman" w:eastAsia="宋体"/>
                <w:color w:val="auto"/>
                <w:kern w:val="2"/>
                <w:sz w:val="21"/>
                <w:szCs w:val="21"/>
              </w:rPr>
              <w:t>~</w:t>
            </w:r>
            <w:r>
              <w:rPr>
                <w:rFonts w:hint="eastAsia" w:ascii="Times New Roman" w:eastAsia="宋体"/>
                <w:color w:val="auto"/>
                <w:kern w:val="2"/>
                <w:sz w:val="21"/>
                <w:szCs w:val="21"/>
                <w:lang w:val="en-US" w:eastAsia="zh-CN"/>
              </w:rPr>
              <w:t>0.82</w:t>
            </w:r>
          </w:p>
        </w:tc>
        <w:tc>
          <w:tcPr>
            <w:tcW w:w="401"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COD</w:t>
            </w:r>
            <w:r>
              <w:rPr>
                <w:rFonts w:hint="eastAsia" w:ascii="Times New Roman" w:eastAsia="宋体"/>
                <w:color w:val="auto"/>
                <w:kern w:val="2"/>
                <w:sz w:val="21"/>
                <w:szCs w:val="21"/>
                <w:vertAlign w:val="subscript"/>
              </w:rPr>
              <w:t>Mn</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s="宋体"/>
                <w:color w:val="auto"/>
                <w:sz w:val="21"/>
                <w:szCs w:val="21"/>
              </w:rPr>
              <w:t>mg/L</w:t>
            </w:r>
          </w:p>
        </w:tc>
        <w:tc>
          <w:tcPr>
            <w:tcW w:w="579"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4.8</w:t>
            </w:r>
          </w:p>
        </w:tc>
        <w:tc>
          <w:tcPr>
            <w:tcW w:w="579"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4.1</w:t>
            </w:r>
          </w:p>
        </w:tc>
        <w:tc>
          <w:tcPr>
            <w:tcW w:w="595" w:type="pct"/>
            <w:tcBorders>
              <w:tl2br w:val="nil"/>
              <w:tr2bl w:val="nil"/>
            </w:tcBorders>
            <w:vAlign w:val="center"/>
          </w:tcPr>
          <w:p>
            <w:pPr>
              <w:spacing w:line="360" w:lineRule="auto"/>
              <w:jc w:val="center"/>
              <w:rPr>
                <w:rFonts w:ascii="Times New Roman" w:eastAsia="宋体"/>
                <w:bCs/>
                <w:color w:val="auto"/>
                <w:sz w:val="21"/>
                <w:szCs w:val="21"/>
              </w:rPr>
            </w:pPr>
            <w:r>
              <w:rPr>
                <w:rFonts w:hint="eastAsia" w:ascii="Times New Roman" w:eastAsia="宋体"/>
                <w:bCs/>
                <w:color w:val="auto"/>
                <w:sz w:val="21"/>
                <w:szCs w:val="21"/>
              </w:rPr>
              <w:t>4.6</w:t>
            </w:r>
          </w:p>
        </w:tc>
        <w:tc>
          <w:tcPr>
            <w:tcW w:w="566" w:type="pct"/>
            <w:tcBorders>
              <w:tl2br w:val="nil"/>
              <w:tr2bl w:val="nil"/>
            </w:tcBorders>
            <w:vAlign w:val="center"/>
          </w:tcPr>
          <w:p>
            <w:pPr>
              <w:spacing w:line="360" w:lineRule="auto"/>
              <w:jc w:val="center"/>
              <w:rPr>
                <w:rFonts w:ascii="Times New Roman" w:eastAsia="宋体"/>
                <w:bCs/>
                <w:color w:val="auto"/>
                <w:sz w:val="21"/>
                <w:szCs w:val="21"/>
              </w:rPr>
            </w:pPr>
            <w:r>
              <w:rPr>
                <w:rFonts w:ascii="Times New Roman" w:eastAsia="宋体"/>
                <w:color w:val="auto"/>
                <w:kern w:val="2"/>
                <w:sz w:val="21"/>
                <w:szCs w:val="21"/>
              </w:rPr>
              <w:t>≤6</w:t>
            </w:r>
          </w:p>
        </w:tc>
        <w:tc>
          <w:tcPr>
            <w:tcW w:w="39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3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41" w:type="pc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0.68</w:t>
            </w:r>
            <w:r>
              <w:rPr>
                <w:rFonts w:ascii="Times New Roman" w:eastAsia="宋体"/>
                <w:color w:val="auto"/>
                <w:kern w:val="2"/>
                <w:sz w:val="21"/>
                <w:szCs w:val="21"/>
              </w:rPr>
              <w:t>~</w:t>
            </w:r>
            <w:r>
              <w:rPr>
                <w:rFonts w:hint="eastAsia" w:ascii="Times New Roman" w:eastAsia="宋体"/>
                <w:color w:val="auto"/>
                <w:kern w:val="2"/>
                <w:sz w:val="21"/>
                <w:szCs w:val="21"/>
                <w:lang w:val="en-US" w:eastAsia="zh-CN"/>
              </w:rPr>
              <w:t>0.8</w:t>
            </w:r>
          </w:p>
        </w:tc>
        <w:tc>
          <w:tcPr>
            <w:tcW w:w="401"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氨氮</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s="宋体"/>
                <w:color w:val="auto"/>
                <w:sz w:val="21"/>
                <w:szCs w:val="21"/>
              </w:rPr>
              <w:t>mg/L</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0.699</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0.262</w:t>
            </w:r>
          </w:p>
        </w:tc>
        <w:tc>
          <w:tcPr>
            <w:tcW w:w="595"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0.269</w:t>
            </w:r>
          </w:p>
        </w:tc>
        <w:tc>
          <w:tcPr>
            <w:tcW w:w="566" w:type="pct"/>
            <w:tcBorders>
              <w:tl2br w:val="nil"/>
              <w:tr2bl w:val="nil"/>
            </w:tcBorders>
            <w:vAlign w:val="center"/>
          </w:tcPr>
          <w:p>
            <w:pPr>
              <w:jc w:val="center"/>
              <w:rPr>
                <w:rFonts w:ascii="Times New Roman" w:eastAsia="宋体"/>
                <w:bCs/>
                <w:color w:val="auto"/>
                <w:sz w:val="21"/>
                <w:szCs w:val="21"/>
              </w:rPr>
            </w:pPr>
            <w:r>
              <w:rPr>
                <w:rFonts w:ascii="Times New Roman" w:eastAsia="宋体"/>
                <w:color w:val="auto"/>
                <w:kern w:val="2"/>
                <w:sz w:val="21"/>
                <w:szCs w:val="21"/>
              </w:rPr>
              <w:t>≤1.0</w:t>
            </w:r>
          </w:p>
        </w:tc>
        <w:tc>
          <w:tcPr>
            <w:tcW w:w="39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3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w:t>
            </w:r>
          </w:p>
        </w:tc>
        <w:tc>
          <w:tcPr>
            <w:tcW w:w="441" w:type="pc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0.26</w:t>
            </w:r>
            <w:r>
              <w:rPr>
                <w:rFonts w:ascii="Times New Roman" w:eastAsia="宋体"/>
                <w:color w:val="auto"/>
                <w:kern w:val="2"/>
                <w:sz w:val="21"/>
                <w:szCs w:val="21"/>
              </w:rPr>
              <w:t>~</w:t>
            </w:r>
            <w:r>
              <w:rPr>
                <w:rFonts w:hint="eastAsia" w:ascii="Times New Roman" w:eastAsia="宋体"/>
                <w:color w:val="auto"/>
                <w:kern w:val="2"/>
                <w:sz w:val="21"/>
                <w:szCs w:val="21"/>
                <w:lang w:val="en-US" w:eastAsia="zh-CN"/>
              </w:rPr>
              <w:t>0.7</w:t>
            </w:r>
          </w:p>
        </w:tc>
        <w:tc>
          <w:tcPr>
            <w:tcW w:w="401"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总磷</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u w:val="single"/>
              </w:rPr>
            </w:pPr>
            <w:r>
              <w:rPr>
                <w:rFonts w:hint="eastAsia" w:ascii="Times New Roman" w:eastAsia="宋体" w:cs="宋体"/>
                <w:color w:val="auto"/>
                <w:sz w:val="21"/>
                <w:szCs w:val="21"/>
                <w:u w:val="single"/>
              </w:rPr>
              <w:t>mg/L</w:t>
            </w:r>
          </w:p>
        </w:tc>
        <w:tc>
          <w:tcPr>
            <w:tcW w:w="579" w:type="pct"/>
            <w:tcBorders>
              <w:tl2br w:val="nil"/>
              <w:tr2bl w:val="nil"/>
            </w:tcBorders>
            <w:vAlign w:val="center"/>
          </w:tcPr>
          <w:p>
            <w:pPr>
              <w:jc w:val="center"/>
              <w:rPr>
                <w:rFonts w:ascii="Times New Roman" w:eastAsia="宋体"/>
                <w:bCs/>
                <w:color w:val="auto"/>
                <w:sz w:val="21"/>
                <w:szCs w:val="21"/>
                <w:u w:val="single"/>
              </w:rPr>
            </w:pPr>
            <w:r>
              <w:rPr>
                <w:rFonts w:hint="eastAsia" w:ascii="Times New Roman" w:eastAsia="宋体"/>
                <w:bCs/>
                <w:color w:val="auto"/>
                <w:sz w:val="21"/>
                <w:szCs w:val="21"/>
                <w:u w:val="single"/>
              </w:rPr>
              <w:t>0.11</w:t>
            </w:r>
          </w:p>
        </w:tc>
        <w:tc>
          <w:tcPr>
            <w:tcW w:w="579" w:type="pct"/>
            <w:tcBorders>
              <w:tl2br w:val="nil"/>
              <w:tr2bl w:val="nil"/>
            </w:tcBorders>
            <w:vAlign w:val="center"/>
          </w:tcPr>
          <w:p>
            <w:pPr>
              <w:jc w:val="center"/>
              <w:rPr>
                <w:rFonts w:ascii="Times New Roman" w:eastAsia="宋体"/>
                <w:bCs/>
                <w:color w:val="auto"/>
                <w:sz w:val="21"/>
                <w:szCs w:val="21"/>
                <w:u w:val="single"/>
              </w:rPr>
            </w:pPr>
            <w:r>
              <w:rPr>
                <w:rFonts w:hint="eastAsia" w:ascii="Times New Roman" w:eastAsia="宋体"/>
                <w:bCs/>
                <w:color w:val="auto"/>
                <w:sz w:val="21"/>
                <w:szCs w:val="21"/>
                <w:u w:val="single"/>
              </w:rPr>
              <w:t>0.13</w:t>
            </w:r>
          </w:p>
        </w:tc>
        <w:tc>
          <w:tcPr>
            <w:tcW w:w="595" w:type="pct"/>
            <w:tcBorders>
              <w:tl2br w:val="nil"/>
              <w:tr2bl w:val="nil"/>
            </w:tcBorders>
            <w:vAlign w:val="center"/>
          </w:tcPr>
          <w:p>
            <w:pPr>
              <w:jc w:val="center"/>
              <w:rPr>
                <w:rFonts w:ascii="Times New Roman" w:eastAsia="宋体"/>
                <w:bCs/>
                <w:color w:val="auto"/>
                <w:sz w:val="21"/>
                <w:szCs w:val="21"/>
                <w:u w:val="single"/>
              </w:rPr>
            </w:pPr>
            <w:r>
              <w:rPr>
                <w:rFonts w:hint="eastAsia" w:ascii="Times New Roman" w:eastAsia="宋体"/>
                <w:bCs/>
                <w:color w:val="auto"/>
                <w:sz w:val="21"/>
                <w:szCs w:val="21"/>
                <w:u w:val="single"/>
              </w:rPr>
              <w:t>0.11</w:t>
            </w:r>
          </w:p>
        </w:tc>
        <w:tc>
          <w:tcPr>
            <w:tcW w:w="566" w:type="pct"/>
            <w:tcBorders>
              <w:tl2br w:val="nil"/>
              <w:tr2bl w:val="nil"/>
            </w:tcBorders>
            <w:vAlign w:val="center"/>
          </w:tcPr>
          <w:p>
            <w:pPr>
              <w:jc w:val="center"/>
              <w:rPr>
                <w:rFonts w:hint="default" w:ascii="Times New Roman" w:eastAsia="宋体"/>
                <w:bCs/>
                <w:color w:val="auto"/>
                <w:sz w:val="21"/>
                <w:szCs w:val="21"/>
                <w:u w:val="single"/>
                <w:lang w:val="en-US" w:eastAsia="zh-CN"/>
              </w:rPr>
            </w:pPr>
            <w:r>
              <w:rPr>
                <w:rFonts w:ascii="Times New Roman" w:eastAsia="宋体"/>
                <w:color w:val="auto"/>
                <w:kern w:val="2"/>
                <w:sz w:val="21"/>
                <w:szCs w:val="21"/>
                <w:u w:val="single"/>
              </w:rPr>
              <w:t>≤0.</w:t>
            </w:r>
            <w:r>
              <w:rPr>
                <w:rFonts w:hint="eastAsia" w:ascii="Times New Roman" w:eastAsia="宋体"/>
                <w:color w:val="auto"/>
                <w:kern w:val="2"/>
                <w:sz w:val="21"/>
                <w:szCs w:val="21"/>
                <w:u w:val="single"/>
                <w:lang w:val="en-US" w:eastAsia="zh-CN"/>
              </w:rPr>
              <w:t>05</w:t>
            </w:r>
          </w:p>
        </w:tc>
        <w:tc>
          <w:tcPr>
            <w:tcW w:w="394" w:type="pct"/>
            <w:tcBorders>
              <w:tl2br w:val="nil"/>
              <w:tr2bl w:val="nil"/>
            </w:tcBorders>
            <w:vAlign w:val="center"/>
          </w:tcPr>
          <w:p>
            <w:pPr>
              <w:jc w:val="center"/>
              <w:rPr>
                <w:rFonts w:hint="default" w:ascii="Times New Roman" w:eastAsia="宋体"/>
                <w:color w:val="auto"/>
                <w:kern w:val="2"/>
                <w:sz w:val="21"/>
                <w:szCs w:val="21"/>
                <w:u w:val="single"/>
                <w:lang w:val="en-US" w:eastAsia="zh-CN"/>
              </w:rPr>
            </w:pPr>
            <w:r>
              <w:rPr>
                <w:rFonts w:hint="eastAsia" w:ascii="Times New Roman" w:eastAsia="宋体"/>
                <w:color w:val="auto"/>
                <w:kern w:val="2"/>
                <w:sz w:val="21"/>
                <w:szCs w:val="21"/>
                <w:u w:val="single"/>
                <w:lang w:val="en-US" w:eastAsia="zh-CN"/>
              </w:rPr>
              <w:t>100%</w:t>
            </w:r>
          </w:p>
        </w:tc>
        <w:tc>
          <w:tcPr>
            <w:tcW w:w="434" w:type="pct"/>
            <w:tcBorders>
              <w:tl2br w:val="nil"/>
              <w:tr2bl w:val="nil"/>
            </w:tcBorders>
            <w:vAlign w:val="center"/>
          </w:tcPr>
          <w:p>
            <w:pPr>
              <w:jc w:val="center"/>
              <w:rPr>
                <w:rFonts w:hint="default" w:ascii="Times New Roman" w:eastAsia="宋体"/>
                <w:color w:val="auto"/>
                <w:kern w:val="2"/>
                <w:sz w:val="21"/>
                <w:szCs w:val="21"/>
                <w:u w:val="single"/>
                <w:lang w:val="en-US" w:eastAsia="zh-CN"/>
              </w:rPr>
            </w:pPr>
            <w:r>
              <w:rPr>
                <w:rFonts w:hint="eastAsia" w:ascii="Times New Roman" w:eastAsia="宋体"/>
                <w:color w:val="auto"/>
                <w:kern w:val="2"/>
                <w:sz w:val="21"/>
                <w:szCs w:val="21"/>
                <w:u w:val="single"/>
                <w:lang w:val="en-US" w:eastAsia="zh-CN"/>
              </w:rPr>
              <w:t>1.6</w:t>
            </w:r>
          </w:p>
        </w:tc>
        <w:tc>
          <w:tcPr>
            <w:tcW w:w="441" w:type="pct"/>
            <w:tcBorders>
              <w:tl2br w:val="nil"/>
              <w:tr2bl w:val="nil"/>
            </w:tcBorders>
            <w:vAlign w:val="center"/>
          </w:tcPr>
          <w:p>
            <w:pPr>
              <w:jc w:val="center"/>
              <w:rPr>
                <w:rFonts w:hint="default" w:ascii="Times New Roman" w:eastAsia="宋体"/>
                <w:color w:val="auto"/>
                <w:kern w:val="2"/>
                <w:sz w:val="21"/>
                <w:szCs w:val="21"/>
                <w:u w:val="single"/>
                <w:lang w:val="en-US" w:eastAsia="zh-CN"/>
              </w:rPr>
            </w:pPr>
            <w:r>
              <w:rPr>
                <w:rFonts w:hint="eastAsia" w:ascii="Times New Roman" w:eastAsia="宋体"/>
                <w:color w:val="auto"/>
                <w:kern w:val="2"/>
                <w:sz w:val="21"/>
                <w:szCs w:val="21"/>
                <w:u w:val="single"/>
                <w:lang w:val="en-US" w:eastAsia="zh-CN"/>
              </w:rPr>
              <w:t>2.2</w:t>
            </w:r>
            <w:r>
              <w:rPr>
                <w:rFonts w:ascii="Times New Roman" w:eastAsia="宋体"/>
                <w:color w:val="auto"/>
                <w:kern w:val="2"/>
                <w:sz w:val="21"/>
                <w:szCs w:val="21"/>
                <w:u w:val="single"/>
              </w:rPr>
              <w:t>~</w:t>
            </w:r>
            <w:r>
              <w:rPr>
                <w:rFonts w:hint="eastAsia" w:ascii="Times New Roman" w:eastAsia="宋体"/>
                <w:color w:val="auto"/>
                <w:kern w:val="2"/>
                <w:sz w:val="21"/>
                <w:szCs w:val="21"/>
                <w:u w:val="single"/>
                <w:lang w:val="en-US" w:eastAsia="zh-CN"/>
              </w:rPr>
              <w:t>2.6</w:t>
            </w:r>
          </w:p>
        </w:tc>
        <w:tc>
          <w:tcPr>
            <w:tcW w:w="401" w:type="pct"/>
            <w:tcBorders>
              <w:tl2br w:val="nil"/>
              <w:tr2bl w:val="nil"/>
            </w:tcBorders>
            <w:vAlign w:val="center"/>
          </w:tcPr>
          <w:p>
            <w:pPr>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olor w:val="auto"/>
                <w:kern w:val="2"/>
                <w:sz w:val="21"/>
                <w:szCs w:val="21"/>
              </w:rPr>
              <w:t>粪大肠菌群</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s="宋体"/>
                <w:color w:val="auto"/>
                <w:sz w:val="21"/>
                <w:szCs w:val="21"/>
              </w:rPr>
              <w:t>MPN/L</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17000</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24000</w:t>
            </w:r>
          </w:p>
        </w:tc>
        <w:tc>
          <w:tcPr>
            <w:tcW w:w="595"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14000</w:t>
            </w:r>
          </w:p>
        </w:tc>
        <w:tc>
          <w:tcPr>
            <w:tcW w:w="566" w:type="pct"/>
            <w:tcBorders>
              <w:tl2br w:val="nil"/>
              <w:tr2bl w:val="nil"/>
            </w:tcBorders>
            <w:vAlign w:val="center"/>
          </w:tcPr>
          <w:p>
            <w:pPr>
              <w:jc w:val="center"/>
              <w:rPr>
                <w:rFonts w:ascii="Times New Roman" w:eastAsia="宋体"/>
                <w:bCs/>
                <w:color w:val="auto"/>
                <w:sz w:val="21"/>
                <w:szCs w:val="21"/>
              </w:rPr>
            </w:pPr>
            <w:r>
              <w:rPr>
                <w:rFonts w:ascii="Times New Roman" w:eastAsia="宋体"/>
                <w:color w:val="auto"/>
                <w:kern w:val="2"/>
                <w:sz w:val="21"/>
                <w:szCs w:val="21"/>
              </w:rPr>
              <w:t>≤</w:t>
            </w:r>
            <w:r>
              <w:rPr>
                <w:rFonts w:hint="eastAsia" w:ascii="Times New Roman" w:eastAsia="宋体"/>
                <w:color w:val="auto"/>
                <w:kern w:val="2"/>
                <w:sz w:val="21"/>
                <w:szCs w:val="21"/>
              </w:rPr>
              <w:t>1000</w:t>
            </w:r>
          </w:p>
        </w:tc>
        <w:tc>
          <w:tcPr>
            <w:tcW w:w="39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100%</w:t>
            </w:r>
          </w:p>
        </w:tc>
        <w:tc>
          <w:tcPr>
            <w:tcW w:w="43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18.3</w:t>
            </w:r>
          </w:p>
        </w:tc>
        <w:tc>
          <w:tcPr>
            <w:tcW w:w="441" w:type="pc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14</w:t>
            </w:r>
            <w:r>
              <w:rPr>
                <w:rFonts w:ascii="Times New Roman" w:eastAsia="宋体"/>
                <w:color w:val="auto"/>
                <w:kern w:val="2"/>
                <w:sz w:val="21"/>
                <w:szCs w:val="21"/>
              </w:rPr>
              <w:t>~</w:t>
            </w:r>
            <w:r>
              <w:rPr>
                <w:rFonts w:hint="eastAsia" w:ascii="Times New Roman" w:eastAsia="宋体"/>
                <w:color w:val="auto"/>
                <w:kern w:val="2"/>
                <w:sz w:val="21"/>
                <w:szCs w:val="21"/>
                <w:lang w:val="en-US" w:eastAsia="zh-CN"/>
              </w:rPr>
              <w:t>24</w:t>
            </w:r>
          </w:p>
        </w:tc>
        <w:tc>
          <w:tcPr>
            <w:tcW w:w="401"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500"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ascii="Times New Roman" w:eastAsia="宋体"/>
                <w:color w:val="auto"/>
                <w:kern w:val="2"/>
                <w:sz w:val="21"/>
                <w:szCs w:val="21"/>
              </w:rPr>
              <w:t>水温（</w:t>
            </w:r>
            <w:r>
              <w:rPr>
                <w:rFonts w:hint="eastAsia" w:ascii="Times New Roman" w:eastAsia="宋体" w:cs="宋体"/>
                <w:color w:val="auto"/>
                <w:kern w:val="2"/>
                <w:sz w:val="21"/>
                <w:szCs w:val="21"/>
              </w:rPr>
              <w:t>℃</w:t>
            </w:r>
            <w:r>
              <w:rPr>
                <w:rFonts w:ascii="Times New Roman" w:eastAsia="宋体"/>
                <w:color w:val="auto"/>
                <w:kern w:val="2"/>
                <w:sz w:val="21"/>
                <w:szCs w:val="21"/>
              </w:rPr>
              <w:t>）</w:t>
            </w:r>
          </w:p>
        </w:tc>
        <w:tc>
          <w:tcPr>
            <w:tcW w:w="507" w:type="pct"/>
            <w:tcBorders>
              <w:tl2br w:val="nil"/>
              <w:tr2bl w:val="nil"/>
            </w:tcBorders>
            <w:vAlign w:val="center"/>
          </w:tcPr>
          <w:p>
            <w:pPr>
              <w:adjustRightInd w:val="0"/>
              <w:snapToGrid w:val="0"/>
              <w:jc w:val="center"/>
              <w:rPr>
                <w:rFonts w:ascii="Times New Roman" w:eastAsia="宋体"/>
                <w:color w:val="auto"/>
                <w:kern w:val="2"/>
                <w:sz w:val="21"/>
                <w:szCs w:val="21"/>
              </w:rPr>
            </w:pPr>
            <w:r>
              <w:rPr>
                <w:rFonts w:hint="eastAsia" w:ascii="Times New Roman" w:eastAsia="宋体" w:cs="宋体"/>
                <w:color w:val="auto"/>
                <w:kern w:val="2"/>
                <w:sz w:val="21"/>
                <w:szCs w:val="21"/>
              </w:rPr>
              <w:t>℃</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35.5</w:t>
            </w:r>
          </w:p>
        </w:tc>
        <w:tc>
          <w:tcPr>
            <w:tcW w:w="579"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33.8</w:t>
            </w:r>
          </w:p>
        </w:tc>
        <w:tc>
          <w:tcPr>
            <w:tcW w:w="595"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35.2</w:t>
            </w:r>
          </w:p>
        </w:tc>
        <w:tc>
          <w:tcPr>
            <w:tcW w:w="566"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lang w:val="en-US" w:eastAsia="zh-CN"/>
              </w:rPr>
              <w:t>—</w:t>
            </w:r>
          </w:p>
        </w:tc>
        <w:tc>
          <w:tcPr>
            <w:tcW w:w="394"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lang w:val="en-US" w:eastAsia="zh-CN"/>
              </w:rPr>
              <w:t>—</w:t>
            </w:r>
          </w:p>
        </w:tc>
        <w:tc>
          <w:tcPr>
            <w:tcW w:w="434"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lang w:val="en-US" w:eastAsia="zh-CN"/>
              </w:rPr>
              <w:t>—</w:t>
            </w:r>
          </w:p>
        </w:tc>
        <w:tc>
          <w:tcPr>
            <w:tcW w:w="441"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lang w:val="en-US" w:eastAsia="zh-CN"/>
              </w:rPr>
              <w:t>—</w:t>
            </w:r>
          </w:p>
        </w:tc>
        <w:tc>
          <w:tcPr>
            <w:tcW w:w="401" w:type="pct"/>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lang w:val="en-US" w:eastAsia="zh-CN"/>
              </w:rPr>
              <w:t>—</w:t>
            </w:r>
          </w:p>
        </w:tc>
      </w:tr>
    </w:tbl>
    <w:p>
      <w:pPr>
        <w:spacing w:beforeLines="50" w:line="360" w:lineRule="auto"/>
        <w:ind w:firstLine="549" w:firstLineChars="222"/>
        <w:rPr>
          <w:rFonts w:hint="default" w:ascii="Times New Roman" w:eastAsia="宋体"/>
          <w:color w:val="auto"/>
          <w:szCs w:val="22"/>
          <w:u w:val="single"/>
          <w:lang w:val="en-US" w:eastAsia="zh-CN"/>
        </w:rPr>
      </w:pPr>
      <w:r>
        <w:rPr>
          <w:rFonts w:ascii="Times New Roman" w:eastAsia="宋体"/>
          <w:color w:val="auto"/>
          <w:szCs w:val="22"/>
          <w:u w:val="single"/>
        </w:rPr>
        <w:t>由</w:t>
      </w:r>
      <w:r>
        <w:rPr>
          <w:rFonts w:hint="eastAsia" w:ascii="Times New Roman" w:eastAsia="宋体"/>
          <w:color w:val="auto"/>
          <w:szCs w:val="22"/>
          <w:u w:val="single"/>
        </w:rPr>
        <w:t>检测结果</w:t>
      </w:r>
      <w:r>
        <w:rPr>
          <w:rFonts w:ascii="Times New Roman" w:eastAsia="宋体"/>
          <w:color w:val="auto"/>
          <w:szCs w:val="22"/>
          <w:u w:val="single"/>
        </w:rPr>
        <w:t>知，</w:t>
      </w:r>
      <w:r>
        <w:rPr>
          <w:rFonts w:ascii="Times New Roman" w:eastAsia="宋体"/>
          <w:color w:val="auto"/>
          <w:szCs w:val="24"/>
          <w:u w:val="single"/>
        </w:rPr>
        <w:t>项目附近地表水监测的</w:t>
      </w:r>
      <w:r>
        <w:rPr>
          <w:rFonts w:ascii="Times New Roman" w:eastAsia="宋体"/>
          <w:color w:val="auto"/>
          <w:szCs w:val="22"/>
          <w:u w:val="single"/>
        </w:rPr>
        <w:t>各项水质</w:t>
      </w:r>
      <w:r>
        <w:rPr>
          <w:rFonts w:ascii="Times New Roman" w:eastAsia="宋体"/>
          <w:color w:val="auto"/>
          <w:szCs w:val="24"/>
          <w:u w:val="single"/>
        </w:rPr>
        <w:t>监测结果除</w:t>
      </w:r>
      <w:r>
        <w:rPr>
          <w:rFonts w:hint="eastAsia" w:ascii="Times New Roman" w:eastAsia="宋体"/>
          <w:color w:val="auto"/>
          <w:szCs w:val="24"/>
          <w:u w:val="single"/>
          <w:lang w:val="en-US" w:eastAsia="zh-CN"/>
        </w:rPr>
        <w:t>总磷和</w:t>
      </w:r>
      <w:r>
        <w:rPr>
          <w:rFonts w:hint="eastAsia" w:ascii="Times New Roman" w:eastAsia="宋体"/>
          <w:color w:val="auto"/>
          <w:szCs w:val="22"/>
          <w:u w:val="single"/>
        </w:rPr>
        <w:t>粪大肠菌群</w:t>
      </w:r>
      <w:r>
        <w:rPr>
          <w:rFonts w:ascii="Times New Roman" w:eastAsia="宋体"/>
          <w:color w:val="auto"/>
          <w:szCs w:val="22"/>
          <w:u w:val="single"/>
        </w:rPr>
        <w:t>外，其余各项</w:t>
      </w:r>
      <w:r>
        <w:rPr>
          <w:rFonts w:ascii="Times New Roman" w:eastAsia="宋体"/>
          <w:color w:val="auto"/>
          <w:szCs w:val="24"/>
          <w:u w:val="single"/>
        </w:rPr>
        <w:t>均符合</w:t>
      </w:r>
      <w:r>
        <w:rPr>
          <w:rFonts w:ascii="Times New Roman" w:eastAsia="宋体"/>
          <w:color w:val="auto"/>
          <w:szCs w:val="22"/>
          <w:u w:val="single"/>
        </w:rPr>
        <w:t>《地表水环境质量标准》（GB3838-2002）中</w:t>
      </w:r>
      <w:r>
        <w:rPr>
          <w:rFonts w:hint="eastAsia" w:ascii="Times New Roman" w:eastAsia="宋体" w:cs="宋体"/>
          <w:color w:val="auto"/>
          <w:szCs w:val="22"/>
          <w:u w:val="single"/>
        </w:rPr>
        <w:t>Ⅲ</w:t>
      </w:r>
      <w:r>
        <w:rPr>
          <w:rFonts w:ascii="Times New Roman" w:eastAsia="宋体"/>
          <w:color w:val="auto"/>
          <w:szCs w:val="22"/>
          <w:u w:val="single"/>
        </w:rPr>
        <w:t>类水域水质标准要求。</w:t>
      </w:r>
      <w:r>
        <w:rPr>
          <w:rFonts w:hint="eastAsia" w:ascii="Times New Roman" w:eastAsia="宋体"/>
          <w:color w:val="auto"/>
          <w:szCs w:val="22"/>
          <w:u w:val="single"/>
          <w:lang w:val="en-US" w:eastAsia="zh-CN"/>
        </w:rPr>
        <w:t>经调查该水塘由个人承包，曾用于养鱼，并投放饵料，因此导致该鱼塘水质超标。</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69" w:name="_Toc28567"/>
      <w:r>
        <w:rPr>
          <w:rFonts w:ascii="Times New Roman" w:hAnsi="Times New Roman" w:eastAsia="宋体"/>
          <w:color w:val="auto"/>
          <w:kern w:val="2"/>
          <w:sz w:val="28"/>
          <w:szCs w:val="28"/>
        </w:rPr>
        <w:t>4.</w:t>
      </w:r>
      <w:r>
        <w:rPr>
          <w:rFonts w:hint="eastAsia" w:ascii="Times New Roman" w:hAnsi="Times New Roman" w:eastAsia="宋体"/>
          <w:color w:val="auto"/>
          <w:kern w:val="2"/>
          <w:sz w:val="28"/>
          <w:szCs w:val="28"/>
        </w:rPr>
        <w:t>5</w:t>
      </w:r>
      <w:r>
        <w:rPr>
          <w:rFonts w:ascii="Times New Roman" w:hAnsi="Times New Roman" w:eastAsia="宋体"/>
          <w:color w:val="auto"/>
          <w:kern w:val="2"/>
          <w:sz w:val="28"/>
          <w:szCs w:val="28"/>
        </w:rPr>
        <w:t>声环境质量现状调查及评价</w:t>
      </w:r>
      <w:bookmarkEnd w:id="369"/>
    </w:p>
    <w:p>
      <w:pPr>
        <w:spacing w:line="360" w:lineRule="auto"/>
        <w:ind w:firstLine="482"/>
        <w:rPr>
          <w:rFonts w:ascii="Times New Roman" w:eastAsia="宋体"/>
          <w:color w:val="auto"/>
        </w:rPr>
      </w:pPr>
      <w:r>
        <w:rPr>
          <w:rFonts w:hint="eastAsia" w:ascii="Times New Roman" w:eastAsia="宋体"/>
          <w:color w:val="auto"/>
        </w:rPr>
        <w:t>（1）</w:t>
      </w:r>
      <w:r>
        <w:rPr>
          <w:rFonts w:ascii="Times New Roman" w:eastAsia="宋体"/>
          <w:color w:val="auto"/>
        </w:rPr>
        <w:t>监测点布设</w:t>
      </w:r>
    </w:p>
    <w:p>
      <w:pPr>
        <w:pStyle w:val="14"/>
        <w:ind w:firstLine="497"/>
        <w:rPr>
          <w:rFonts w:ascii="Times New Roman" w:eastAsia="宋体"/>
          <w:color w:val="auto"/>
          <w:szCs w:val="24"/>
        </w:rPr>
      </w:pPr>
      <w:r>
        <w:rPr>
          <w:rFonts w:ascii="Times New Roman" w:eastAsia="宋体"/>
          <w:color w:val="auto"/>
          <w:szCs w:val="24"/>
        </w:rPr>
        <w:t>噪声现状监测</w:t>
      </w:r>
      <w:r>
        <w:rPr>
          <w:rFonts w:ascii="Times New Roman" w:eastAsia="宋体"/>
          <w:bCs/>
          <w:color w:val="auto"/>
          <w:szCs w:val="24"/>
        </w:rPr>
        <w:t>共设</w:t>
      </w:r>
      <w:r>
        <w:rPr>
          <w:rFonts w:hint="eastAsia" w:ascii="Times New Roman" w:eastAsia="宋体"/>
          <w:bCs/>
          <w:color w:val="auto"/>
          <w:szCs w:val="24"/>
        </w:rPr>
        <w:t>5</w:t>
      </w:r>
      <w:r>
        <w:rPr>
          <w:rFonts w:ascii="Times New Roman" w:eastAsia="宋体"/>
          <w:bCs/>
          <w:color w:val="auto"/>
          <w:szCs w:val="24"/>
        </w:rPr>
        <w:t>个监测点。</w:t>
      </w:r>
      <w:r>
        <w:rPr>
          <w:rFonts w:ascii="Times New Roman" w:eastAsia="宋体"/>
          <w:color w:val="auto"/>
          <w:szCs w:val="24"/>
        </w:rPr>
        <w:t>噪声监测点分布情况见表</w:t>
      </w:r>
      <w:r>
        <w:rPr>
          <w:rFonts w:hint="eastAsia" w:ascii="Times New Roman" w:eastAsia="宋体"/>
          <w:color w:val="auto"/>
          <w:szCs w:val="24"/>
        </w:rPr>
        <w:t>4</w:t>
      </w:r>
      <w:r>
        <w:rPr>
          <w:rFonts w:ascii="Times New Roman" w:eastAsia="宋体"/>
          <w:color w:val="auto"/>
          <w:szCs w:val="24"/>
        </w:rPr>
        <w:t>.</w:t>
      </w:r>
      <w:r>
        <w:rPr>
          <w:rFonts w:hint="eastAsia" w:ascii="Times New Roman" w:eastAsia="宋体"/>
          <w:color w:val="auto"/>
          <w:szCs w:val="24"/>
        </w:rPr>
        <w:t>5</w:t>
      </w:r>
      <w:r>
        <w:rPr>
          <w:rFonts w:ascii="Times New Roman" w:eastAsia="宋体"/>
          <w:color w:val="auto"/>
          <w:szCs w:val="24"/>
        </w:rPr>
        <w:t>-</w:t>
      </w:r>
      <w:r>
        <w:rPr>
          <w:rFonts w:hint="eastAsia" w:ascii="Times New Roman" w:eastAsia="宋体"/>
          <w:color w:val="auto"/>
          <w:szCs w:val="24"/>
        </w:rPr>
        <w:t>1</w:t>
      </w:r>
      <w:r>
        <w:rPr>
          <w:rFonts w:ascii="Times New Roman" w:eastAsia="宋体"/>
          <w:color w:val="auto"/>
          <w:szCs w:val="24"/>
        </w:rPr>
        <w:t>。</w:t>
      </w:r>
    </w:p>
    <w:p>
      <w:pPr>
        <w:pStyle w:val="14"/>
        <w:spacing w:beforeLines="50" w:line="0" w:lineRule="atLeast"/>
        <w:ind w:firstLine="438"/>
        <w:jc w:val="center"/>
        <w:rPr>
          <w:rFonts w:ascii="Times New Roman" w:eastAsia="宋体"/>
          <w:b/>
          <w:bCs/>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4</w:t>
      </w:r>
      <w:r>
        <w:rPr>
          <w:rFonts w:ascii="Times New Roman" w:eastAsia="宋体"/>
          <w:b/>
          <w:bCs/>
          <w:color w:val="auto"/>
          <w:sz w:val="21"/>
          <w:szCs w:val="21"/>
        </w:rPr>
        <w:t>.</w:t>
      </w:r>
      <w:r>
        <w:rPr>
          <w:rFonts w:hint="eastAsia" w:ascii="Times New Roman" w:eastAsia="宋体"/>
          <w:b/>
          <w:bCs/>
          <w:color w:val="auto"/>
          <w:sz w:val="21"/>
          <w:szCs w:val="21"/>
        </w:rPr>
        <w:t>5</w:t>
      </w:r>
      <w:r>
        <w:rPr>
          <w:rFonts w:ascii="Times New Roman" w:eastAsia="宋体"/>
          <w:b/>
          <w:bCs/>
          <w:color w:val="auto"/>
          <w:sz w:val="21"/>
          <w:szCs w:val="21"/>
        </w:rPr>
        <w:t>-</w:t>
      </w:r>
      <w:r>
        <w:rPr>
          <w:rFonts w:hint="eastAsia" w:ascii="Times New Roman" w:eastAsia="宋体"/>
          <w:b/>
          <w:bCs/>
          <w:color w:val="auto"/>
          <w:sz w:val="21"/>
          <w:szCs w:val="21"/>
        </w:rPr>
        <w:t>1</w:t>
      </w:r>
      <w:r>
        <w:rPr>
          <w:rFonts w:ascii="Times New Roman" w:eastAsia="宋体"/>
          <w:b/>
          <w:bCs/>
          <w:color w:val="auto"/>
          <w:sz w:val="21"/>
          <w:szCs w:val="21"/>
        </w:rPr>
        <w:t>噪声监测点位表</w:t>
      </w:r>
    </w:p>
    <w:tbl>
      <w:tblPr>
        <w:tblStyle w:val="47"/>
        <w:tblW w:w="501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41"/>
        <w:gridCol w:w="2864"/>
        <w:gridCol w:w="32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429"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监测点编号</w:t>
            </w:r>
          </w:p>
        </w:tc>
        <w:tc>
          <w:tcPr>
            <w:tcW w:w="1677"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监测点位置</w:t>
            </w:r>
          </w:p>
        </w:tc>
        <w:tc>
          <w:tcPr>
            <w:tcW w:w="1893"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429"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N1</w:t>
            </w:r>
          </w:p>
        </w:tc>
        <w:tc>
          <w:tcPr>
            <w:tcW w:w="1677"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场区</w:t>
            </w:r>
            <w:r>
              <w:rPr>
                <w:rFonts w:ascii="Times New Roman" w:eastAsia="宋体"/>
                <w:color w:val="auto"/>
                <w:sz w:val="21"/>
                <w:szCs w:val="21"/>
              </w:rPr>
              <w:t>北侧</w:t>
            </w:r>
          </w:p>
        </w:tc>
        <w:tc>
          <w:tcPr>
            <w:tcW w:w="1893"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厂界外1m处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429"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N2</w:t>
            </w:r>
          </w:p>
        </w:tc>
        <w:tc>
          <w:tcPr>
            <w:tcW w:w="1677"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场区</w:t>
            </w:r>
            <w:r>
              <w:rPr>
                <w:rFonts w:ascii="Times New Roman" w:eastAsia="宋体"/>
                <w:color w:val="auto"/>
                <w:sz w:val="21"/>
                <w:szCs w:val="21"/>
              </w:rPr>
              <w:t>西侧</w:t>
            </w:r>
          </w:p>
        </w:tc>
        <w:tc>
          <w:tcPr>
            <w:tcW w:w="1893"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厂界外1m处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429"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N3</w:t>
            </w:r>
          </w:p>
        </w:tc>
        <w:tc>
          <w:tcPr>
            <w:tcW w:w="1677"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场区</w:t>
            </w:r>
            <w:r>
              <w:rPr>
                <w:rFonts w:ascii="Times New Roman" w:eastAsia="宋体"/>
                <w:color w:val="auto"/>
                <w:sz w:val="21"/>
                <w:szCs w:val="21"/>
              </w:rPr>
              <w:t>南侧</w:t>
            </w:r>
          </w:p>
        </w:tc>
        <w:tc>
          <w:tcPr>
            <w:tcW w:w="1893"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厂界外1m处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429"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N4</w:t>
            </w:r>
          </w:p>
        </w:tc>
        <w:tc>
          <w:tcPr>
            <w:tcW w:w="1677"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场区</w:t>
            </w:r>
            <w:r>
              <w:rPr>
                <w:rFonts w:ascii="Times New Roman" w:eastAsia="宋体"/>
                <w:color w:val="auto"/>
                <w:sz w:val="21"/>
                <w:szCs w:val="21"/>
              </w:rPr>
              <w:t>东侧</w:t>
            </w:r>
          </w:p>
        </w:tc>
        <w:tc>
          <w:tcPr>
            <w:tcW w:w="1893" w:type="pc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厂界外1m处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429" w:type="pct"/>
            <w:tcBorders>
              <w:tl2br w:val="nil"/>
              <w:tr2bl w:val="nil"/>
            </w:tcBorders>
            <w:vAlign w:val="center"/>
          </w:tcPr>
          <w:p>
            <w:pPr>
              <w:pStyle w:val="427"/>
              <w:rPr>
                <w:rFonts w:eastAsia="宋体"/>
                <w:color w:val="auto"/>
                <w:kern w:val="2"/>
                <w:position w:val="0"/>
                <w:sz w:val="21"/>
              </w:rPr>
            </w:pPr>
            <w:r>
              <w:rPr>
                <w:rFonts w:hint="eastAsia" w:eastAsia="宋体"/>
                <w:color w:val="auto"/>
                <w:kern w:val="2"/>
                <w:position w:val="0"/>
                <w:sz w:val="21"/>
              </w:rPr>
              <w:t>N5</w:t>
            </w:r>
          </w:p>
        </w:tc>
        <w:tc>
          <w:tcPr>
            <w:tcW w:w="1677"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项目西南侧19</w:t>
            </w:r>
            <w:r>
              <w:rPr>
                <w:rFonts w:hint="eastAsia" w:ascii="Times New Roman" w:eastAsia="宋体"/>
                <w:color w:val="auto"/>
                <w:sz w:val="21"/>
                <w:szCs w:val="21"/>
                <w:lang w:val="en-US" w:eastAsia="zh-CN"/>
              </w:rPr>
              <w:t>0</w:t>
            </w:r>
            <w:r>
              <w:rPr>
                <w:rFonts w:hint="eastAsia" w:ascii="Times New Roman" w:eastAsia="宋体"/>
                <w:color w:val="auto"/>
                <w:sz w:val="21"/>
                <w:szCs w:val="21"/>
              </w:rPr>
              <w:t>m处居民</w:t>
            </w:r>
          </w:p>
        </w:tc>
        <w:tc>
          <w:tcPr>
            <w:tcW w:w="1893"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敏感点</w:t>
            </w:r>
          </w:p>
        </w:tc>
      </w:tr>
    </w:tbl>
    <w:p>
      <w:pPr>
        <w:spacing w:line="360" w:lineRule="auto"/>
        <w:ind w:firstLine="482"/>
        <w:rPr>
          <w:rFonts w:ascii="Times New Roman" w:eastAsia="宋体"/>
          <w:color w:val="auto"/>
        </w:rPr>
      </w:pPr>
      <w:r>
        <w:rPr>
          <w:rFonts w:hint="eastAsia" w:ascii="Times New Roman" w:eastAsia="宋体"/>
          <w:color w:val="auto"/>
        </w:rPr>
        <w:t>（2）</w:t>
      </w:r>
      <w:r>
        <w:rPr>
          <w:rFonts w:ascii="Times New Roman" w:eastAsia="宋体"/>
          <w:color w:val="auto"/>
        </w:rPr>
        <w:t>监测时间及频率</w:t>
      </w:r>
    </w:p>
    <w:p>
      <w:pPr>
        <w:spacing w:line="360" w:lineRule="auto"/>
        <w:ind w:firstLine="482"/>
        <w:rPr>
          <w:rFonts w:ascii="Times New Roman" w:eastAsia="宋体"/>
          <w:color w:val="auto"/>
          <w:lang w:val="zh-CN"/>
        </w:rPr>
      </w:pPr>
      <w:r>
        <w:rPr>
          <w:rFonts w:ascii="Times New Roman" w:eastAsia="宋体"/>
          <w:color w:val="auto"/>
          <w:lang w:val="zh-CN"/>
        </w:rPr>
        <w:t>监测时间为</w:t>
      </w:r>
      <w:r>
        <w:rPr>
          <w:rFonts w:ascii="Times New Roman" w:eastAsia="宋体"/>
          <w:color w:val="auto"/>
        </w:rPr>
        <w:t>20</w:t>
      </w:r>
      <w:r>
        <w:rPr>
          <w:rFonts w:hint="eastAsia" w:ascii="Times New Roman" w:eastAsia="宋体"/>
          <w:color w:val="auto"/>
        </w:rPr>
        <w:t>23</w:t>
      </w:r>
      <w:r>
        <w:rPr>
          <w:rFonts w:ascii="Times New Roman" w:eastAsia="宋体"/>
          <w:color w:val="auto"/>
          <w:lang w:val="zh-CN"/>
        </w:rPr>
        <w:t>年</w:t>
      </w:r>
      <w:r>
        <w:rPr>
          <w:rFonts w:hint="eastAsia" w:ascii="Times New Roman" w:eastAsia="宋体"/>
          <w:color w:val="auto"/>
        </w:rPr>
        <w:t>7</w:t>
      </w:r>
      <w:r>
        <w:rPr>
          <w:rFonts w:ascii="Times New Roman" w:eastAsia="宋体"/>
          <w:color w:val="auto"/>
          <w:lang w:val="zh-CN"/>
        </w:rPr>
        <w:t>月</w:t>
      </w:r>
      <w:r>
        <w:rPr>
          <w:rFonts w:hint="eastAsia" w:ascii="Times New Roman" w:eastAsia="宋体"/>
          <w:color w:val="auto"/>
        </w:rPr>
        <w:t>12</w:t>
      </w:r>
      <w:r>
        <w:rPr>
          <w:rFonts w:ascii="Times New Roman" w:eastAsia="宋体"/>
          <w:color w:val="auto"/>
          <w:lang w:val="zh-CN"/>
        </w:rPr>
        <w:t>日和</w:t>
      </w:r>
      <w:r>
        <w:rPr>
          <w:rFonts w:ascii="Times New Roman" w:eastAsia="宋体"/>
          <w:color w:val="auto"/>
        </w:rPr>
        <w:t>20</w:t>
      </w:r>
      <w:r>
        <w:rPr>
          <w:rFonts w:hint="eastAsia" w:ascii="Times New Roman" w:eastAsia="宋体"/>
          <w:color w:val="auto"/>
        </w:rPr>
        <w:t>23</w:t>
      </w:r>
      <w:r>
        <w:rPr>
          <w:rFonts w:ascii="Times New Roman" w:eastAsia="宋体"/>
          <w:color w:val="auto"/>
          <w:lang w:val="zh-CN"/>
        </w:rPr>
        <w:t>年</w:t>
      </w:r>
      <w:r>
        <w:rPr>
          <w:rFonts w:hint="eastAsia" w:ascii="Times New Roman" w:eastAsia="宋体"/>
          <w:color w:val="auto"/>
        </w:rPr>
        <w:t>7</w:t>
      </w:r>
      <w:r>
        <w:rPr>
          <w:rFonts w:ascii="Times New Roman" w:eastAsia="宋体"/>
          <w:color w:val="auto"/>
          <w:lang w:val="zh-CN"/>
        </w:rPr>
        <w:t>月</w:t>
      </w:r>
      <w:r>
        <w:rPr>
          <w:rFonts w:hint="eastAsia" w:ascii="Times New Roman" w:eastAsia="宋体"/>
          <w:color w:val="auto"/>
        </w:rPr>
        <w:t>13</w:t>
      </w:r>
      <w:r>
        <w:rPr>
          <w:rFonts w:ascii="Times New Roman" w:eastAsia="宋体"/>
          <w:color w:val="auto"/>
          <w:lang w:val="zh-CN"/>
        </w:rPr>
        <w:t>日，昼间监测</w:t>
      </w:r>
      <w:r>
        <w:rPr>
          <w:rFonts w:ascii="Times New Roman" w:eastAsia="宋体"/>
          <w:color w:val="auto"/>
        </w:rPr>
        <w:t>1</w:t>
      </w:r>
      <w:r>
        <w:rPr>
          <w:rFonts w:ascii="Times New Roman" w:eastAsia="宋体"/>
          <w:color w:val="auto"/>
          <w:lang w:val="zh-CN"/>
        </w:rPr>
        <w:t>次，夜间监测</w:t>
      </w:r>
      <w:r>
        <w:rPr>
          <w:rFonts w:ascii="Times New Roman" w:eastAsia="宋体"/>
          <w:color w:val="auto"/>
        </w:rPr>
        <w:t>1</w:t>
      </w:r>
      <w:r>
        <w:rPr>
          <w:rFonts w:ascii="Times New Roman" w:eastAsia="宋体"/>
          <w:color w:val="auto"/>
          <w:lang w:val="zh-CN"/>
        </w:rPr>
        <w:t>次。</w:t>
      </w:r>
    </w:p>
    <w:p>
      <w:pPr>
        <w:spacing w:line="360" w:lineRule="auto"/>
        <w:ind w:firstLine="482"/>
        <w:rPr>
          <w:rFonts w:ascii="Times New Roman" w:eastAsia="宋体"/>
          <w:color w:val="auto"/>
        </w:rPr>
      </w:pPr>
      <w:r>
        <w:rPr>
          <w:rFonts w:hint="eastAsia" w:ascii="Times New Roman" w:eastAsia="宋体"/>
          <w:color w:val="auto"/>
        </w:rPr>
        <w:t>（3）</w:t>
      </w:r>
      <w:r>
        <w:rPr>
          <w:rFonts w:ascii="Times New Roman" w:eastAsia="宋体"/>
          <w:color w:val="auto"/>
        </w:rPr>
        <w:t>监测因子</w:t>
      </w:r>
    </w:p>
    <w:p>
      <w:pPr>
        <w:pStyle w:val="14"/>
        <w:ind w:firstLine="497"/>
        <w:rPr>
          <w:rFonts w:ascii="Times New Roman" w:eastAsia="宋体"/>
          <w:color w:val="auto"/>
          <w:szCs w:val="24"/>
        </w:rPr>
      </w:pPr>
      <w:r>
        <w:rPr>
          <w:rFonts w:ascii="Times New Roman" w:eastAsia="宋体"/>
          <w:color w:val="auto"/>
          <w:szCs w:val="24"/>
        </w:rPr>
        <w:t>测量等效连续A声级。</w:t>
      </w:r>
    </w:p>
    <w:p>
      <w:pPr>
        <w:spacing w:line="360" w:lineRule="auto"/>
        <w:ind w:firstLine="482"/>
        <w:rPr>
          <w:rFonts w:ascii="Times New Roman" w:eastAsia="宋体"/>
          <w:color w:val="auto"/>
        </w:rPr>
      </w:pPr>
      <w:r>
        <w:rPr>
          <w:rFonts w:hint="eastAsia" w:ascii="Times New Roman" w:eastAsia="宋体"/>
          <w:color w:val="auto"/>
        </w:rPr>
        <w:t>（4）</w:t>
      </w:r>
      <w:r>
        <w:rPr>
          <w:rFonts w:ascii="Times New Roman" w:eastAsia="宋体"/>
          <w:color w:val="auto"/>
        </w:rPr>
        <w:t>评价标准</w:t>
      </w:r>
    </w:p>
    <w:p>
      <w:pPr>
        <w:spacing w:line="360" w:lineRule="auto"/>
        <w:ind w:firstLine="482"/>
        <w:rPr>
          <w:rFonts w:ascii="Times New Roman" w:eastAsia="宋体"/>
          <w:color w:val="auto"/>
          <w:lang w:val="zh-CN"/>
        </w:rPr>
      </w:pPr>
      <w:r>
        <w:rPr>
          <w:rFonts w:ascii="Times New Roman" w:eastAsia="宋体"/>
          <w:color w:val="auto"/>
          <w:lang w:val="zh-CN"/>
        </w:rPr>
        <w:t>评价标准执行国家《声环境质量标准》(GB3096-2008)</w:t>
      </w:r>
      <w:r>
        <w:rPr>
          <w:rFonts w:hint="eastAsia" w:ascii="Times New Roman" w:eastAsia="宋体"/>
          <w:color w:val="auto"/>
        </w:rPr>
        <w:t>2</w:t>
      </w:r>
      <w:r>
        <w:rPr>
          <w:rFonts w:ascii="Times New Roman" w:eastAsia="宋体"/>
          <w:color w:val="auto"/>
          <w:lang w:val="zh-CN"/>
        </w:rPr>
        <w:t>类标准限值。</w:t>
      </w:r>
    </w:p>
    <w:p>
      <w:pPr>
        <w:spacing w:line="360" w:lineRule="auto"/>
        <w:ind w:firstLine="482"/>
        <w:rPr>
          <w:rFonts w:ascii="Times New Roman" w:eastAsia="宋体"/>
          <w:color w:val="auto"/>
        </w:rPr>
      </w:pPr>
      <w:r>
        <w:rPr>
          <w:rFonts w:hint="eastAsia" w:ascii="Times New Roman" w:eastAsia="宋体"/>
          <w:color w:val="auto"/>
        </w:rPr>
        <w:t>（5）</w:t>
      </w:r>
      <w:r>
        <w:rPr>
          <w:rFonts w:ascii="Times New Roman" w:eastAsia="宋体"/>
          <w:color w:val="auto"/>
        </w:rPr>
        <w:t>监测及评价结果</w:t>
      </w:r>
    </w:p>
    <w:p>
      <w:pPr>
        <w:pStyle w:val="14"/>
        <w:ind w:firstLine="497"/>
        <w:rPr>
          <w:rFonts w:ascii="Times New Roman" w:eastAsia="宋体"/>
          <w:color w:val="auto"/>
        </w:rPr>
      </w:pPr>
      <w:r>
        <w:rPr>
          <w:rFonts w:ascii="Times New Roman" w:eastAsia="宋体"/>
          <w:color w:val="auto"/>
        </w:rPr>
        <w:t>采用将监测结果与评价标准直接比较的方法对声环境质量现状进行评价。噪声监测结果统计及评价见表</w:t>
      </w:r>
      <w:r>
        <w:rPr>
          <w:rFonts w:hint="eastAsia" w:ascii="Times New Roman" w:eastAsia="宋体"/>
          <w:color w:val="auto"/>
        </w:rPr>
        <w:t>4</w:t>
      </w:r>
      <w:r>
        <w:rPr>
          <w:rFonts w:ascii="Times New Roman" w:eastAsia="宋体"/>
          <w:color w:val="auto"/>
        </w:rPr>
        <w:t>.</w:t>
      </w:r>
      <w:r>
        <w:rPr>
          <w:rFonts w:hint="eastAsia" w:ascii="Times New Roman" w:eastAsia="宋体"/>
          <w:color w:val="auto"/>
        </w:rPr>
        <w:t>5</w:t>
      </w:r>
      <w:r>
        <w:rPr>
          <w:rFonts w:ascii="Times New Roman" w:eastAsia="宋体"/>
          <w:color w:val="auto"/>
        </w:rPr>
        <w:t>-</w:t>
      </w:r>
      <w:r>
        <w:rPr>
          <w:rFonts w:hint="eastAsia" w:ascii="Times New Roman" w:eastAsia="宋体"/>
          <w:color w:val="auto"/>
        </w:rPr>
        <w:t>2</w:t>
      </w:r>
      <w:r>
        <w:rPr>
          <w:rFonts w:ascii="Times New Roman" w:eastAsia="宋体"/>
          <w:color w:val="auto"/>
        </w:rPr>
        <w:t>。</w:t>
      </w:r>
    </w:p>
    <w:p>
      <w:pPr>
        <w:pStyle w:val="14"/>
        <w:spacing w:beforeLines="50" w:line="0" w:lineRule="atLeast"/>
        <w:ind w:firstLine="0" w:firstLineChars="0"/>
        <w:jc w:val="center"/>
        <w:rPr>
          <w:rFonts w:ascii="Times New Roman" w:eastAsia="宋体"/>
          <w:b/>
          <w:bCs/>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4</w:t>
      </w:r>
      <w:r>
        <w:rPr>
          <w:rFonts w:ascii="Times New Roman" w:eastAsia="宋体"/>
          <w:b/>
          <w:bCs/>
          <w:color w:val="auto"/>
          <w:sz w:val="21"/>
          <w:szCs w:val="21"/>
        </w:rPr>
        <w:t>.</w:t>
      </w:r>
      <w:r>
        <w:rPr>
          <w:rFonts w:hint="eastAsia" w:ascii="Times New Roman" w:eastAsia="宋体"/>
          <w:b/>
          <w:bCs/>
          <w:color w:val="auto"/>
          <w:sz w:val="21"/>
          <w:szCs w:val="21"/>
        </w:rPr>
        <w:t>5</w:t>
      </w:r>
      <w:r>
        <w:rPr>
          <w:rFonts w:ascii="Times New Roman" w:eastAsia="宋体"/>
          <w:b/>
          <w:bCs/>
          <w:color w:val="auto"/>
          <w:sz w:val="21"/>
          <w:szCs w:val="21"/>
        </w:rPr>
        <w:t>-</w:t>
      </w:r>
      <w:r>
        <w:rPr>
          <w:rFonts w:hint="eastAsia" w:ascii="Times New Roman" w:eastAsia="宋体"/>
          <w:b/>
          <w:bCs/>
          <w:color w:val="auto"/>
          <w:sz w:val="21"/>
          <w:szCs w:val="21"/>
        </w:rPr>
        <w:t>2</w:t>
      </w:r>
      <w:r>
        <w:rPr>
          <w:rFonts w:ascii="Times New Roman" w:eastAsia="宋体"/>
          <w:b/>
          <w:bCs/>
          <w:color w:val="auto"/>
          <w:sz w:val="21"/>
          <w:szCs w:val="21"/>
        </w:rPr>
        <w:t>噪声现状监测统计结果单位：dB(A)</w:t>
      </w:r>
    </w:p>
    <w:tbl>
      <w:tblPr>
        <w:tblStyle w:val="47"/>
        <w:tblW w:w="5011"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23"/>
        <w:gridCol w:w="1682"/>
        <w:gridCol w:w="1835"/>
        <w:gridCol w:w="1694"/>
        <w:gridCol w:w="17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tblHeader/>
        </w:trPr>
        <w:tc>
          <w:tcPr>
            <w:tcW w:w="951" w:type="pct"/>
            <w:vMerge w:val="restart"/>
            <w:tcBorders>
              <w:tl2br w:val="nil"/>
              <w:tr2bl w:val="nil"/>
            </w:tcBorders>
            <w:vAlign w:val="center"/>
          </w:tcPr>
          <w:p>
            <w:pPr>
              <w:jc w:val="center"/>
              <w:rPr>
                <w:rFonts w:ascii="Times New Roman" w:eastAsia="宋体"/>
                <w:b/>
                <w:bCs/>
                <w:color w:val="auto"/>
                <w:kern w:val="2"/>
                <w:sz w:val="21"/>
                <w:szCs w:val="21"/>
              </w:rPr>
            </w:pPr>
            <w:r>
              <w:rPr>
                <w:rFonts w:ascii="Times New Roman" w:eastAsia="宋体"/>
                <w:b/>
                <w:bCs/>
                <w:color w:val="auto"/>
                <w:sz w:val="21"/>
                <w:szCs w:val="21"/>
              </w:rPr>
              <w:t>采样时间</w:t>
            </w:r>
          </w:p>
        </w:tc>
        <w:tc>
          <w:tcPr>
            <w:tcW w:w="985" w:type="pct"/>
            <w:vMerge w:val="restart"/>
            <w:tcBorders>
              <w:tl2br w:val="nil"/>
              <w:tr2bl w:val="nil"/>
            </w:tcBorders>
            <w:vAlign w:val="center"/>
          </w:tcPr>
          <w:p>
            <w:pPr>
              <w:jc w:val="center"/>
              <w:rPr>
                <w:rFonts w:ascii="Times New Roman" w:eastAsia="宋体"/>
                <w:b/>
                <w:bCs/>
                <w:color w:val="auto"/>
                <w:kern w:val="2"/>
                <w:sz w:val="21"/>
                <w:szCs w:val="21"/>
              </w:rPr>
            </w:pPr>
            <w:r>
              <w:rPr>
                <w:rFonts w:ascii="Times New Roman" w:eastAsia="宋体"/>
                <w:b/>
                <w:bCs/>
                <w:color w:val="auto"/>
                <w:sz w:val="21"/>
                <w:szCs w:val="21"/>
              </w:rPr>
              <w:t>测点编号</w:t>
            </w:r>
          </w:p>
        </w:tc>
        <w:tc>
          <w:tcPr>
            <w:tcW w:w="1074" w:type="pct"/>
            <w:vMerge w:val="restart"/>
            <w:tcBorders>
              <w:tl2br w:val="nil"/>
              <w:tr2bl w:val="nil"/>
            </w:tcBorders>
            <w:vAlign w:val="center"/>
          </w:tcPr>
          <w:p>
            <w:pPr>
              <w:jc w:val="center"/>
              <w:rPr>
                <w:rFonts w:ascii="Times New Roman" w:eastAsia="宋体"/>
                <w:b/>
                <w:bCs/>
                <w:color w:val="auto"/>
                <w:kern w:val="2"/>
                <w:sz w:val="21"/>
                <w:szCs w:val="21"/>
              </w:rPr>
            </w:pPr>
            <w:r>
              <w:rPr>
                <w:rFonts w:ascii="Times New Roman" w:eastAsia="宋体"/>
                <w:b/>
                <w:bCs/>
                <w:color w:val="auto"/>
                <w:sz w:val="21"/>
                <w:szCs w:val="21"/>
              </w:rPr>
              <w:t>采样点位</w:t>
            </w:r>
          </w:p>
        </w:tc>
        <w:tc>
          <w:tcPr>
            <w:tcW w:w="1988" w:type="pct"/>
            <w:gridSpan w:val="2"/>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检测结果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blHeader/>
        </w:trPr>
        <w:tc>
          <w:tcPr>
            <w:tcW w:w="951" w:type="pct"/>
            <w:vMerge w:val="continue"/>
            <w:tcBorders>
              <w:tl2br w:val="nil"/>
              <w:tr2bl w:val="nil"/>
            </w:tcBorders>
            <w:vAlign w:val="center"/>
          </w:tcPr>
          <w:p>
            <w:pPr>
              <w:jc w:val="center"/>
              <w:rPr>
                <w:rFonts w:ascii="Times New Roman" w:eastAsia="宋体"/>
                <w:b/>
                <w:bCs/>
                <w:color w:val="auto"/>
                <w:kern w:val="2"/>
                <w:sz w:val="21"/>
                <w:szCs w:val="21"/>
              </w:rPr>
            </w:pPr>
          </w:p>
        </w:tc>
        <w:tc>
          <w:tcPr>
            <w:tcW w:w="985" w:type="pct"/>
            <w:vMerge w:val="continue"/>
            <w:tcBorders>
              <w:tl2br w:val="nil"/>
              <w:tr2bl w:val="nil"/>
            </w:tcBorders>
            <w:vAlign w:val="center"/>
          </w:tcPr>
          <w:p>
            <w:pPr>
              <w:jc w:val="center"/>
              <w:rPr>
                <w:rFonts w:ascii="Times New Roman" w:eastAsia="宋体"/>
                <w:b/>
                <w:bCs/>
                <w:color w:val="auto"/>
                <w:kern w:val="2"/>
                <w:sz w:val="21"/>
                <w:szCs w:val="21"/>
              </w:rPr>
            </w:pPr>
          </w:p>
        </w:tc>
        <w:tc>
          <w:tcPr>
            <w:tcW w:w="1074" w:type="pct"/>
            <w:vMerge w:val="continue"/>
            <w:tcBorders>
              <w:tl2br w:val="nil"/>
              <w:tr2bl w:val="nil"/>
            </w:tcBorders>
            <w:vAlign w:val="center"/>
          </w:tcPr>
          <w:p>
            <w:pPr>
              <w:jc w:val="center"/>
              <w:rPr>
                <w:rFonts w:ascii="Times New Roman" w:eastAsia="宋体"/>
                <w:b/>
                <w:bCs/>
                <w:color w:val="auto"/>
                <w:kern w:val="2"/>
                <w:sz w:val="21"/>
                <w:szCs w:val="21"/>
              </w:rPr>
            </w:pPr>
          </w:p>
        </w:tc>
        <w:tc>
          <w:tcPr>
            <w:tcW w:w="992"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昼间</w:t>
            </w:r>
          </w:p>
        </w:tc>
        <w:tc>
          <w:tcPr>
            <w:tcW w:w="995" w:type="pct"/>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sz w:val="21"/>
                <w:szCs w:val="21"/>
              </w:rPr>
              <w:t>202</w:t>
            </w:r>
            <w:r>
              <w:rPr>
                <w:rFonts w:hint="eastAsia" w:ascii="Times New Roman" w:eastAsia="宋体"/>
                <w:color w:val="auto"/>
                <w:sz w:val="21"/>
                <w:szCs w:val="21"/>
              </w:rPr>
              <w:t>3</w:t>
            </w:r>
            <w:r>
              <w:rPr>
                <w:rFonts w:ascii="Times New Roman" w:eastAsia="宋体"/>
                <w:color w:val="auto"/>
                <w:sz w:val="21"/>
                <w:szCs w:val="21"/>
              </w:rPr>
              <w:t>年</w:t>
            </w:r>
            <w:r>
              <w:rPr>
                <w:rFonts w:hint="eastAsia" w:ascii="Times New Roman" w:eastAsia="宋体"/>
                <w:color w:val="auto"/>
                <w:sz w:val="21"/>
                <w:szCs w:val="21"/>
              </w:rPr>
              <w:t>7</w:t>
            </w:r>
            <w:r>
              <w:rPr>
                <w:rFonts w:ascii="Times New Roman" w:eastAsia="宋体"/>
                <w:color w:val="auto"/>
                <w:sz w:val="21"/>
                <w:szCs w:val="21"/>
              </w:rPr>
              <w:t>月1</w:t>
            </w:r>
            <w:r>
              <w:rPr>
                <w:rFonts w:hint="eastAsia" w:ascii="Times New Roman" w:eastAsia="宋体"/>
                <w:color w:val="auto"/>
                <w:sz w:val="21"/>
                <w:szCs w:val="21"/>
              </w:rPr>
              <w:t>2</w:t>
            </w:r>
            <w:r>
              <w:rPr>
                <w:rFonts w:ascii="Times New Roman" w:eastAsia="宋体"/>
                <w:color w:val="auto"/>
                <w:sz w:val="21"/>
                <w:szCs w:val="21"/>
              </w:rPr>
              <w:t>日</w:t>
            </w:r>
          </w:p>
        </w:tc>
        <w:tc>
          <w:tcPr>
            <w:tcW w:w="985"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N1</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北侧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54</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N2</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西侧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53</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N3</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南侧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52</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position w:val="0"/>
                <w:sz w:val="21"/>
              </w:rPr>
            </w:pPr>
            <w:r>
              <w:rPr>
                <w:rFonts w:eastAsia="宋体"/>
                <w:color w:val="auto"/>
                <w:kern w:val="2"/>
                <w:position w:val="0"/>
                <w:sz w:val="21"/>
              </w:rPr>
              <w:t>N4</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东侧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53</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position w:val="0"/>
                <w:sz w:val="21"/>
              </w:rPr>
            </w:pPr>
            <w:r>
              <w:rPr>
                <w:rFonts w:hint="eastAsia" w:eastAsia="宋体"/>
                <w:color w:val="auto"/>
                <w:kern w:val="2"/>
                <w:position w:val="0"/>
                <w:sz w:val="21"/>
              </w:rPr>
              <w:t>N5</w:t>
            </w:r>
          </w:p>
        </w:tc>
        <w:tc>
          <w:tcPr>
            <w:tcW w:w="1074"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项目西南侧19</w:t>
            </w:r>
            <w:r>
              <w:rPr>
                <w:rFonts w:hint="eastAsia" w:ascii="Times New Roman" w:eastAsia="宋体"/>
                <w:color w:val="auto"/>
                <w:sz w:val="21"/>
                <w:szCs w:val="21"/>
                <w:lang w:val="en-US" w:eastAsia="zh-CN"/>
              </w:rPr>
              <w:t>0</w:t>
            </w:r>
            <w:r>
              <w:rPr>
                <w:rFonts w:hint="eastAsia" w:ascii="Times New Roman" w:eastAsia="宋体"/>
                <w:color w:val="auto"/>
                <w:sz w:val="21"/>
                <w:szCs w:val="21"/>
              </w:rPr>
              <w:t>m处居民</w:t>
            </w:r>
          </w:p>
        </w:tc>
        <w:tc>
          <w:tcPr>
            <w:tcW w:w="992"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52</w:t>
            </w:r>
          </w:p>
        </w:tc>
        <w:tc>
          <w:tcPr>
            <w:tcW w:w="995"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restart"/>
            <w:tcBorders>
              <w:tl2br w:val="nil"/>
              <w:tr2bl w:val="nil"/>
            </w:tcBorders>
            <w:vAlign w:val="center"/>
          </w:tcPr>
          <w:p>
            <w:pPr>
              <w:tabs>
                <w:tab w:val="left" w:pos="222"/>
                <w:tab w:val="center" w:pos="1351"/>
              </w:tabs>
              <w:jc w:val="center"/>
              <w:rPr>
                <w:rFonts w:ascii="Times New Roman" w:eastAsia="宋体"/>
                <w:color w:val="auto"/>
                <w:kern w:val="2"/>
                <w:sz w:val="21"/>
                <w:szCs w:val="21"/>
              </w:rPr>
            </w:pPr>
            <w:r>
              <w:rPr>
                <w:rFonts w:ascii="Times New Roman" w:eastAsia="宋体"/>
                <w:color w:val="auto"/>
                <w:sz w:val="21"/>
                <w:szCs w:val="21"/>
              </w:rPr>
              <w:t>202</w:t>
            </w:r>
            <w:r>
              <w:rPr>
                <w:rFonts w:hint="eastAsia" w:ascii="Times New Roman" w:eastAsia="宋体"/>
                <w:color w:val="auto"/>
                <w:sz w:val="21"/>
                <w:szCs w:val="21"/>
              </w:rPr>
              <w:t>3</w:t>
            </w:r>
            <w:r>
              <w:rPr>
                <w:rFonts w:ascii="Times New Roman" w:eastAsia="宋体"/>
                <w:color w:val="auto"/>
                <w:sz w:val="21"/>
                <w:szCs w:val="21"/>
              </w:rPr>
              <w:t>年</w:t>
            </w:r>
            <w:r>
              <w:rPr>
                <w:rFonts w:hint="eastAsia" w:ascii="Times New Roman" w:eastAsia="宋体"/>
                <w:color w:val="auto"/>
                <w:sz w:val="21"/>
                <w:szCs w:val="21"/>
              </w:rPr>
              <w:t>7</w:t>
            </w:r>
            <w:r>
              <w:rPr>
                <w:rFonts w:ascii="Times New Roman" w:eastAsia="宋体"/>
                <w:color w:val="auto"/>
                <w:sz w:val="21"/>
                <w:szCs w:val="21"/>
              </w:rPr>
              <w:t>月1</w:t>
            </w:r>
            <w:r>
              <w:rPr>
                <w:rFonts w:hint="eastAsia" w:ascii="Times New Roman" w:eastAsia="宋体"/>
                <w:color w:val="auto"/>
                <w:sz w:val="21"/>
                <w:szCs w:val="21"/>
              </w:rPr>
              <w:t>3</w:t>
            </w:r>
            <w:r>
              <w:rPr>
                <w:rFonts w:ascii="Times New Roman" w:eastAsia="宋体"/>
                <w:color w:val="auto"/>
                <w:sz w:val="21"/>
                <w:szCs w:val="21"/>
              </w:rPr>
              <w:t>日</w:t>
            </w:r>
          </w:p>
        </w:tc>
        <w:tc>
          <w:tcPr>
            <w:tcW w:w="985" w:type="pct"/>
            <w:tcBorders>
              <w:tl2br w:val="nil"/>
              <w:tr2bl w:val="nil"/>
            </w:tcBorders>
            <w:vAlign w:val="center"/>
          </w:tcPr>
          <w:p>
            <w:pPr>
              <w:pStyle w:val="427"/>
              <w:rPr>
                <w:rFonts w:eastAsia="宋体"/>
                <w:color w:val="auto"/>
                <w:kern w:val="2"/>
                <w:sz w:val="21"/>
              </w:rPr>
            </w:pPr>
            <w:r>
              <w:rPr>
                <w:rFonts w:eastAsia="宋体"/>
                <w:color w:val="auto"/>
                <w:kern w:val="2"/>
                <w:position w:val="0"/>
                <w:sz w:val="21"/>
              </w:rPr>
              <w:t>N1</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北侧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56</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sz w:val="21"/>
              </w:rPr>
            </w:pPr>
            <w:r>
              <w:rPr>
                <w:rFonts w:eastAsia="宋体"/>
                <w:color w:val="auto"/>
                <w:kern w:val="2"/>
                <w:position w:val="0"/>
                <w:sz w:val="21"/>
              </w:rPr>
              <w:t>N2</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西侧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55</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sz w:val="21"/>
              </w:rPr>
            </w:pPr>
            <w:r>
              <w:rPr>
                <w:rFonts w:eastAsia="宋体"/>
                <w:color w:val="auto"/>
                <w:kern w:val="2"/>
                <w:position w:val="0"/>
                <w:sz w:val="21"/>
              </w:rPr>
              <w:t>N3</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南侧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50</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sz w:val="21"/>
              </w:rPr>
            </w:pPr>
            <w:r>
              <w:rPr>
                <w:rFonts w:eastAsia="宋体"/>
                <w:color w:val="auto"/>
                <w:kern w:val="2"/>
                <w:position w:val="0"/>
                <w:sz w:val="21"/>
              </w:rPr>
              <w:t>N4</w:t>
            </w:r>
          </w:p>
        </w:tc>
        <w:tc>
          <w:tcPr>
            <w:tcW w:w="1074"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sz w:val="21"/>
                <w:szCs w:val="21"/>
              </w:rPr>
              <w:t>场区</w:t>
            </w:r>
            <w:r>
              <w:rPr>
                <w:rFonts w:ascii="Times New Roman" w:eastAsia="宋体"/>
                <w:color w:val="auto"/>
                <w:sz w:val="21"/>
                <w:szCs w:val="21"/>
              </w:rPr>
              <w:t>东侧</w:t>
            </w:r>
          </w:p>
        </w:tc>
        <w:tc>
          <w:tcPr>
            <w:tcW w:w="992"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51</w:t>
            </w:r>
          </w:p>
        </w:tc>
        <w:tc>
          <w:tcPr>
            <w:tcW w:w="995" w:type="pct"/>
            <w:tcBorders>
              <w:tl2br w:val="nil"/>
              <w:tr2bl w:val="nil"/>
            </w:tcBorders>
            <w:vAlign w:val="center"/>
          </w:tcPr>
          <w:p>
            <w:pPr>
              <w:widowControl/>
              <w:jc w:val="center"/>
              <w:textAlignment w:val="center"/>
              <w:rPr>
                <w:rFonts w:ascii="Times New Roman" w:eastAsia="宋体"/>
                <w:color w:val="auto"/>
                <w:sz w:val="21"/>
                <w:szCs w:val="21"/>
              </w:rPr>
            </w:pPr>
            <w:r>
              <w:rPr>
                <w:rFonts w:hint="eastAsia" w:hAnsi="宋体" w:eastAsia="宋体" w:cs="宋体"/>
                <w:color w:val="auto"/>
                <w:szCs w:val="24"/>
              </w:rPr>
              <w:t>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1" w:type="pct"/>
            <w:vMerge w:val="continue"/>
            <w:tcBorders>
              <w:tl2br w:val="nil"/>
              <w:tr2bl w:val="nil"/>
            </w:tcBorders>
            <w:vAlign w:val="center"/>
          </w:tcPr>
          <w:p>
            <w:pPr>
              <w:jc w:val="center"/>
              <w:rPr>
                <w:rFonts w:ascii="Times New Roman" w:eastAsia="宋体"/>
                <w:color w:val="auto"/>
                <w:kern w:val="2"/>
                <w:sz w:val="21"/>
                <w:szCs w:val="21"/>
              </w:rPr>
            </w:pPr>
          </w:p>
        </w:tc>
        <w:tc>
          <w:tcPr>
            <w:tcW w:w="985" w:type="pct"/>
            <w:tcBorders>
              <w:tl2br w:val="nil"/>
              <w:tr2bl w:val="nil"/>
            </w:tcBorders>
            <w:vAlign w:val="center"/>
          </w:tcPr>
          <w:p>
            <w:pPr>
              <w:pStyle w:val="427"/>
              <w:rPr>
                <w:rFonts w:eastAsia="宋体"/>
                <w:color w:val="auto"/>
                <w:kern w:val="2"/>
                <w:position w:val="0"/>
                <w:sz w:val="21"/>
              </w:rPr>
            </w:pPr>
            <w:r>
              <w:rPr>
                <w:rFonts w:hint="eastAsia" w:eastAsia="宋体"/>
                <w:color w:val="auto"/>
                <w:kern w:val="2"/>
                <w:position w:val="0"/>
                <w:sz w:val="21"/>
              </w:rPr>
              <w:t>N5</w:t>
            </w:r>
          </w:p>
        </w:tc>
        <w:tc>
          <w:tcPr>
            <w:tcW w:w="1074" w:type="pc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项目西南侧19</w:t>
            </w:r>
            <w:r>
              <w:rPr>
                <w:rFonts w:hint="eastAsia" w:ascii="Times New Roman" w:eastAsia="宋体"/>
                <w:color w:val="auto"/>
                <w:sz w:val="21"/>
                <w:szCs w:val="21"/>
                <w:lang w:val="en-US" w:eastAsia="zh-CN"/>
              </w:rPr>
              <w:t>0</w:t>
            </w:r>
            <w:r>
              <w:rPr>
                <w:rFonts w:hint="eastAsia" w:ascii="Times New Roman" w:eastAsia="宋体"/>
                <w:color w:val="auto"/>
                <w:sz w:val="21"/>
                <w:szCs w:val="21"/>
              </w:rPr>
              <w:t>m处居民</w:t>
            </w:r>
          </w:p>
        </w:tc>
        <w:tc>
          <w:tcPr>
            <w:tcW w:w="992"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53</w:t>
            </w:r>
          </w:p>
        </w:tc>
        <w:tc>
          <w:tcPr>
            <w:tcW w:w="995"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011" w:type="pct"/>
            <w:gridSpan w:val="3"/>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《声环境质量标准》(GB3096-2008)2类标准限值</w:t>
            </w:r>
          </w:p>
        </w:tc>
        <w:tc>
          <w:tcPr>
            <w:tcW w:w="992"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60</w:t>
            </w:r>
          </w:p>
        </w:tc>
        <w:tc>
          <w:tcPr>
            <w:tcW w:w="995"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011" w:type="pct"/>
            <w:gridSpan w:val="3"/>
            <w:tcBorders>
              <w:tl2br w:val="nil"/>
              <w:tr2bl w:val="nil"/>
            </w:tcBorders>
            <w:vAlign w:val="center"/>
          </w:tcPr>
          <w:p>
            <w:pPr>
              <w:jc w:val="center"/>
              <w:rPr>
                <w:rFonts w:ascii="Times New Roman" w:eastAsia="宋体"/>
                <w:color w:val="auto"/>
                <w:sz w:val="21"/>
                <w:szCs w:val="21"/>
              </w:rPr>
            </w:pPr>
            <w:r>
              <w:rPr>
                <w:rFonts w:hint="eastAsia" w:ascii="Times New Roman" w:eastAsia="宋体" w:cs="宋体"/>
                <w:color w:val="auto"/>
                <w:sz w:val="21"/>
                <w:szCs w:val="21"/>
              </w:rPr>
              <w:t>是否达标</w:t>
            </w:r>
          </w:p>
        </w:tc>
        <w:tc>
          <w:tcPr>
            <w:tcW w:w="992"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是</w:t>
            </w:r>
          </w:p>
        </w:tc>
        <w:tc>
          <w:tcPr>
            <w:tcW w:w="995" w:type="pct"/>
            <w:tcBorders>
              <w:tl2br w:val="nil"/>
              <w:tr2bl w:val="nil"/>
            </w:tcBorders>
            <w:vAlign w:val="center"/>
          </w:tcPr>
          <w:p>
            <w:pPr>
              <w:widowControl/>
              <w:jc w:val="center"/>
              <w:textAlignment w:val="center"/>
              <w:rPr>
                <w:rFonts w:hAnsi="宋体" w:eastAsia="宋体" w:cs="宋体"/>
                <w:color w:val="auto"/>
                <w:szCs w:val="24"/>
              </w:rPr>
            </w:pPr>
            <w:r>
              <w:rPr>
                <w:rFonts w:hint="eastAsia" w:hAnsi="宋体" w:eastAsia="宋体" w:cs="宋体"/>
                <w:color w:val="auto"/>
                <w:szCs w:val="24"/>
              </w:rPr>
              <w:t>是</w:t>
            </w:r>
          </w:p>
        </w:tc>
      </w:tr>
    </w:tbl>
    <w:p>
      <w:pPr>
        <w:pStyle w:val="14"/>
        <w:ind w:firstLine="497"/>
        <w:rPr>
          <w:rFonts w:ascii="Times New Roman" w:eastAsia="宋体"/>
          <w:color w:val="auto"/>
        </w:rPr>
      </w:pPr>
      <w:r>
        <w:rPr>
          <w:rFonts w:ascii="Times New Roman" w:eastAsia="宋体"/>
          <w:color w:val="auto"/>
        </w:rPr>
        <w:t>由表</w:t>
      </w:r>
      <w:r>
        <w:rPr>
          <w:rFonts w:hint="eastAsia" w:ascii="Times New Roman" w:eastAsia="宋体"/>
          <w:color w:val="auto"/>
        </w:rPr>
        <w:t>4</w:t>
      </w:r>
      <w:r>
        <w:rPr>
          <w:rFonts w:ascii="Times New Roman" w:eastAsia="宋体"/>
          <w:color w:val="auto"/>
        </w:rPr>
        <w:t>.</w:t>
      </w:r>
      <w:r>
        <w:rPr>
          <w:rFonts w:hint="eastAsia" w:ascii="Times New Roman" w:eastAsia="宋体"/>
          <w:color w:val="auto"/>
        </w:rPr>
        <w:t>5</w:t>
      </w:r>
      <w:r>
        <w:rPr>
          <w:rFonts w:ascii="Times New Roman" w:eastAsia="宋体"/>
          <w:color w:val="auto"/>
        </w:rPr>
        <w:t>-</w:t>
      </w:r>
      <w:r>
        <w:rPr>
          <w:rFonts w:hint="eastAsia" w:ascii="Times New Roman" w:eastAsia="宋体"/>
          <w:color w:val="auto"/>
        </w:rPr>
        <w:t>2</w:t>
      </w:r>
      <w:r>
        <w:rPr>
          <w:rFonts w:ascii="Times New Roman" w:eastAsia="宋体"/>
          <w:color w:val="auto"/>
        </w:rPr>
        <w:t>的统计结果可以看出，各监测点昼夜间噪声监测结果均符合相应的标准限值要求，未见超标现象，评价范围内声环境质量现状良好。</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70" w:name="_Toc21311"/>
      <w:bookmarkStart w:id="371" w:name="_Toc16398"/>
      <w:r>
        <w:rPr>
          <w:rFonts w:hint="eastAsia" w:ascii="Times New Roman" w:hAnsi="Times New Roman" w:eastAsia="宋体"/>
          <w:color w:val="auto"/>
          <w:kern w:val="2"/>
          <w:sz w:val="28"/>
          <w:szCs w:val="28"/>
        </w:rPr>
        <w:t>4</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6</w:t>
      </w:r>
      <w:r>
        <w:rPr>
          <w:rFonts w:ascii="Times New Roman" w:hAnsi="Times New Roman" w:eastAsia="宋体"/>
          <w:color w:val="auto"/>
          <w:kern w:val="2"/>
          <w:sz w:val="28"/>
          <w:szCs w:val="28"/>
        </w:rPr>
        <w:t>土壤环境质量现状调查及评价</w:t>
      </w:r>
      <w:bookmarkEnd w:id="370"/>
    </w:p>
    <w:p>
      <w:pPr>
        <w:spacing w:line="360" w:lineRule="auto"/>
        <w:ind w:firstLine="482"/>
        <w:rPr>
          <w:rFonts w:ascii="Times New Roman" w:eastAsia="宋体"/>
          <w:color w:val="auto"/>
        </w:rPr>
      </w:pPr>
      <w:r>
        <w:rPr>
          <w:rFonts w:hint="eastAsia" w:ascii="Times New Roman" w:eastAsia="宋体"/>
          <w:color w:val="auto"/>
        </w:rPr>
        <w:t>（1）</w:t>
      </w:r>
      <w:r>
        <w:rPr>
          <w:rFonts w:ascii="Times New Roman" w:eastAsia="宋体"/>
          <w:color w:val="auto"/>
        </w:rPr>
        <w:t>监测点位</w:t>
      </w:r>
    </w:p>
    <w:p>
      <w:pPr>
        <w:spacing w:line="360" w:lineRule="auto"/>
        <w:ind w:firstLine="482"/>
        <w:rPr>
          <w:rFonts w:ascii="Times New Roman" w:eastAsia="宋体"/>
          <w:color w:val="auto"/>
          <w:lang w:val="zh-CN"/>
        </w:rPr>
      </w:pPr>
      <w:r>
        <w:rPr>
          <w:rFonts w:ascii="Times New Roman" w:eastAsia="宋体"/>
          <w:color w:val="auto"/>
          <w:lang w:val="zh-CN"/>
        </w:rPr>
        <w:t>场区范围内设置在未受人为污染或相对未受污染的区域3个表层样点。具体见图</w:t>
      </w:r>
      <w:r>
        <w:rPr>
          <w:rFonts w:hint="eastAsia" w:ascii="Times New Roman" w:eastAsia="宋体"/>
          <w:color w:val="auto"/>
        </w:rPr>
        <w:t>4</w:t>
      </w:r>
      <w:r>
        <w:rPr>
          <w:rFonts w:ascii="Times New Roman" w:eastAsia="宋体"/>
          <w:color w:val="auto"/>
        </w:rPr>
        <w:t>.2</w:t>
      </w:r>
      <w:r>
        <w:rPr>
          <w:rFonts w:hint="eastAsia" w:ascii="Times New Roman" w:eastAsia="宋体"/>
          <w:color w:val="auto"/>
        </w:rPr>
        <w:t>-</w:t>
      </w:r>
      <w:r>
        <w:rPr>
          <w:rFonts w:ascii="Times New Roman" w:eastAsia="宋体"/>
          <w:color w:val="auto"/>
        </w:rPr>
        <w:t>1</w:t>
      </w:r>
      <w:r>
        <w:rPr>
          <w:rFonts w:ascii="Times New Roman" w:eastAsia="宋体"/>
          <w:color w:val="auto"/>
          <w:lang w:val="zh-CN"/>
        </w:rPr>
        <w:t>。</w:t>
      </w:r>
    </w:p>
    <w:p>
      <w:pPr>
        <w:spacing w:line="360" w:lineRule="auto"/>
        <w:ind w:firstLine="482"/>
        <w:rPr>
          <w:rFonts w:ascii="Times New Roman" w:eastAsia="宋体"/>
          <w:color w:val="auto"/>
        </w:rPr>
      </w:pPr>
      <w:r>
        <w:rPr>
          <w:rFonts w:hint="eastAsia" w:ascii="Times New Roman" w:eastAsia="宋体"/>
          <w:color w:val="auto"/>
        </w:rPr>
        <w:t>（2）</w:t>
      </w:r>
      <w:r>
        <w:rPr>
          <w:rFonts w:ascii="Times New Roman" w:eastAsia="宋体"/>
          <w:color w:val="auto"/>
        </w:rPr>
        <w:t>监测项目</w:t>
      </w:r>
    </w:p>
    <w:p>
      <w:pPr>
        <w:spacing w:line="360" w:lineRule="auto"/>
        <w:ind w:firstLine="482"/>
        <w:rPr>
          <w:rFonts w:ascii="Times New Roman" w:eastAsia="宋体"/>
          <w:color w:val="auto"/>
          <w:lang w:val="zh-CN"/>
        </w:rPr>
      </w:pPr>
      <w:r>
        <w:rPr>
          <w:rFonts w:ascii="Times New Roman" w:eastAsia="宋体"/>
          <w:color w:val="auto"/>
          <w:lang w:val="zh-CN"/>
        </w:rPr>
        <w:t>pH、镉、汞、砷、铜、铅、铬、锌、镍。</w:t>
      </w:r>
    </w:p>
    <w:p>
      <w:pPr>
        <w:spacing w:line="360" w:lineRule="auto"/>
        <w:ind w:firstLine="482"/>
        <w:rPr>
          <w:rFonts w:ascii="Times New Roman" w:eastAsia="宋体"/>
          <w:color w:val="auto"/>
        </w:rPr>
      </w:pPr>
      <w:r>
        <w:rPr>
          <w:rFonts w:hint="eastAsia" w:ascii="Times New Roman" w:eastAsia="宋体"/>
          <w:color w:val="auto"/>
        </w:rPr>
        <w:t>（3）</w:t>
      </w:r>
      <w:r>
        <w:rPr>
          <w:rFonts w:ascii="Times New Roman" w:eastAsia="宋体"/>
          <w:color w:val="auto"/>
        </w:rPr>
        <w:t>监测时间及频率</w:t>
      </w:r>
    </w:p>
    <w:p>
      <w:pPr>
        <w:spacing w:line="360" w:lineRule="auto"/>
        <w:ind w:firstLine="482"/>
        <w:rPr>
          <w:rFonts w:ascii="Times New Roman" w:eastAsia="宋体"/>
          <w:color w:val="auto"/>
          <w:lang w:val="zh-CN"/>
        </w:rPr>
      </w:pPr>
      <w:r>
        <w:rPr>
          <w:rFonts w:hint="eastAsia" w:ascii="Times New Roman" w:eastAsia="宋体"/>
          <w:color w:val="auto"/>
          <w:lang w:val="zh-CN"/>
        </w:rPr>
        <w:t>湖南衡润科技</w:t>
      </w:r>
      <w:r>
        <w:rPr>
          <w:rFonts w:ascii="Times New Roman" w:eastAsia="宋体"/>
          <w:color w:val="auto"/>
          <w:lang w:val="zh-CN"/>
        </w:rPr>
        <w:t>有限公司于20</w:t>
      </w:r>
      <w:r>
        <w:rPr>
          <w:rFonts w:ascii="Times New Roman" w:eastAsia="宋体"/>
          <w:color w:val="auto"/>
        </w:rPr>
        <w:t>2</w:t>
      </w:r>
      <w:r>
        <w:rPr>
          <w:rFonts w:hint="eastAsia" w:ascii="Times New Roman" w:eastAsia="宋体"/>
          <w:color w:val="auto"/>
        </w:rPr>
        <w:t>3</w:t>
      </w:r>
      <w:r>
        <w:rPr>
          <w:rFonts w:ascii="Times New Roman" w:eastAsia="宋体"/>
          <w:color w:val="auto"/>
          <w:lang w:val="zh-CN"/>
        </w:rPr>
        <w:t>年</w:t>
      </w:r>
      <w:r>
        <w:rPr>
          <w:rFonts w:hint="eastAsia" w:ascii="Times New Roman" w:eastAsia="宋体"/>
          <w:color w:val="auto"/>
        </w:rPr>
        <w:t>7</w:t>
      </w:r>
      <w:r>
        <w:rPr>
          <w:rFonts w:ascii="Times New Roman" w:eastAsia="宋体"/>
          <w:color w:val="auto"/>
          <w:lang w:val="zh-CN"/>
        </w:rPr>
        <w:t>月</w:t>
      </w:r>
      <w:r>
        <w:rPr>
          <w:rFonts w:ascii="Times New Roman" w:eastAsia="宋体"/>
          <w:color w:val="auto"/>
        </w:rPr>
        <w:t>13</w:t>
      </w:r>
      <w:r>
        <w:rPr>
          <w:rFonts w:ascii="Times New Roman" w:eastAsia="宋体"/>
          <w:color w:val="auto"/>
          <w:lang w:val="zh-CN"/>
        </w:rPr>
        <w:t>日采样监测一次。</w:t>
      </w:r>
    </w:p>
    <w:p>
      <w:pPr>
        <w:spacing w:line="360" w:lineRule="auto"/>
        <w:ind w:firstLine="482"/>
        <w:rPr>
          <w:rFonts w:ascii="Times New Roman" w:eastAsia="宋体"/>
          <w:color w:val="auto"/>
        </w:rPr>
      </w:pPr>
      <w:r>
        <w:rPr>
          <w:rFonts w:hint="eastAsia" w:ascii="Times New Roman" w:eastAsia="宋体"/>
          <w:color w:val="auto"/>
        </w:rPr>
        <w:t>（4）监测结果</w:t>
      </w:r>
    </w:p>
    <w:p>
      <w:pPr>
        <w:pStyle w:val="231"/>
        <w:spacing w:after="0"/>
        <w:ind w:left="0" w:leftChars="0" w:firstLine="497"/>
        <w:rPr>
          <w:color w:val="auto"/>
          <w:kern w:val="2"/>
          <w:szCs w:val="24"/>
        </w:rPr>
      </w:pPr>
      <w:r>
        <w:rPr>
          <w:color w:val="auto"/>
          <w:kern w:val="2"/>
          <w:szCs w:val="24"/>
        </w:rPr>
        <w:t>土壤环境质量监测结果见表</w:t>
      </w:r>
      <w:r>
        <w:rPr>
          <w:rFonts w:hint="eastAsia"/>
          <w:color w:val="auto"/>
          <w:kern w:val="2"/>
          <w:szCs w:val="24"/>
        </w:rPr>
        <w:t>4.6</w:t>
      </w:r>
      <w:r>
        <w:rPr>
          <w:color w:val="auto"/>
          <w:kern w:val="2"/>
          <w:szCs w:val="24"/>
        </w:rPr>
        <w:t>-1。</w:t>
      </w:r>
    </w:p>
    <w:p>
      <w:pPr>
        <w:pStyle w:val="14"/>
        <w:spacing w:beforeLines="50" w:line="0" w:lineRule="atLeast"/>
        <w:ind w:firstLine="0" w:firstLineChars="0"/>
        <w:jc w:val="center"/>
        <w:rPr>
          <w:rFonts w:ascii="Times New Roman" w:eastAsia="宋体"/>
          <w:b/>
          <w:bCs/>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4.6</w:t>
      </w:r>
      <w:r>
        <w:rPr>
          <w:rFonts w:ascii="Times New Roman" w:eastAsia="宋体"/>
          <w:b/>
          <w:bCs/>
          <w:color w:val="auto"/>
          <w:sz w:val="21"/>
          <w:szCs w:val="21"/>
        </w:rPr>
        <w:t>-</w:t>
      </w:r>
      <w:r>
        <w:rPr>
          <w:rFonts w:hint="eastAsia" w:ascii="Times New Roman" w:eastAsia="宋体"/>
          <w:b/>
          <w:bCs/>
          <w:color w:val="auto"/>
          <w:sz w:val="21"/>
          <w:szCs w:val="21"/>
        </w:rPr>
        <w:t>1</w:t>
      </w:r>
      <w:r>
        <w:rPr>
          <w:rFonts w:ascii="Times New Roman" w:eastAsia="宋体"/>
          <w:b/>
          <w:bCs/>
          <w:color w:val="auto"/>
          <w:sz w:val="21"/>
          <w:szCs w:val="21"/>
        </w:rPr>
        <w:t>土壤监测结果</w:t>
      </w:r>
    </w:p>
    <w:tbl>
      <w:tblPr>
        <w:tblStyle w:val="47"/>
        <w:tblW w:w="5001"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60"/>
        <w:gridCol w:w="829"/>
        <w:gridCol w:w="1498"/>
        <w:gridCol w:w="1498"/>
        <w:gridCol w:w="1498"/>
        <w:gridCol w:w="1274"/>
        <w:gridCol w:w="106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5" w:hRule="atLeast"/>
        </w:trPr>
        <w:tc>
          <w:tcPr>
            <w:tcW w:w="990" w:type="pct"/>
            <w:gridSpan w:val="2"/>
            <w:tcBorders>
              <w:tl2br w:val="nil"/>
              <w:tr2bl w:val="nil"/>
            </w:tcBorders>
            <w:vAlign w:val="center"/>
          </w:tcPr>
          <w:p>
            <w:pPr>
              <w:pStyle w:val="373"/>
              <w:rPr>
                <w:color w:val="auto"/>
              </w:rPr>
            </w:pPr>
            <w:r>
              <w:rPr>
                <w:color w:val="auto"/>
              </w:rPr>
              <w:t>采样日期</w:t>
            </w:r>
          </w:p>
        </w:tc>
        <w:tc>
          <w:tcPr>
            <w:tcW w:w="2637" w:type="pct"/>
            <w:gridSpan w:val="3"/>
            <w:tcBorders>
              <w:tl2br w:val="nil"/>
              <w:tr2bl w:val="nil"/>
            </w:tcBorders>
            <w:vAlign w:val="center"/>
          </w:tcPr>
          <w:p>
            <w:pPr>
              <w:pStyle w:val="373"/>
              <w:rPr>
                <w:color w:val="auto"/>
              </w:rPr>
            </w:pPr>
            <w:r>
              <w:rPr>
                <w:rFonts w:hint="eastAsia"/>
                <w:color w:val="auto"/>
              </w:rPr>
              <w:t>2023年7月13日</w:t>
            </w:r>
          </w:p>
        </w:tc>
        <w:tc>
          <w:tcPr>
            <w:tcW w:w="748" w:type="pct"/>
            <w:vMerge w:val="restart"/>
            <w:tcBorders>
              <w:tl2br w:val="nil"/>
              <w:tr2bl w:val="nil"/>
            </w:tcBorders>
            <w:vAlign w:val="center"/>
          </w:tcPr>
          <w:p>
            <w:pPr>
              <w:pStyle w:val="373"/>
              <w:rPr>
                <w:color w:val="auto"/>
              </w:rPr>
            </w:pPr>
            <w:r>
              <w:rPr>
                <w:rFonts w:hint="eastAsia"/>
                <w:color w:val="auto"/>
              </w:rPr>
              <w:t>GB15618-2018筛选值</w:t>
            </w:r>
          </w:p>
        </w:tc>
        <w:tc>
          <w:tcPr>
            <w:tcW w:w="623" w:type="pct"/>
            <w:vMerge w:val="restart"/>
            <w:tcBorders>
              <w:tl2br w:val="nil"/>
              <w:tr2bl w:val="nil"/>
            </w:tcBorders>
            <w:vAlign w:val="center"/>
          </w:tcPr>
          <w:p>
            <w:pPr>
              <w:pStyle w:val="373"/>
              <w:rPr>
                <w:color w:val="auto"/>
              </w:rPr>
            </w:pPr>
            <w:r>
              <w:rPr>
                <w:rFonts w:hint="eastAsia"/>
                <w:color w:val="auto"/>
              </w:rPr>
              <w:t>是否达标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6" w:hRule="atLeast"/>
        </w:trPr>
        <w:tc>
          <w:tcPr>
            <w:tcW w:w="990" w:type="pct"/>
            <w:gridSpan w:val="2"/>
            <w:tcBorders>
              <w:tl2br w:val="nil"/>
              <w:tr2bl w:val="nil"/>
            </w:tcBorders>
            <w:vAlign w:val="center"/>
          </w:tcPr>
          <w:p>
            <w:pPr>
              <w:pStyle w:val="373"/>
              <w:rPr>
                <w:color w:val="auto"/>
              </w:rPr>
            </w:pPr>
            <w:r>
              <w:rPr>
                <w:color w:val="auto"/>
              </w:rPr>
              <w:t>采样点位</w:t>
            </w:r>
          </w:p>
        </w:tc>
        <w:tc>
          <w:tcPr>
            <w:tcW w:w="879" w:type="pct"/>
            <w:tcBorders>
              <w:tl2br w:val="nil"/>
              <w:tr2bl w:val="nil"/>
            </w:tcBorders>
            <w:vAlign w:val="center"/>
          </w:tcPr>
          <w:p>
            <w:pPr>
              <w:pStyle w:val="373"/>
              <w:rPr>
                <w:color w:val="auto"/>
              </w:rPr>
            </w:pPr>
            <w:r>
              <w:rPr>
                <w:rFonts w:hint="eastAsia"/>
                <w:color w:val="auto"/>
              </w:rPr>
              <w:t>T1</w:t>
            </w:r>
          </w:p>
        </w:tc>
        <w:tc>
          <w:tcPr>
            <w:tcW w:w="879" w:type="pct"/>
            <w:tcBorders>
              <w:tl2br w:val="nil"/>
              <w:tr2bl w:val="nil"/>
            </w:tcBorders>
            <w:vAlign w:val="center"/>
          </w:tcPr>
          <w:p>
            <w:pPr>
              <w:pStyle w:val="373"/>
              <w:rPr>
                <w:color w:val="auto"/>
              </w:rPr>
            </w:pPr>
            <w:r>
              <w:rPr>
                <w:rFonts w:hint="eastAsia"/>
                <w:color w:val="auto"/>
              </w:rPr>
              <w:t>T2</w:t>
            </w:r>
          </w:p>
        </w:tc>
        <w:tc>
          <w:tcPr>
            <w:tcW w:w="879" w:type="pct"/>
            <w:tcBorders>
              <w:tl2br w:val="nil"/>
              <w:tr2bl w:val="nil"/>
            </w:tcBorders>
            <w:vAlign w:val="center"/>
          </w:tcPr>
          <w:p>
            <w:pPr>
              <w:pStyle w:val="373"/>
              <w:rPr>
                <w:color w:val="auto"/>
              </w:rPr>
            </w:pPr>
            <w:r>
              <w:rPr>
                <w:rFonts w:hint="eastAsia"/>
                <w:color w:val="auto"/>
              </w:rPr>
              <w:t>T3</w:t>
            </w:r>
          </w:p>
        </w:tc>
        <w:tc>
          <w:tcPr>
            <w:tcW w:w="748" w:type="pct"/>
            <w:vMerge w:val="continue"/>
            <w:tcBorders>
              <w:tl2br w:val="nil"/>
              <w:tr2bl w:val="nil"/>
            </w:tcBorders>
            <w:vAlign w:val="center"/>
          </w:tcPr>
          <w:p>
            <w:pPr>
              <w:pStyle w:val="373"/>
              <w:rPr>
                <w:color w:val="auto"/>
              </w:rPr>
            </w:pPr>
          </w:p>
        </w:tc>
        <w:tc>
          <w:tcPr>
            <w:tcW w:w="623" w:type="pct"/>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7" w:hRule="atLeast"/>
        </w:trPr>
        <w:tc>
          <w:tcPr>
            <w:tcW w:w="990" w:type="pct"/>
            <w:gridSpan w:val="2"/>
            <w:tcBorders>
              <w:tl2br w:val="nil"/>
              <w:tr2bl w:val="nil"/>
            </w:tcBorders>
            <w:vAlign w:val="center"/>
          </w:tcPr>
          <w:p>
            <w:pPr>
              <w:pStyle w:val="373"/>
              <w:rPr>
                <w:color w:val="auto"/>
              </w:rPr>
            </w:pPr>
            <w:r>
              <w:rPr>
                <w:color w:val="auto"/>
              </w:rPr>
              <w:t>点位坐标</w:t>
            </w:r>
          </w:p>
        </w:tc>
        <w:tc>
          <w:tcPr>
            <w:tcW w:w="879" w:type="pct"/>
            <w:tcBorders>
              <w:tl2br w:val="nil"/>
              <w:tr2bl w:val="nil"/>
            </w:tcBorders>
            <w:vAlign w:val="center"/>
          </w:tcPr>
          <w:p>
            <w:pPr>
              <w:pStyle w:val="373"/>
              <w:rPr>
                <w:color w:val="auto"/>
              </w:rPr>
            </w:pPr>
            <w:r>
              <w:rPr>
                <w:rFonts w:hint="eastAsia"/>
                <w:color w:val="auto"/>
              </w:rPr>
              <w:t>113.179201,</w:t>
            </w:r>
          </w:p>
          <w:p>
            <w:pPr>
              <w:pStyle w:val="373"/>
              <w:rPr>
                <w:color w:val="auto"/>
              </w:rPr>
            </w:pPr>
            <w:r>
              <w:rPr>
                <w:rFonts w:hint="eastAsia"/>
                <w:color w:val="auto"/>
              </w:rPr>
              <w:t>29.094811</w:t>
            </w:r>
          </w:p>
        </w:tc>
        <w:tc>
          <w:tcPr>
            <w:tcW w:w="879" w:type="pct"/>
            <w:tcBorders>
              <w:tl2br w:val="nil"/>
              <w:tr2bl w:val="nil"/>
            </w:tcBorders>
            <w:vAlign w:val="center"/>
          </w:tcPr>
          <w:p>
            <w:pPr>
              <w:pStyle w:val="373"/>
              <w:rPr>
                <w:color w:val="auto"/>
              </w:rPr>
            </w:pPr>
            <w:r>
              <w:rPr>
                <w:rFonts w:hint="eastAsia"/>
                <w:color w:val="auto"/>
              </w:rPr>
              <w:t>113.178136,</w:t>
            </w:r>
          </w:p>
          <w:p>
            <w:pPr>
              <w:pStyle w:val="373"/>
              <w:rPr>
                <w:color w:val="auto"/>
              </w:rPr>
            </w:pPr>
            <w:r>
              <w:rPr>
                <w:rFonts w:hint="eastAsia"/>
                <w:color w:val="auto"/>
              </w:rPr>
              <w:t>29.096000</w:t>
            </w:r>
          </w:p>
        </w:tc>
        <w:tc>
          <w:tcPr>
            <w:tcW w:w="879" w:type="pct"/>
            <w:tcBorders>
              <w:tl2br w:val="nil"/>
              <w:tr2bl w:val="nil"/>
            </w:tcBorders>
            <w:vAlign w:val="center"/>
          </w:tcPr>
          <w:p>
            <w:pPr>
              <w:pStyle w:val="373"/>
              <w:rPr>
                <w:color w:val="auto"/>
              </w:rPr>
            </w:pPr>
            <w:r>
              <w:rPr>
                <w:rFonts w:hint="eastAsia"/>
                <w:color w:val="auto"/>
              </w:rPr>
              <w:t>113.176771,</w:t>
            </w:r>
          </w:p>
          <w:p>
            <w:pPr>
              <w:pStyle w:val="373"/>
              <w:rPr>
                <w:color w:val="auto"/>
              </w:rPr>
            </w:pPr>
            <w:r>
              <w:rPr>
                <w:rFonts w:hint="eastAsia"/>
                <w:color w:val="auto"/>
              </w:rPr>
              <w:t>29.095254</w:t>
            </w:r>
          </w:p>
        </w:tc>
        <w:tc>
          <w:tcPr>
            <w:tcW w:w="748" w:type="pct"/>
            <w:vMerge w:val="continue"/>
            <w:tcBorders>
              <w:tl2br w:val="nil"/>
              <w:tr2bl w:val="nil"/>
            </w:tcBorders>
            <w:vAlign w:val="center"/>
          </w:tcPr>
          <w:p>
            <w:pPr>
              <w:pStyle w:val="373"/>
              <w:rPr>
                <w:color w:val="auto"/>
              </w:rPr>
            </w:pPr>
          </w:p>
        </w:tc>
        <w:tc>
          <w:tcPr>
            <w:tcW w:w="623" w:type="pct"/>
            <w:vMerge w:val="continue"/>
            <w:tcBorders>
              <w:tl2br w:val="nil"/>
              <w:tr2bl w:val="nil"/>
            </w:tcBorders>
            <w:vAlign w:val="center"/>
          </w:tcPr>
          <w:p>
            <w:pPr>
              <w:pStyle w:val="373"/>
              <w:rPr>
                <w:color w:val="auto"/>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restart"/>
            <w:tcBorders>
              <w:tl2br w:val="nil"/>
              <w:tr2bl w:val="nil"/>
            </w:tcBorders>
            <w:vAlign w:val="center"/>
          </w:tcPr>
          <w:p>
            <w:pPr>
              <w:pStyle w:val="373"/>
              <w:rPr>
                <w:color w:val="auto"/>
              </w:rPr>
            </w:pPr>
            <w:r>
              <w:rPr>
                <w:color w:val="auto"/>
              </w:rPr>
              <w:t>检测项目</w:t>
            </w:r>
          </w:p>
          <w:p>
            <w:pPr>
              <w:pStyle w:val="373"/>
              <w:rPr>
                <w:color w:val="auto"/>
              </w:rPr>
            </w:pPr>
            <w:r>
              <w:rPr>
                <w:color w:val="auto"/>
              </w:rPr>
              <w:t>(单位:mg/kg</w:t>
            </w:r>
          </w:p>
          <w:p>
            <w:pPr>
              <w:pStyle w:val="373"/>
              <w:rPr>
                <w:color w:val="auto"/>
              </w:rPr>
            </w:pPr>
            <w:r>
              <w:rPr>
                <w:color w:val="auto"/>
              </w:rPr>
              <w:t>pH值除外 )</w:t>
            </w:r>
          </w:p>
        </w:tc>
        <w:tc>
          <w:tcPr>
            <w:tcW w:w="486" w:type="pct"/>
            <w:tcBorders>
              <w:tl2br w:val="nil"/>
              <w:tr2bl w:val="nil"/>
            </w:tcBorders>
            <w:vAlign w:val="center"/>
          </w:tcPr>
          <w:p>
            <w:pPr>
              <w:jc w:val="center"/>
              <w:rPr>
                <w:rFonts w:ascii="Times New Roman"/>
                <w:color w:val="auto"/>
                <w:sz w:val="21"/>
                <w:szCs w:val="21"/>
              </w:rPr>
            </w:pPr>
            <w:r>
              <w:rPr>
                <w:rFonts w:hint="eastAsia" w:ascii="Times New Roman"/>
                <w:color w:val="auto"/>
                <w:sz w:val="21"/>
                <w:szCs w:val="21"/>
              </w:rPr>
              <w:t>pH</w:t>
            </w:r>
          </w:p>
        </w:tc>
        <w:tc>
          <w:tcPr>
            <w:tcW w:w="879" w:type="pct"/>
            <w:tcBorders>
              <w:tl2br w:val="nil"/>
              <w:tr2bl w:val="nil"/>
            </w:tcBorders>
            <w:vAlign w:val="center"/>
          </w:tcPr>
          <w:p>
            <w:pPr>
              <w:jc w:val="center"/>
              <w:rPr>
                <w:rFonts w:ascii="Times New Roman"/>
                <w:color w:val="auto"/>
                <w:sz w:val="21"/>
                <w:szCs w:val="21"/>
              </w:rPr>
            </w:pPr>
            <w:r>
              <w:rPr>
                <w:rFonts w:hint="eastAsia" w:ascii="Times New Roman"/>
                <w:color w:val="auto"/>
                <w:sz w:val="21"/>
                <w:szCs w:val="21"/>
              </w:rPr>
              <w:t>4.87</w:t>
            </w:r>
          </w:p>
        </w:tc>
        <w:tc>
          <w:tcPr>
            <w:tcW w:w="879" w:type="pct"/>
            <w:tcBorders>
              <w:tl2br w:val="nil"/>
              <w:tr2bl w:val="nil"/>
            </w:tcBorders>
            <w:vAlign w:val="center"/>
          </w:tcPr>
          <w:p>
            <w:pPr>
              <w:jc w:val="center"/>
              <w:rPr>
                <w:rFonts w:ascii="Times New Roman"/>
                <w:color w:val="auto"/>
                <w:sz w:val="21"/>
                <w:szCs w:val="21"/>
              </w:rPr>
            </w:pPr>
            <w:r>
              <w:rPr>
                <w:rFonts w:hint="eastAsia" w:ascii="Times New Roman"/>
                <w:color w:val="auto"/>
                <w:sz w:val="21"/>
                <w:szCs w:val="21"/>
              </w:rPr>
              <w:t>4.92</w:t>
            </w:r>
          </w:p>
        </w:tc>
        <w:tc>
          <w:tcPr>
            <w:tcW w:w="879" w:type="pct"/>
            <w:tcBorders>
              <w:tl2br w:val="nil"/>
              <w:tr2bl w:val="nil"/>
            </w:tcBorders>
            <w:vAlign w:val="center"/>
          </w:tcPr>
          <w:p>
            <w:pPr>
              <w:jc w:val="center"/>
              <w:rPr>
                <w:rFonts w:ascii="Times New Roman"/>
                <w:color w:val="auto"/>
                <w:sz w:val="21"/>
                <w:szCs w:val="21"/>
              </w:rPr>
            </w:pPr>
            <w:r>
              <w:rPr>
                <w:rFonts w:hint="eastAsia" w:ascii="Times New Roman"/>
                <w:color w:val="auto"/>
                <w:sz w:val="21"/>
                <w:szCs w:val="21"/>
              </w:rPr>
              <w:t>4.50</w:t>
            </w:r>
          </w:p>
        </w:tc>
        <w:tc>
          <w:tcPr>
            <w:tcW w:w="748" w:type="pct"/>
            <w:tcBorders>
              <w:tl2br w:val="nil"/>
              <w:tr2bl w:val="nil"/>
            </w:tcBorders>
            <w:vAlign w:val="center"/>
          </w:tcPr>
          <w:p>
            <w:pPr>
              <w:jc w:val="center"/>
              <w:rPr>
                <w:rFonts w:ascii="Times New Roman"/>
                <w:color w:val="auto"/>
                <w:sz w:val="21"/>
                <w:szCs w:val="21"/>
              </w:rPr>
            </w:pPr>
            <w:r>
              <w:rPr>
                <w:rFonts w:hint="eastAsia" w:ascii="Times New Roman"/>
                <w:color w:val="auto"/>
                <w:sz w:val="21"/>
                <w:szCs w:val="21"/>
              </w:rPr>
              <w:t>-</w:t>
            </w:r>
          </w:p>
        </w:tc>
        <w:tc>
          <w:tcPr>
            <w:tcW w:w="623" w:type="pct"/>
            <w:tcBorders>
              <w:tl2br w:val="nil"/>
              <w:tr2bl w:val="nil"/>
            </w:tcBorders>
            <w:vAlign w:val="center"/>
          </w:tcPr>
          <w:p>
            <w:pPr>
              <w:jc w:val="center"/>
              <w:rPr>
                <w:rFonts w:ascii="Times New Roman"/>
                <w:color w:val="auto"/>
                <w:sz w:val="21"/>
                <w:szCs w:val="21"/>
              </w:rPr>
            </w:pPr>
            <w:r>
              <w:rPr>
                <w:rFonts w:hint="eastAsia" w:ascii="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continue"/>
            <w:tcBorders>
              <w:tl2br w:val="nil"/>
              <w:tr2bl w:val="nil"/>
            </w:tcBorders>
            <w:vAlign w:val="center"/>
          </w:tcPr>
          <w:p>
            <w:pPr>
              <w:pStyle w:val="373"/>
              <w:rPr>
                <w:color w:val="auto"/>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砷</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5.7</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8.5</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未检出</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40</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continue"/>
            <w:tcBorders>
              <w:tl2br w:val="nil"/>
              <w:tr2bl w:val="nil"/>
            </w:tcBorders>
            <w:vAlign w:val="center"/>
          </w:tcPr>
          <w:p>
            <w:pPr>
              <w:pStyle w:val="373"/>
              <w:rPr>
                <w:color w:val="auto"/>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汞</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0.186</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0.255</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0.269</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1.3</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continue"/>
            <w:tcBorders>
              <w:tl2br w:val="nil"/>
              <w:tr2bl w:val="nil"/>
            </w:tcBorders>
            <w:vAlign w:val="center"/>
          </w:tcPr>
          <w:p>
            <w:pPr>
              <w:pStyle w:val="373"/>
              <w:rPr>
                <w:color w:val="auto"/>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镍</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3</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14</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未检出</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60</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continue"/>
            <w:tcBorders>
              <w:tl2br w:val="nil"/>
              <w:tr2bl w:val="nil"/>
            </w:tcBorders>
            <w:vAlign w:val="center"/>
          </w:tcPr>
          <w:p>
            <w:pPr>
              <w:pStyle w:val="373"/>
              <w:rPr>
                <w:color w:val="auto"/>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铜</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22.1</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26.6</w:t>
            </w:r>
          </w:p>
        </w:tc>
        <w:tc>
          <w:tcPr>
            <w:tcW w:w="879" w:type="pc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14.0</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50</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continue"/>
            <w:tcBorders>
              <w:tl2br w:val="nil"/>
              <w:tr2bl w:val="nil"/>
            </w:tcBorders>
            <w:vAlign w:val="center"/>
          </w:tcPr>
          <w:p>
            <w:pPr>
              <w:pStyle w:val="373"/>
              <w:rPr>
                <w:color w:val="auto"/>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铅</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22</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15</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13</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70</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continue"/>
            <w:tcBorders>
              <w:tl2br w:val="nil"/>
              <w:tr2bl w:val="nil"/>
            </w:tcBorders>
            <w:vAlign w:val="center"/>
          </w:tcPr>
          <w:p>
            <w:pPr>
              <w:pStyle w:val="373"/>
              <w:rPr>
                <w:color w:val="auto"/>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镉</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未检出</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未检出</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未检出</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0.3</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8" w:hRule="atLeast"/>
        </w:trPr>
        <w:tc>
          <w:tcPr>
            <w:tcW w:w="504" w:type="pct"/>
            <w:vMerge w:val="continue"/>
            <w:tcBorders>
              <w:tl2br w:val="nil"/>
              <w:tr2bl w:val="nil"/>
            </w:tcBorders>
            <w:vAlign w:val="center"/>
          </w:tcPr>
          <w:p>
            <w:pPr>
              <w:pStyle w:val="373"/>
              <w:rPr>
                <w:color w:val="auto"/>
                <w:highlight w:val="yellow"/>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铬</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67</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79</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44</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150</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trPr>
        <w:tc>
          <w:tcPr>
            <w:tcW w:w="504" w:type="pct"/>
            <w:vMerge w:val="continue"/>
            <w:tcBorders>
              <w:tl2br w:val="nil"/>
              <w:tr2bl w:val="nil"/>
            </w:tcBorders>
            <w:vAlign w:val="center"/>
          </w:tcPr>
          <w:p>
            <w:pPr>
              <w:pStyle w:val="373"/>
              <w:rPr>
                <w:color w:val="auto"/>
                <w:highlight w:val="yellow"/>
              </w:rPr>
            </w:pPr>
          </w:p>
        </w:tc>
        <w:tc>
          <w:tcPr>
            <w:tcW w:w="486"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锌</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32</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52</w:t>
            </w:r>
          </w:p>
        </w:tc>
        <w:tc>
          <w:tcPr>
            <w:tcW w:w="879"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18</w:t>
            </w:r>
          </w:p>
        </w:tc>
        <w:tc>
          <w:tcPr>
            <w:tcW w:w="748"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200</w:t>
            </w:r>
          </w:p>
        </w:tc>
        <w:tc>
          <w:tcPr>
            <w:tcW w:w="623" w:type="pct"/>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是</w:t>
            </w:r>
          </w:p>
        </w:tc>
      </w:tr>
    </w:tbl>
    <w:p>
      <w:pPr>
        <w:ind w:firstLine="360"/>
        <w:rPr>
          <w:rFonts w:hAnsi="宋体" w:eastAsia="宋体" w:cs="宋体"/>
          <w:bCs/>
          <w:color w:val="auto"/>
          <w:sz w:val="18"/>
          <w:szCs w:val="18"/>
        </w:rPr>
      </w:pPr>
      <w:r>
        <w:rPr>
          <w:rFonts w:hint="eastAsia" w:hAnsi="宋体" w:eastAsia="宋体" w:cs="宋体"/>
          <w:color w:val="auto"/>
          <w:sz w:val="18"/>
          <w:szCs w:val="18"/>
        </w:rPr>
        <w:t>注：未检出表示检测结果小于方法检出限</w:t>
      </w:r>
      <w:r>
        <w:rPr>
          <w:rFonts w:hint="eastAsia" w:hAnsi="宋体" w:eastAsia="宋体" w:cs="宋体"/>
          <w:bCs/>
          <w:color w:val="auto"/>
          <w:sz w:val="18"/>
          <w:szCs w:val="18"/>
        </w:rPr>
        <w:t>。</w:t>
      </w:r>
    </w:p>
    <w:p>
      <w:pPr>
        <w:pStyle w:val="231"/>
        <w:spacing w:after="0"/>
        <w:ind w:left="0" w:leftChars="0" w:firstLine="497"/>
        <w:rPr>
          <w:color w:val="auto"/>
          <w:kern w:val="2"/>
          <w:szCs w:val="24"/>
        </w:rPr>
      </w:pPr>
      <w:r>
        <w:rPr>
          <w:rFonts w:hint="eastAsia"/>
          <w:color w:val="auto"/>
          <w:kern w:val="2"/>
          <w:szCs w:val="24"/>
        </w:rPr>
        <w:t>由</w:t>
      </w:r>
      <w:r>
        <w:rPr>
          <w:color w:val="auto"/>
          <w:kern w:val="2"/>
          <w:szCs w:val="24"/>
        </w:rPr>
        <w:t>表</w:t>
      </w:r>
      <w:r>
        <w:rPr>
          <w:rFonts w:hint="eastAsia"/>
          <w:color w:val="auto"/>
          <w:kern w:val="2"/>
          <w:szCs w:val="24"/>
        </w:rPr>
        <w:t>4.6</w:t>
      </w:r>
      <w:r>
        <w:rPr>
          <w:color w:val="auto"/>
          <w:kern w:val="2"/>
          <w:szCs w:val="24"/>
        </w:rPr>
        <w:t>-</w:t>
      </w:r>
      <w:r>
        <w:rPr>
          <w:rFonts w:hint="eastAsia"/>
          <w:color w:val="auto"/>
          <w:kern w:val="2"/>
          <w:szCs w:val="24"/>
        </w:rPr>
        <w:t>1</w:t>
      </w:r>
      <w:r>
        <w:rPr>
          <w:color w:val="auto"/>
          <w:kern w:val="2"/>
          <w:szCs w:val="24"/>
        </w:rPr>
        <w:t>可见，本项目厂址土壤环境质量均满足《</w:t>
      </w:r>
      <w:r>
        <w:rPr>
          <w:rFonts w:hint="eastAsia"/>
          <w:color w:val="auto"/>
          <w:kern w:val="2"/>
          <w:szCs w:val="24"/>
        </w:rPr>
        <w:t>农</w:t>
      </w:r>
      <w:r>
        <w:rPr>
          <w:color w:val="auto"/>
          <w:kern w:val="2"/>
          <w:szCs w:val="24"/>
        </w:rPr>
        <w:t>用地土壤污染风险管控标准（试行）》（GB</w:t>
      </w:r>
      <w:r>
        <w:rPr>
          <w:rFonts w:hint="eastAsia"/>
          <w:color w:val="auto"/>
          <w:kern w:val="2"/>
          <w:szCs w:val="24"/>
        </w:rPr>
        <w:t>15618</w:t>
      </w:r>
      <w:r>
        <w:rPr>
          <w:color w:val="auto"/>
          <w:kern w:val="2"/>
          <w:szCs w:val="24"/>
        </w:rPr>
        <w:t>-2018）筛选值要求。</w:t>
      </w:r>
    </w:p>
    <w:p>
      <w:pPr>
        <w:pStyle w:val="23"/>
        <w:widowControl/>
        <w:kinsoku w:val="0"/>
        <w:autoSpaceDE w:val="0"/>
        <w:autoSpaceDN w:val="0"/>
        <w:adjustRightInd w:val="0"/>
        <w:snapToGrid w:val="0"/>
        <w:spacing w:before="98" w:after="0" w:line="219" w:lineRule="auto"/>
        <w:ind w:left="119"/>
        <w:jc w:val="left"/>
        <w:textAlignment w:val="baseline"/>
        <w:outlineLvl w:val="1"/>
        <w:rPr>
          <w:rFonts w:ascii="Times New Roman" w:eastAsia="宋体"/>
          <w:b/>
          <w:bCs/>
          <w:color w:val="auto"/>
          <w:kern w:val="2"/>
          <w:sz w:val="28"/>
          <w:szCs w:val="28"/>
        </w:rPr>
      </w:pPr>
      <w:bookmarkStart w:id="372" w:name="_Toc29550"/>
      <w:bookmarkStart w:id="373" w:name="_Toc26920"/>
      <w:r>
        <w:rPr>
          <w:rFonts w:hint="eastAsia" w:ascii="Times New Roman" w:eastAsia="宋体"/>
          <w:b/>
          <w:bCs/>
          <w:color w:val="auto"/>
          <w:kern w:val="2"/>
          <w:sz w:val="28"/>
          <w:szCs w:val="28"/>
        </w:rPr>
        <w:t xml:space="preserve">4.7 </w:t>
      </w:r>
      <w:r>
        <w:rPr>
          <w:rFonts w:ascii="Times New Roman" w:eastAsia="宋体"/>
          <w:b/>
          <w:bCs/>
          <w:color w:val="auto"/>
          <w:kern w:val="2"/>
          <w:sz w:val="28"/>
          <w:szCs w:val="28"/>
        </w:rPr>
        <w:t>生态环境质量现状</w:t>
      </w:r>
      <w:bookmarkEnd w:id="372"/>
    </w:p>
    <w:p>
      <w:pPr>
        <w:pStyle w:val="231"/>
        <w:spacing w:after="0"/>
        <w:ind w:left="0" w:leftChars="0" w:firstLine="497"/>
        <w:rPr>
          <w:color w:val="auto"/>
          <w:kern w:val="2"/>
          <w:szCs w:val="24"/>
        </w:rPr>
      </w:pPr>
      <w:r>
        <w:rPr>
          <w:rFonts w:hint="eastAsia"/>
          <w:color w:val="auto"/>
          <w:kern w:val="2"/>
          <w:szCs w:val="24"/>
        </w:rPr>
        <w:t>本项目位于新墙镇桃源片，区域内生态环境与县内大部分生态环境类似，评价范围内无自然保护区、风景名胜区等需要特别保护的区域，未发现历史文物古迹和人文景观，无国家明文规定的珍稀动、植物物种和群落。本项目生态环境评价等级为三级评价，以收集资料为主。区域内土地利用现状主要为林地，周边分布居民，农业植被以水稻为主，随着市场经济的发展，种植形式日趋多样化，以粮食作物、经济作物为主体，呈多元化结构，区域内土地肥沃，绿树成荫，有松、杉、枫、楠竹等树种和油茶、桃、柿、李等多种经济林。区域内农作物主要是水稻，耕作制已稻—稻—绿肥为主。双季稻绿肥一年二熟制广泛分布，此外还种植油菜、大豆、甘薯、玉米等。</w:t>
      </w:r>
    </w:p>
    <w:p>
      <w:pPr>
        <w:spacing w:line="360" w:lineRule="auto"/>
        <w:ind w:firstLine="496" w:firstLineChars="200"/>
        <w:rPr>
          <w:rFonts w:ascii="Times New Roman" w:hAnsi="Times New Roman" w:eastAsia="宋体" w:cs="Times New Roman"/>
          <w:kern w:val="0"/>
          <w:szCs w:val="24"/>
          <w:u w:val="single"/>
        </w:rPr>
      </w:pPr>
      <w:r>
        <w:rPr>
          <w:rFonts w:ascii="Times New Roman" w:hAnsi="Times New Roman" w:eastAsia="宋体" w:cs="Times New Roman"/>
          <w:kern w:val="0"/>
          <w:szCs w:val="24"/>
          <w:u w:val="single"/>
        </w:rPr>
        <w:t>区域内土地利用结构较好，水土保持功能较强，具有较强的自我调节能力。本项目区占地类型主要为一般林地、荒地；项目场址内主要有马尾松、灌木和野草；周边山上多为油茶、马尾松、杉树、樟树、灌木和野草；居民多耕种农田，房前屋后种树，土地总体利用率不高。除小道外，无荒坡裸露，水土流失程度轻微。场址区域系未工业化的农耕环境，且山多林密，蛇类、鸟类等时有出没。该区域总的生态环境较好。</w:t>
      </w:r>
    </w:p>
    <w:p>
      <w:pPr>
        <w:pStyle w:val="231"/>
        <w:spacing w:after="0"/>
        <w:ind w:left="0" w:leftChars="0" w:firstLine="497"/>
        <w:rPr>
          <w:color w:val="auto"/>
          <w:kern w:val="2"/>
          <w:sz w:val="28"/>
          <w:szCs w:val="28"/>
        </w:rPr>
      </w:pPr>
      <w:r>
        <w:rPr>
          <w:rFonts w:hint="eastAsia"/>
          <w:color w:val="auto"/>
          <w:kern w:val="2"/>
          <w:szCs w:val="24"/>
          <w:u w:val="single"/>
        </w:rPr>
        <w:t>区域受人类活动的影响较大，野生动物的数量与种类较少，主要动物有狗獾、黄鼬、褐家鼠、大仓鼠等；鸟类主要有翠鸟、石鸡、山斑鸠、云雀、麻雀等；爬行类主要有草游蛇；两栖类主要有蟾蜍；家畜主要有牛、猪、驴、山羊、鸡、鸭等；水生鱼类资源主要有草鱼、鲤鱼、鲫鱼、鲭鱼、鲢鱼等。</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74" w:name="_Toc2777"/>
      <w:r>
        <w:rPr>
          <w:rFonts w:hint="eastAsia" w:ascii="Times New Roman" w:hAnsi="Times New Roman" w:eastAsia="宋体"/>
          <w:color w:val="auto"/>
          <w:kern w:val="2"/>
          <w:sz w:val="28"/>
          <w:szCs w:val="28"/>
        </w:rPr>
        <w:t>4</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8</w:t>
      </w:r>
      <w:r>
        <w:rPr>
          <w:rFonts w:ascii="Times New Roman" w:hAnsi="Times New Roman" w:eastAsia="宋体"/>
          <w:color w:val="auto"/>
          <w:kern w:val="2"/>
          <w:sz w:val="28"/>
          <w:szCs w:val="28"/>
        </w:rPr>
        <w:t>区域污染源调查</w:t>
      </w:r>
      <w:bookmarkEnd w:id="371"/>
      <w:bookmarkEnd w:id="373"/>
      <w:bookmarkEnd w:id="374"/>
    </w:p>
    <w:p>
      <w:pPr>
        <w:pStyle w:val="231"/>
        <w:spacing w:after="0"/>
        <w:ind w:left="0" w:leftChars="0" w:firstLine="497"/>
        <w:rPr>
          <w:color w:val="auto"/>
          <w:kern w:val="2"/>
          <w:szCs w:val="24"/>
        </w:rPr>
        <w:sectPr>
          <w:pgSz w:w="11906" w:h="16838"/>
          <w:pgMar w:top="1440" w:right="1803" w:bottom="1440" w:left="1803" w:header="850" w:footer="992" w:gutter="0"/>
          <w:pgNumType w:fmt="decimal"/>
          <w:cols w:space="720" w:num="1"/>
          <w:docGrid w:type="linesAndChars" w:linePitch="319" w:charSpace="1724"/>
        </w:sectPr>
      </w:pPr>
      <w:r>
        <w:rPr>
          <w:color w:val="auto"/>
          <w:kern w:val="2"/>
          <w:szCs w:val="24"/>
        </w:rPr>
        <w:t>根据现场勘察，项目所在区域主要为</w:t>
      </w:r>
      <w:r>
        <w:rPr>
          <w:rFonts w:hint="eastAsia"/>
          <w:color w:val="auto"/>
          <w:kern w:val="2"/>
          <w:szCs w:val="24"/>
        </w:rPr>
        <w:t>以</w:t>
      </w:r>
      <w:r>
        <w:rPr>
          <w:color w:val="auto"/>
          <w:kern w:val="2"/>
          <w:szCs w:val="24"/>
        </w:rPr>
        <w:t>农业为主，没有工业污染源。农业污染源以居民农业种植过程中使用的化肥农药污染为主。</w:t>
      </w:r>
    </w:p>
    <w:bookmarkEnd w:id="362"/>
    <w:p>
      <w:pPr>
        <w:pStyle w:val="31"/>
        <w:ind w:left="0" w:leftChars="0"/>
        <w:outlineLvl w:val="0"/>
        <w:rPr>
          <w:rStyle w:val="213"/>
          <w:rFonts w:ascii="Times New Roman"/>
          <w:color w:val="auto"/>
          <w:sz w:val="36"/>
          <w:szCs w:val="36"/>
        </w:rPr>
      </w:pPr>
      <w:bookmarkStart w:id="375" w:name="_Toc9518"/>
      <w:bookmarkStart w:id="376" w:name="_Toc18980"/>
      <w:bookmarkStart w:id="377" w:name="_Toc30961"/>
      <w:bookmarkStart w:id="378" w:name="_Toc4189"/>
      <w:bookmarkStart w:id="379" w:name="_Toc397698075"/>
      <w:r>
        <w:rPr>
          <w:rStyle w:val="213"/>
          <w:rFonts w:hint="eastAsia" w:ascii="Times New Roman"/>
          <w:color w:val="auto"/>
          <w:sz w:val="36"/>
          <w:szCs w:val="36"/>
        </w:rPr>
        <w:t>5</w:t>
      </w:r>
      <w:r>
        <w:rPr>
          <w:rStyle w:val="213"/>
          <w:rFonts w:ascii="Times New Roman"/>
          <w:color w:val="auto"/>
          <w:sz w:val="36"/>
          <w:szCs w:val="36"/>
        </w:rPr>
        <w:t>环境影响预测与评价</w:t>
      </w:r>
      <w:bookmarkEnd w:id="375"/>
      <w:bookmarkEnd w:id="376"/>
      <w:bookmarkEnd w:id="377"/>
      <w:bookmarkEnd w:id="378"/>
      <w:bookmarkStart w:id="380" w:name="_Toc32141"/>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381" w:name="_Toc16756"/>
      <w:bookmarkStart w:id="382" w:name="_Toc23448"/>
      <w:bookmarkStart w:id="383" w:name="_Toc16862"/>
      <w:r>
        <w:rPr>
          <w:rFonts w:hint="eastAsia" w:ascii="Times New Roman" w:hAnsi="Times New Roman" w:eastAsia="宋体"/>
          <w:color w:val="auto"/>
          <w:kern w:val="2"/>
          <w:sz w:val="28"/>
          <w:szCs w:val="28"/>
        </w:rPr>
        <w:t>5</w:t>
      </w:r>
      <w:r>
        <w:rPr>
          <w:rFonts w:ascii="Times New Roman" w:hAnsi="Times New Roman" w:eastAsia="宋体"/>
          <w:color w:val="auto"/>
          <w:kern w:val="2"/>
          <w:sz w:val="28"/>
          <w:szCs w:val="28"/>
        </w:rPr>
        <w:t>.1</w:t>
      </w:r>
      <w:r>
        <w:rPr>
          <w:rFonts w:hint="eastAsia" w:ascii="Times New Roman" w:hAnsi="Times New Roman" w:eastAsia="宋体"/>
          <w:color w:val="auto"/>
          <w:kern w:val="2"/>
          <w:sz w:val="28"/>
          <w:szCs w:val="28"/>
        </w:rPr>
        <w:t>施工期</w:t>
      </w:r>
      <w:r>
        <w:rPr>
          <w:rFonts w:ascii="Times New Roman" w:hAnsi="Times New Roman" w:eastAsia="宋体"/>
          <w:color w:val="auto"/>
          <w:kern w:val="2"/>
          <w:sz w:val="28"/>
          <w:szCs w:val="28"/>
        </w:rPr>
        <w:t>环境影响预测与评价</w:t>
      </w:r>
      <w:bookmarkEnd w:id="380"/>
      <w:bookmarkEnd w:id="381"/>
      <w:bookmarkEnd w:id="382"/>
      <w:bookmarkEnd w:id="383"/>
    </w:p>
    <w:bookmarkEnd w:id="379"/>
    <w:p>
      <w:pPr>
        <w:spacing w:line="360" w:lineRule="auto"/>
        <w:outlineLvl w:val="2"/>
        <w:rPr>
          <w:rFonts w:hint="eastAsia" w:ascii="Times New Roman" w:eastAsia="宋体"/>
          <w:b/>
          <w:bCs/>
          <w:color w:val="auto"/>
        </w:rPr>
      </w:pPr>
      <w:r>
        <w:rPr>
          <w:rFonts w:hint="eastAsia" w:ascii="Times New Roman" w:eastAsia="宋体"/>
          <w:b/>
          <w:bCs/>
          <w:color w:val="auto"/>
        </w:rPr>
        <w:t>5.1.1施工期大气环境影响分析</w:t>
      </w:r>
    </w:p>
    <w:p>
      <w:pPr>
        <w:spacing w:line="360" w:lineRule="auto"/>
        <w:ind w:firstLine="483" w:firstLineChars="195"/>
        <w:rPr>
          <w:rFonts w:ascii="Times New Roman" w:eastAsia="宋体"/>
          <w:color w:val="auto"/>
        </w:rPr>
      </w:pPr>
      <w:r>
        <w:rPr>
          <w:rFonts w:hint="eastAsia" w:ascii="Times New Roman" w:eastAsia="宋体"/>
          <w:color w:val="auto"/>
        </w:rPr>
        <w:t>本项目施工期环境影响主要为场区各建筑物的建设过程中所进行的场地平整、土方开挖、基础设施建设、地基深层处理及土石方、建筑材料运输、设备装配等施工行为，在一定时段内都将会对周围环境造成一定的影响。但这种影响一般是属于可逆的，待施工期结束后将一并消失。</w:t>
      </w:r>
    </w:p>
    <w:p>
      <w:pPr>
        <w:spacing w:line="360" w:lineRule="auto"/>
        <w:ind w:firstLine="483" w:firstLineChars="195"/>
        <w:rPr>
          <w:rFonts w:ascii="Times New Roman" w:eastAsia="宋体"/>
          <w:color w:val="auto"/>
        </w:rPr>
      </w:pPr>
      <w:r>
        <w:rPr>
          <w:rFonts w:hint="eastAsia" w:ascii="Times New Roman" w:eastAsia="宋体"/>
          <w:color w:val="auto"/>
        </w:rPr>
        <w:t>施工期间存在的主要环境问题：</w:t>
      </w:r>
    </w:p>
    <w:p>
      <w:pPr>
        <w:spacing w:line="360" w:lineRule="auto"/>
        <w:ind w:firstLine="483" w:firstLineChars="195"/>
        <w:rPr>
          <w:rFonts w:ascii="Times New Roman" w:eastAsia="宋体"/>
          <w:color w:val="auto"/>
        </w:rPr>
      </w:pPr>
      <w:r>
        <w:rPr>
          <w:rFonts w:hint="eastAsia" w:ascii="Times New Roman" w:eastAsia="宋体"/>
          <w:color w:val="auto"/>
        </w:rPr>
        <w:t>①施工行为产生的扬尘；</w:t>
      </w:r>
    </w:p>
    <w:p>
      <w:pPr>
        <w:spacing w:line="360" w:lineRule="auto"/>
        <w:ind w:firstLine="483" w:firstLineChars="195"/>
        <w:rPr>
          <w:rFonts w:ascii="Times New Roman" w:eastAsia="宋体"/>
          <w:color w:val="auto"/>
        </w:rPr>
      </w:pPr>
      <w:r>
        <w:rPr>
          <w:rFonts w:hint="eastAsia" w:ascii="Times New Roman" w:eastAsia="宋体"/>
          <w:color w:val="auto"/>
        </w:rPr>
        <w:t>②施工机械及运输车辆产生的噪声；</w:t>
      </w:r>
    </w:p>
    <w:p>
      <w:pPr>
        <w:spacing w:line="360" w:lineRule="auto"/>
        <w:ind w:firstLine="483" w:firstLineChars="195"/>
        <w:rPr>
          <w:rFonts w:ascii="Times New Roman" w:eastAsia="宋体"/>
          <w:color w:val="auto"/>
        </w:rPr>
      </w:pPr>
      <w:r>
        <w:rPr>
          <w:rFonts w:hint="eastAsia" w:ascii="Times New Roman" w:eastAsia="宋体"/>
          <w:color w:val="auto"/>
        </w:rPr>
        <w:t>③施工产生的废土及生活垃圾等固体废弃物；</w:t>
      </w:r>
    </w:p>
    <w:p>
      <w:pPr>
        <w:spacing w:line="360" w:lineRule="auto"/>
        <w:ind w:firstLine="483" w:firstLineChars="195"/>
        <w:rPr>
          <w:rFonts w:ascii="Times New Roman" w:eastAsia="宋体"/>
          <w:color w:val="auto"/>
        </w:rPr>
      </w:pPr>
      <w:r>
        <w:rPr>
          <w:rFonts w:hint="eastAsia" w:ascii="Times New Roman" w:eastAsia="宋体"/>
          <w:color w:val="auto"/>
        </w:rPr>
        <w:t>④施工人员的生活污水和施工本身产生的污水。</w:t>
      </w:r>
    </w:p>
    <w:p>
      <w:pPr>
        <w:spacing w:line="360" w:lineRule="auto"/>
        <w:outlineLvl w:val="3"/>
        <w:rPr>
          <w:rFonts w:ascii="Times New Roman" w:eastAsia="宋体"/>
          <w:color w:val="auto"/>
        </w:rPr>
      </w:pPr>
      <w:r>
        <w:rPr>
          <w:rFonts w:hint="eastAsia" w:ascii="Times New Roman" w:eastAsia="宋体"/>
          <w:color w:val="auto"/>
        </w:rPr>
        <w:t>5.1.1.1扬尘对环境影响</w:t>
      </w:r>
    </w:p>
    <w:p>
      <w:pPr>
        <w:spacing w:line="360" w:lineRule="auto"/>
        <w:ind w:firstLine="420"/>
        <w:rPr>
          <w:rFonts w:ascii="Times New Roman" w:eastAsia="宋体"/>
          <w:color w:val="auto"/>
        </w:rPr>
      </w:pPr>
      <w:r>
        <w:rPr>
          <w:rFonts w:hint="eastAsia" w:ascii="Times New Roman" w:eastAsia="宋体"/>
          <w:color w:val="auto"/>
        </w:rPr>
        <w:t>施工阶段产生扬尘的环节较多，且各处的扬尘排放方式不同、影响因素不同、持续时间也不固定，即有面源污染，也有线源污染。尽管这种影响会随着施工行为的停止而消失，但在短期内还是会影响当地的空气质量，使得区域大气中的TSP浓度将明显高于其它地区。粉尘排放量随施工作业的活动水平、特定操作和主导天气的变化而每天变化幅度较大，而且很大一部分是由于在施工临时修筑的道路上，由车辆往来行驶所引起的道路扬尘。正常工况下，施工作业扬尘的影响范围一般在距离施工现场100m之内，根据对一些施工现场的监测结果表明，距离施工现场100m处，施工粉尘的浓度约在0.12~0.79mg/m3之间。</w:t>
      </w:r>
    </w:p>
    <w:p>
      <w:pPr>
        <w:spacing w:line="360" w:lineRule="auto"/>
        <w:ind w:firstLine="483" w:firstLineChars="195"/>
        <w:rPr>
          <w:rFonts w:ascii="Times New Roman" w:eastAsia="宋体"/>
          <w:color w:val="auto"/>
        </w:rPr>
      </w:pPr>
      <w:r>
        <w:rPr>
          <w:rFonts w:hint="eastAsia" w:ascii="Times New Roman" w:eastAsia="宋体"/>
          <w:color w:val="auto"/>
        </w:rPr>
        <w:t>抑制扬尘的一个简洁有效的措施是洒水。如果在施工期内对车辆行驶的路面实施洒水抑尘，每天洒水4-5次，可使扬尘减少70%左右表5-2为施工场地洒水抑尘的试验结果。由该表数据可看出对施工场地实施每天洒水4-5次进行抑尘，可有效地控制施工扬尘，并可将TSP污染距离缩小到20-50m范围。</w:t>
      </w:r>
    </w:p>
    <w:p>
      <w:pPr>
        <w:pStyle w:val="422"/>
        <w:rPr>
          <w:rFonts w:cs="黑体"/>
          <w:color w:val="auto"/>
        </w:rPr>
      </w:pPr>
    </w:p>
    <w:p>
      <w:pPr>
        <w:pStyle w:val="422"/>
        <w:rPr>
          <w:rFonts w:cs="黑体"/>
          <w:color w:val="auto"/>
        </w:rPr>
      </w:pPr>
      <w:r>
        <w:rPr>
          <w:rFonts w:hint="eastAsia" w:cs="黑体"/>
          <w:color w:val="auto"/>
        </w:rPr>
        <w:t>表5.1-1    施工场地洒水抑尘试验结果单位：mg/m</w:t>
      </w:r>
      <w:r>
        <w:rPr>
          <w:rFonts w:hint="eastAsia" w:cs="黑体"/>
          <w:color w:val="auto"/>
          <w:vertAlign w:val="superscript"/>
        </w:rPr>
        <w:t>3</w:t>
      </w:r>
    </w:p>
    <w:tbl>
      <w:tblPr>
        <w:tblStyle w:val="47"/>
        <w:tblW w:w="8896"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058"/>
        <w:gridCol w:w="1813"/>
        <w:gridCol w:w="1256"/>
        <w:gridCol w:w="1256"/>
        <w:gridCol w:w="1256"/>
        <w:gridCol w:w="125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3871" w:type="dxa"/>
            <w:gridSpan w:val="2"/>
            <w:tcBorders>
              <w:bottom w:val="single" w:color="000000" w:sz="4" w:space="0"/>
              <w:right w:val="single" w:color="000000" w:sz="4" w:space="0"/>
            </w:tcBorders>
            <w:vAlign w:val="center"/>
          </w:tcPr>
          <w:p>
            <w:pPr>
              <w:pStyle w:val="387"/>
              <w:ind w:firstLine="0"/>
              <w:jc w:val="center"/>
              <w:rPr>
                <w:rFonts w:ascii="Times New Roman" w:hAnsi="Times New Roman" w:eastAsia="宋体" w:cs="宋体"/>
                <w:b/>
                <w:bCs/>
                <w:color w:val="auto"/>
                <w:sz w:val="21"/>
                <w:szCs w:val="21"/>
              </w:rPr>
            </w:pPr>
            <w:r>
              <w:rPr>
                <w:rFonts w:hint="eastAsia" w:ascii="Times New Roman" w:hAnsi="Times New Roman" w:eastAsia="宋体" w:cs="宋体"/>
                <w:b/>
                <w:bCs/>
                <w:color w:val="auto"/>
                <w:sz w:val="21"/>
                <w:szCs w:val="21"/>
              </w:rPr>
              <w:t>距离</w:t>
            </w:r>
          </w:p>
        </w:tc>
        <w:tc>
          <w:tcPr>
            <w:tcW w:w="1256" w:type="dxa"/>
            <w:tcBorders>
              <w:left w:val="single" w:color="000000" w:sz="4" w:space="0"/>
              <w:bottom w:val="single" w:color="000000" w:sz="4" w:space="0"/>
              <w:right w:val="single" w:color="000000" w:sz="4" w:space="0"/>
            </w:tcBorders>
            <w:vAlign w:val="center"/>
          </w:tcPr>
          <w:p>
            <w:pPr>
              <w:pStyle w:val="387"/>
              <w:ind w:firstLine="0"/>
              <w:jc w:val="center"/>
              <w:rPr>
                <w:rFonts w:ascii="Times New Roman" w:hAnsi="Times New Roman" w:eastAsia="宋体" w:cs="宋体"/>
                <w:b/>
                <w:bCs/>
                <w:color w:val="auto"/>
                <w:sz w:val="21"/>
                <w:szCs w:val="21"/>
              </w:rPr>
            </w:pPr>
            <w:r>
              <w:rPr>
                <w:rFonts w:hint="eastAsia" w:ascii="Times New Roman" w:hAnsi="Times New Roman" w:eastAsia="宋体" w:cs="宋体"/>
                <w:b/>
                <w:bCs/>
                <w:color w:val="auto"/>
                <w:sz w:val="21"/>
                <w:szCs w:val="21"/>
              </w:rPr>
              <w:t>5m</w:t>
            </w:r>
          </w:p>
        </w:tc>
        <w:tc>
          <w:tcPr>
            <w:tcW w:w="1256" w:type="dxa"/>
            <w:tcBorders>
              <w:left w:val="single" w:color="000000" w:sz="4" w:space="0"/>
              <w:bottom w:val="single" w:color="000000" w:sz="4" w:space="0"/>
              <w:right w:val="single" w:color="000000" w:sz="4" w:space="0"/>
            </w:tcBorders>
            <w:vAlign w:val="center"/>
          </w:tcPr>
          <w:p>
            <w:pPr>
              <w:pStyle w:val="387"/>
              <w:ind w:firstLine="0"/>
              <w:jc w:val="center"/>
              <w:rPr>
                <w:rFonts w:ascii="Times New Roman" w:hAnsi="Times New Roman" w:eastAsia="宋体" w:cs="宋体"/>
                <w:b/>
                <w:bCs/>
                <w:color w:val="auto"/>
                <w:sz w:val="21"/>
                <w:szCs w:val="21"/>
              </w:rPr>
            </w:pPr>
            <w:r>
              <w:rPr>
                <w:rFonts w:hint="eastAsia" w:ascii="Times New Roman" w:hAnsi="Times New Roman" w:eastAsia="宋体" w:cs="宋体"/>
                <w:b/>
                <w:bCs/>
                <w:color w:val="auto"/>
                <w:sz w:val="21"/>
                <w:szCs w:val="21"/>
              </w:rPr>
              <w:t>20m</w:t>
            </w:r>
          </w:p>
        </w:tc>
        <w:tc>
          <w:tcPr>
            <w:tcW w:w="1256" w:type="dxa"/>
            <w:tcBorders>
              <w:left w:val="single" w:color="000000" w:sz="4" w:space="0"/>
              <w:bottom w:val="single" w:color="000000" w:sz="4" w:space="0"/>
              <w:right w:val="single" w:color="000000" w:sz="4" w:space="0"/>
            </w:tcBorders>
            <w:vAlign w:val="center"/>
          </w:tcPr>
          <w:p>
            <w:pPr>
              <w:pStyle w:val="387"/>
              <w:ind w:firstLine="0"/>
              <w:jc w:val="center"/>
              <w:rPr>
                <w:rFonts w:ascii="Times New Roman" w:hAnsi="Times New Roman" w:eastAsia="宋体" w:cs="宋体"/>
                <w:b/>
                <w:bCs/>
                <w:color w:val="auto"/>
                <w:sz w:val="21"/>
                <w:szCs w:val="21"/>
              </w:rPr>
            </w:pPr>
            <w:r>
              <w:rPr>
                <w:rFonts w:hint="eastAsia" w:ascii="Times New Roman" w:hAnsi="Times New Roman" w:eastAsia="宋体" w:cs="宋体"/>
                <w:b/>
                <w:bCs/>
                <w:color w:val="auto"/>
                <w:sz w:val="21"/>
                <w:szCs w:val="21"/>
              </w:rPr>
              <w:t>50m</w:t>
            </w:r>
          </w:p>
        </w:tc>
        <w:tc>
          <w:tcPr>
            <w:tcW w:w="1257" w:type="dxa"/>
            <w:tcBorders>
              <w:left w:val="single" w:color="000000" w:sz="4" w:space="0"/>
              <w:bottom w:val="single" w:color="000000" w:sz="4" w:space="0"/>
            </w:tcBorders>
            <w:vAlign w:val="center"/>
          </w:tcPr>
          <w:p>
            <w:pPr>
              <w:pStyle w:val="387"/>
              <w:ind w:firstLine="0"/>
              <w:jc w:val="center"/>
              <w:rPr>
                <w:rFonts w:ascii="Times New Roman" w:hAnsi="Times New Roman" w:eastAsia="宋体" w:cs="宋体"/>
                <w:b/>
                <w:bCs/>
                <w:color w:val="auto"/>
                <w:sz w:val="21"/>
                <w:szCs w:val="21"/>
              </w:rPr>
            </w:pPr>
            <w:r>
              <w:rPr>
                <w:rFonts w:hint="eastAsia" w:ascii="Times New Roman" w:hAnsi="Times New Roman" w:eastAsia="宋体" w:cs="宋体"/>
                <w:b/>
                <w:bCs/>
                <w:color w:val="auto"/>
                <w:sz w:val="21"/>
                <w:szCs w:val="21"/>
              </w:rPr>
              <w:t>100m</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058" w:type="dxa"/>
            <w:vMerge w:val="restart"/>
            <w:tcBorders>
              <w:top w:val="single" w:color="000000" w:sz="4" w:space="0"/>
              <w:bottom w:val="single" w:color="000000" w:sz="4" w:space="0"/>
              <w:right w:val="single" w:color="000000" w:sz="4" w:space="0"/>
            </w:tcBorders>
            <w:vAlign w:val="center"/>
          </w:tcPr>
          <w:p>
            <w:pPr>
              <w:pStyle w:val="387"/>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TSP小时评价浓度</w:t>
            </w:r>
          </w:p>
        </w:tc>
        <w:tc>
          <w:tcPr>
            <w:tcW w:w="1813" w:type="dxa"/>
            <w:tcBorders>
              <w:top w:val="single" w:color="000000" w:sz="4" w:space="0"/>
              <w:left w:val="single" w:color="000000" w:sz="4" w:space="0"/>
              <w:bottom w:val="single" w:color="000000" w:sz="4" w:space="0"/>
              <w:righ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不洒水</w:t>
            </w:r>
          </w:p>
        </w:tc>
        <w:tc>
          <w:tcPr>
            <w:tcW w:w="1256" w:type="dxa"/>
            <w:tcBorders>
              <w:top w:val="single" w:color="000000" w:sz="4" w:space="0"/>
              <w:left w:val="single" w:color="000000" w:sz="4" w:space="0"/>
              <w:bottom w:val="single" w:color="000000" w:sz="4" w:space="0"/>
              <w:righ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10.14</w:t>
            </w:r>
          </w:p>
        </w:tc>
        <w:tc>
          <w:tcPr>
            <w:tcW w:w="1256" w:type="dxa"/>
            <w:tcBorders>
              <w:top w:val="single" w:color="000000" w:sz="4" w:space="0"/>
              <w:left w:val="single" w:color="000000" w:sz="4" w:space="0"/>
              <w:bottom w:val="single" w:color="000000" w:sz="4" w:space="0"/>
              <w:righ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2.89</w:t>
            </w:r>
          </w:p>
        </w:tc>
        <w:tc>
          <w:tcPr>
            <w:tcW w:w="1256" w:type="dxa"/>
            <w:tcBorders>
              <w:top w:val="single" w:color="000000" w:sz="4" w:space="0"/>
              <w:left w:val="single" w:color="000000" w:sz="4" w:space="0"/>
              <w:bottom w:val="single" w:color="000000" w:sz="4" w:space="0"/>
              <w:righ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1.15</w:t>
            </w:r>
          </w:p>
        </w:tc>
        <w:tc>
          <w:tcPr>
            <w:tcW w:w="1257" w:type="dxa"/>
            <w:tcBorders>
              <w:top w:val="single" w:color="000000" w:sz="4" w:space="0"/>
              <w:left w:val="single" w:color="000000" w:sz="4" w:space="0"/>
              <w:bottom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0.86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058" w:type="dxa"/>
            <w:vMerge w:val="continue"/>
            <w:tcBorders>
              <w:top w:val="single" w:color="000000" w:sz="4" w:space="0"/>
              <w:right w:val="single" w:color="000000" w:sz="4" w:space="0"/>
            </w:tcBorders>
            <w:vAlign w:val="center"/>
          </w:tcPr>
          <w:p>
            <w:pPr>
              <w:pStyle w:val="387"/>
              <w:jc w:val="center"/>
              <w:rPr>
                <w:rFonts w:ascii="Times New Roman" w:hAnsi="Times New Roman" w:eastAsia="宋体" w:cs="宋体"/>
                <w:color w:val="auto"/>
                <w:sz w:val="21"/>
                <w:szCs w:val="21"/>
              </w:rPr>
            </w:pPr>
          </w:p>
        </w:tc>
        <w:tc>
          <w:tcPr>
            <w:tcW w:w="1813" w:type="dxa"/>
            <w:tcBorders>
              <w:top w:val="single" w:color="000000" w:sz="4" w:space="0"/>
              <w:left w:val="single" w:color="000000" w:sz="4" w:space="0"/>
              <w:righ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洒水</w:t>
            </w:r>
          </w:p>
        </w:tc>
        <w:tc>
          <w:tcPr>
            <w:tcW w:w="1256" w:type="dxa"/>
            <w:tcBorders>
              <w:top w:val="single" w:color="000000" w:sz="4" w:space="0"/>
              <w:left w:val="single" w:color="000000" w:sz="4" w:space="0"/>
              <w:right w:val="single" w:color="000000" w:sz="4" w:space="0"/>
            </w:tcBorders>
            <w:vAlign w:val="center"/>
          </w:tcPr>
          <w:p>
            <w:pPr>
              <w:pStyle w:val="387"/>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2.01</w:t>
            </w:r>
          </w:p>
        </w:tc>
        <w:tc>
          <w:tcPr>
            <w:tcW w:w="1256" w:type="dxa"/>
            <w:tcBorders>
              <w:top w:val="single" w:color="000000" w:sz="4" w:space="0"/>
              <w:left w:val="single" w:color="000000" w:sz="4" w:space="0"/>
              <w:righ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1.40</w:t>
            </w:r>
          </w:p>
        </w:tc>
        <w:tc>
          <w:tcPr>
            <w:tcW w:w="1256" w:type="dxa"/>
            <w:tcBorders>
              <w:top w:val="single" w:color="000000" w:sz="4" w:space="0"/>
              <w:left w:val="single" w:color="000000" w:sz="4" w:space="0"/>
              <w:righ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0.67</w:t>
            </w:r>
          </w:p>
        </w:tc>
        <w:tc>
          <w:tcPr>
            <w:tcW w:w="1257" w:type="dxa"/>
            <w:tcBorders>
              <w:top w:val="single" w:color="000000" w:sz="4" w:space="0"/>
              <w:left w:val="single" w:color="000000"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0.60</w:t>
            </w:r>
          </w:p>
        </w:tc>
      </w:tr>
    </w:tbl>
    <w:p>
      <w:pPr>
        <w:spacing w:line="360" w:lineRule="auto"/>
        <w:ind w:firstLine="483" w:firstLineChars="195"/>
        <w:rPr>
          <w:rFonts w:ascii="Times New Roman" w:eastAsia="宋体"/>
          <w:color w:val="auto"/>
        </w:rPr>
      </w:pPr>
      <w:r>
        <w:rPr>
          <w:rFonts w:hint="eastAsia" w:ascii="Times New Roman" w:eastAsia="宋体"/>
          <w:color w:val="auto"/>
        </w:rPr>
        <w:t>本项目周围最近居民在100m以上，且四周均为树林，有高大乔木进行有效隔离，因此施工扬尘对其影响较小。</w:t>
      </w:r>
    </w:p>
    <w:p>
      <w:pPr>
        <w:spacing w:line="360" w:lineRule="auto"/>
        <w:outlineLvl w:val="3"/>
        <w:rPr>
          <w:rFonts w:ascii="Times New Roman" w:eastAsia="宋体"/>
          <w:color w:val="auto"/>
        </w:rPr>
      </w:pPr>
      <w:r>
        <w:rPr>
          <w:rFonts w:hint="eastAsia" w:ascii="Times New Roman" w:eastAsia="宋体"/>
          <w:color w:val="auto"/>
        </w:rPr>
        <w:t>5.1.1.2施工机械废气对环境的影响</w:t>
      </w:r>
    </w:p>
    <w:p>
      <w:pPr>
        <w:spacing w:line="360" w:lineRule="auto"/>
        <w:ind w:firstLine="483" w:firstLineChars="195"/>
        <w:rPr>
          <w:rFonts w:ascii="Times New Roman"/>
          <w:color w:val="auto"/>
        </w:rPr>
      </w:pPr>
      <w:r>
        <w:rPr>
          <w:rFonts w:hint="eastAsia" w:ascii="Times New Roman" w:eastAsia="宋体"/>
          <w:color w:val="auto"/>
        </w:rPr>
        <w:t>施工车辆、挖土机等因燃油产生的二氧化硫、氮氧化物、一氧化碳、烃类等污染物以及施工人员生活燃气产生的二氧化硫、氮氧化物、烟尘等大气污染物会对大气环境造成不良影响。但这种污染源较分散且为流动性，污染物排放量不大，表现为间歇性特征，因此影响是短期和局部的，该项污染源将随着本项目的建成而不再存在。</w:t>
      </w:r>
    </w:p>
    <w:p>
      <w:pPr>
        <w:spacing w:line="360" w:lineRule="auto"/>
        <w:outlineLvl w:val="2"/>
        <w:rPr>
          <w:rFonts w:ascii="Times New Roman" w:eastAsia="宋体"/>
          <w:b/>
          <w:bCs/>
          <w:color w:val="auto"/>
        </w:rPr>
      </w:pPr>
      <w:r>
        <w:rPr>
          <w:rFonts w:hint="eastAsia" w:ascii="Times New Roman" w:eastAsia="宋体"/>
          <w:b/>
          <w:bCs/>
          <w:color w:val="auto"/>
        </w:rPr>
        <w:t>5.1.2施工期噪声影响分析</w:t>
      </w:r>
    </w:p>
    <w:p>
      <w:pPr>
        <w:spacing w:line="360" w:lineRule="auto"/>
        <w:ind w:firstLine="483" w:firstLineChars="195"/>
        <w:rPr>
          <w:rFonts w:ascii="Times New Roman" w:eastAsia="宋体"/>
          <w:color w:val="auto"/>
        </w:rPr>
      </w:pPr>
      <w:r>
        <w:rPr>
          <w:rFonts w:hint="eastAsia" w:ascii="Times New Roman" w:eastAsia="宋体"/>
          <w:color w:val="auto"/>
        </w:rPr>
        <w:t>根据工程分析，本项目施工期噪声源主要包括：打桩机噪声、挖掘机噪声、搅拌机噪声、木工圆锯噪声、振捣棒噪声、运送物料及清运建筑垃圾车辆的噪声等，各个施工阶段噪声源强不同，其中以基础及结构阶段噪声源强最大，单台设备噪声最大可达到110dB(A)。</w:t>
      </w:r>
    </w:p>
    <w:p>
      <w:pPr>
        <w:spacing w:line="360" w:lineRule="auto"/>
        <w:ind w:firstLine="483" w:firstLineChars="195"/>
        <w:rPr>
          <w:rFonts w:ascii="Times New Roman" w:eastAsia="宋体"/>
          <w:color w:val="auto"/>
        </w:rPr>
      </w:pPr>
      <w:r>
        <w:rPr>
          <w:rFonts w:hint="eastAsia" w:ascii="Times New Roman" w:eastAsia="宋体"/>
          <w:color w:val="auto"/>
        </w:rPr>
        <w:t>根据建筑工地的实测类比资料，土石方阶段场界噪声一般在53～74dB(A)范围内，打桩阶段场界噪声在70～84dB(A)范围内，结构阶段场界噪声一般在52～84dB(A)之间。项目周围最近居民位于西南侧1</w:t>
      </w:r>
      <w:r>
        <w:rPr>
          <w:rFonts w:hint="eastAsia" w:ascii="Times New Roman" w:eastAsia="宋体"/>
          <w:color w:val="auto"/>
          <w:lang w:val="en-US" w:eastAsia="zh-CN"/>
        </w:rPr>
        <w:t>9</w:t>
      </w:r>
      <w:r>
        <w:rPr>
          <w:rFonts w:hint="eastAsia" w:ascii="Times New Roman" w:eastAsia="宋体"/>
          <w:color w:val="auto"/>
        </w:rPr>
        <w:t>0m处，因此影响较小。</w:t>
      </w:r>
    </w:p>
    <w:p>
      <w:pPr>
        <w:spacing w:line="360" w:lineRule="auto"/>
        <w:outlineLvl w:val="2"/>
        <w:rPr>
          <w:rFonts w:ascii="Times New Roman" w:eastAsia="宋体"/>
          <w:b/>
          <w:bCs/>
          <w:color w:val="auto"/>
        </w:rPr>
      </w:pPr>
      <w:r>
        <w:rPr>
          <w:rFonts w:hint="eastAsia" w:ascii="Times New Roman" w:eastAsia="宋体"/>
          <w:b/>
          <w:bCs/>
          <w:color w:val="auto"/>
        </w:rPr>
        <w:t>5.1.3施工水影响分析</w:t>
      </w:r>
    </w:p>
    <w:p>
      <w:pPr>
        <w:spacing w:line="360" w:lineRule="auto"/>
        <w:ind w:firstLine="483" w:firstLineChars="195"/>
        <w:rPr>
          <w:rFonts w:ascii="Times New Roman" w:eastAsia="宋体"/>
          <w:color w:val="auto"/>
        </w:rPr>
      </w:pPr>
      <w:r>
        <w:rPr>
          <w:rFonts w:hint="eastAsia" w:ascii="Times New Roman" w:eastAsia="宋体"/>
          <w:color w:val="auto"/>
        </w:rPr>
        <w:t>施工期废水主要有施工车辆清洗废水、施工人员生活污水、施工过程中雨水造成的水土流失以及基础开挖时地下涌水。</w:t>
      </w:r>
    </w:p>
    <w:p>
      <w:pPr>
        <w:spacing w:line="360" w:lineRule="auto"/>
        <w:ind w:firstLine="482"/>
        <w:rPr>
          <w:rFonts w:ascii="Times New Roman" w:eastAsia="宋体"/>
          <w:color w:val="auto"/>
        </w:rPr>
      </w:pPr>
      <w:r>
        <w:rPr>
          <w:rFonts w:hint="eastAsia" w:ascii="Times New Roman" w:eastAsia="宋体"/>
          <w:color w:val="auto"/>
        </w:rPr>
        <w:t>（1）生活污水</w:t>
      </w:r>
    </w:p>
    <w:p>
      <w:pPr>
        <w:spacing w:line="360" w:lineRule="auto"/>
        <w:ind w:firstLine="482"/>
        <w:rPr>
          <w:rFonts w:ascii="Times New Roman" w:eastAsia="宋体"/>
          <w:color w:val="auto"/>
        </w:rPr>
      </w:pPr>
      <w:r>
        <w:rPr>
          <w:rFonts w:hint="eastAsia" w:ascii="Times New Roman" w:eastAsia="宋体"/>
          <w:color w:val="auto"/>
        </w:rPr>
        <w:t>施工人员平均30余人，</w:t>
      </w:r>
      <w:r>
        <w:rPr>
          <w:rFonts w:hint="eastAsia" w:ascii="Times New Roman" w:eastAsia="宋体"/>
          <w:color w:val="auto"/>
          <w:lang w:val="en-US" w:eastAsia="zh-CN"/>
        </w:rPr>
        <w:t>均为本地居民，</w:t>
      </w:r>
      <w:r>
        <w:rPr>
          <w:rFonts w:hint="eastAsia" w:ascii="Times New Roman" w:eastAsia="宋体"/>
          <w:color w:val="auto"/>
        </w:rPr>
        <w:t>不</w:t>
      </w:r>
      <w:r>
        <w:rPr>
          <w:rFonts w:hint="eastAsia" w:ascii="Times New Roman" w:eastAsia="宋体"/>
          <w:color w:val="auto"/>
          <w:lang w:val="en-US" w:eastAsia="zh-CN"/>
        </w:rPr>
        <w:t>建设施工营地，就餐依托周边，设置移动厕所，仅有少量</w:t>
      </w:r>
      <w:r>
        <w:rPr>
          <w:rFonts w:hint="eastAsia" w:ascii="Times New Roman" w:eastAsia="宋体"/>
          <w:color w:val="auto"/>
        </w:rPr>
        <w:t>生活污水</w:t>
      </w:r>
      <w:r>
        <w:rPr>
          <w:rFonts w:hint="eastAsia" w:ascii="Times New Roman" w:eastAsia="宋体"/>
          <w:color w:val="auto"/>
          <w:lang w:val="en-US" w:eastAsia="zh-CN"/>
        </w:rPr>
        <w:t>产生</w:t>
      </w:r>
      <w:r>
        <w:rPr>
          <w:rFonts w:hint="eastAsia" w:ascii="Times New Roman" w:hAnsi="Times New Roman" w:eastAsia="宋体" w:cs="Times New Roman"/>
          <w:color w:val="auto"/>
          <w:lang w:val="en-US" w:eastAsia="zh-CN"/>
        </w:rPr>
        <w:t>，生活污水经临时化粪池处理后用于周边菜地施肥，对水环境影响</w:t>
      </w:r>
      <w:r>
        <w:rPr>
          <w:rFonts w:hint="eastAsia" w:ascii="Times New Roman" w:eastAsia="宋体"/>
          <w:color w:val="auto"/>
        </w:rPr>
        <w:t>很小。</w:t>
      </w:r>
    </w:p>
    <w:p>
      <w:pPr>
        <w:spacing w:line="360" w:lineRule="auto"/>
        <w:ind w:firstLine="482"/>
        <w:rPr>
          <w:rFonts w:ascii="Times New Roman" w:eastAsia="宋体"/>
          <w:color w:val="auto"/>
        </w:rPr>
      </w:pPr>
      <w:r>
        <w:rPr>
          <w:rFonts w:hint="eastAsia" w:ascii="Times New Roman" w:eastAsia="宋体"/>
          <w:color w:val="auto"/>
        </w:rPr>
        <w:t>（2）施工废水</w:t>
      </w:r>
    </w:p>
    <w:p>
      <w:pPr>
        <w:spacing w:line="360" w:lineRule="auto"/>
        <w:ind w:firstLine="483" w:firstLineChars="195"/>
        <w:rPr>
          <w:rFonts w:ascii="Times New Roman" w:eastAsia="宋体"/>
          <w:color w:val="auto"/>
        </w:rPr>
      </w:pPr>
      <w:r>
        <w:rPr>
          <w:rFonts w:hint="eastAsia" w:ascii="Times New Roman" w:eastAsia="宋体"/>
          <w:color w:val="auto"/>
        </w:rPr>
        <w:t>由于施工场内不设混凝土拌和，使用商品混凝土，施工废水主要为混凝土养护废水、工具清洗废水等。项目施工生产废水不含有毒物质，主要是泥沙悬浮物含量较大。根据国内外同类工程施工废水监测资料：混凝土养护废水悬浮物浓度约为500mg/L-2000mg/L，pH值7-9。施工过程中设备、工具清洗等产生的废水量小，主要污染物为悬浮物和石油类。项目施工场地设置进出车辆冲洗平台，并在平台周边设置截流沟，将冲洗废水导入沉淀池或沉砂井，施工废水经简易隔油沉淀处理后，部分回用于施工或洒水降尘，部分达标排放。沉淀池内淤泥必须定期清理，定期与建筑垃圾一起清运至有关部门指定的建筑垃圾堆填地点处置。采取以上措施后，建筑施工废水不会对周围地表水体造成大的不利影响。</w:t>
      </w:r>
    </w:p>
    <w:p>
      <w:pPr>
        <w:spacing w:line="360" w:lineRule="auto"/>
        <w:ind w:firstLine="482"/>
        <w:rPr>
          <w:rFonts w:ascii="Times New Roman" w:eastAsia="宋体"/>
          <w:color w:val="auto"/>
        </w:rPr>
      </w:pPr>
      <w:r>
        <w:rPr>
          <w:rFonts w:hint="eastAsia" w:ascii="Times New Roman" w:eastAsia="宋体"/>
          <w:color w:val="auto"/>
        </w:rPr>
        <w:t>（3）雨水径流</w:t>
      </w:r>
    </w:p>
    <w:p>
      <w:pPr>
        <w:spacing w:line="360" w:lineRule="auto"/>
        <w:ind w:firstLine="483" w:firstLineChars="195"/>
        <w:rPr>
          <w:rFonts w:ascii="Times New Roman" w:eastAsia="宋体"/>
          <w:color w:val="auto"/>
        </w:rPr>
      </w:pPr>
      <w:r>
        <w:rPr>
          <w:rFonts w:hint="eastAsia" w:ascii="Times New Roman" w:eastAsia="宋体"/>
          <w:color w:val="auto"/>
        </w:rPr>
        <w:t>雨季径流主要为雨季降水冲涮施工场地产生，所含污染物主要为SS和微量石油类，其中SS浓度为200～500mg/L 左右。项目内需设置雨水沉淀池，雨季径流经收集沉淀后，回用于项目施工及养护。为避免雨季径流对周围水体产生不利影响，采取以下措施：①设置连续、通畅的排水设施和沉淀设施，防止泥浆、污水、废水外流。②合理安排工期，避免在雨天进行土方作业；③雨天对粉状物料堆放场所和临时堆渣场进行必要的遮蔽，减少雨水冲刷。此外尽量收集施工场地的暴雨径流，并设置沉淀池对暴雨径流进行沉淀处理后外排；采取以上措施后，雨季径流中的SS浓度可得到较大程度的降低，不会对周围地表水体造成大的不利影响。</w:t>
      </w:r>
    </w:p>
    <w:p>
      <w:pPr>
        <w:spacing w:line="360" w:lineRule="auto"/>
        <w:ind w:firstLine="483" w:firstLineChars="195"/>
        <w:rPr>
          <w:rFonts w:ascii="Times New Roman" w:eastAsia="宋体"/>
          <w:color w:val="auto"/>
        </w:rPr>
      </w:pPr>
      <w:r>
        <w:rPr>
          <w:rFonts w:hint="eastAsia" w:ascii="Times New Roman" w:eastAsia="宋体"/>
          <w:color w:val="auto"/>
        </w:rPr>
        <w:t>因此，本项目施工期间废水经处理后循环使用或合理综合利用，对周边水环境影响小。</w:t>
      </w:r>
    </w:p>
    <w:p>
      <w:pPr>
        <w:spacing w:line="360" w:lineRule="auto"/>
        <w:outlineLvl w:val="2"/>
        <w:rPr>
          <w:rFonts w:ascii="Times New Roman" w:eastAsia="宋体"/>
          <w:color w:val="auto"/>
        </w:rPr>
      </w:pPr>
      <w:r>
        <w:rPr>
          <w:rFonts w:hint="eastAsia" w:ascii="Times New Roman" w:eastAsia="宋体"/>
          <w:b/>
          <w:bCs/>
          <w:color w:val="auto"/>
        </w:rPr>
        <w:t>5.1.4施工期固废对环境的影响分析</w:t>
      </w:r>
      <w:r>
        <w:rPr>
          <w:rFonts w:hint="eastAsia" w:ascii="Times New Roman" w:eastAsia="宋体"/>
          <w:color w:val="auto"/>
        </w:rPr>
        <w:tab/>
      </w:r>
    </w:p>
    <w:p>
      <w:pPr>
        <w:spacing w:line="360" w:lineRule="auto"/>
        <w:ind w:firstLine="483" w:firstLineChars="195"/>
        <w:rPr>
          <w:rFonts w:ascii="Times New Roman" w:eastAsia="宋体"/>
          <w:color w:val="auto"/>
        </w:rPr>
      </w:pPr>
      <w:r>
        <w:rPr>
          <w:rFonts w:hint="eastAsia" w:ascii="Times New Roman" w:eastAsia="宋体"/>
          <w:color w:val="auto"/>
        </w:rPr>
        <w:t>施工期产生的固废主要是本项目开挖的土石方、施工人员产生的生活垃圾以及建筑垃圾（施工渣土与损坏或废弃的各种建筑装修材料）。</w:t>
      </w:r>
    </w:p>
    <w:p>
      <w:pPr>
        <w:spacing w:line="360" w:lineRule="auto"/>
        <w:ind w:firstLine="483" w:firstLineChars="195"/>
        <w:rPr>
          <w:rFonts w:ascii="Times New Roman" w:eastAsia="宋体"/>
          <w:color w:val="auto"/>
        </w:rPr>
      </w:pPr>
      <w:r>
        <w:rPr>
          <w:rFonts w:hint="eastAsia" w:ascii="Times New Roman" w:eastAsia="宋体"/>
          <w:color w:val="auto"/>
        </w:rPr>
        <w:t>本项目挖掘出的土石方先暂时存放在建筑区内，待打完桩后将会全部回填。</w:t>
      </w:r>
    </w:p>
    <w:p>
      <w:pPr>
        <w:spacing w:line="360" w:lineRule="auto"/>
        <w:ind w:firstLine="483" w:firstLineChars="195"/>
        <w:rPr>
          <w:rFonts w:ascii="Times New Roman" w:eastAsia="宋体"/>
          <w:color w:val="auto"/>
        </w:rPr>
      </w:pPr>
      <w:r>
        <w:rPr>
          <w:rFonts w:hint="eastAsia" w:ascii="Times New Roman" w:eastAsia="宋体"/>
          <w:color w:val="auto"/>
        </w:rPr>
        <w:t>生活垃圾收集至自备的垃圾收集桶，及时清理外送至指定垃圾堆放点。</w:t>
      </w:r>
    </w:p>
    <w:p>
      <w:pPr>
        <w:spacing w:line="360" w:lineRule="auto"/>
        <w:ind w:firstLine="483" w:firstLineChars="195"/>
        <w:rPr>
          <w:rFonts w:ascii="Times New Roman" w:eastAsia="宋体"/>
          <w:color w:val="auto"/>
        </w:rPr>
      </w:pPr>
      <w:r>
        <w:rPr>
          <w:rFonts w:hint="eastAsia" w:ascii="Times New Roman" w:eastAsia="宋体"/>
          <w:color w:val="auto"/>
        </w:rPr>
        <w:t>建筑垃圾主要包括土、渣土、废木屑、刨花、各种装饰材料的包装箱、包装袋、散落的砂浆、碎砖、搬运过程中散落的石子和块石等，其中碎砖、石子和块石等可以进行回填，建筑垃圾应送至城建部门制定的单位统一处理。施工期固废对外环境影响较小。</w:t>
      </w:r>
    </w:p>
    <w:p>
      <w:pPr>
        <w:spacing w:line="360" w:lineRule="auto"/>
        <w:outlineLvl w:val="2"/>
        <w:rPr>
          <w:rFonts w:ascii="Times New Roman" w:eastAsia="宋体"/>
          <w:b/>
          <w:bCs/>
          <w:color w:val="auto"/>
        </w:rPr>
      </w:pPr>
      <w:r>
        <w:rPr>
          <w:rFonts w:hint="eastAsia" w:ascii="Times New Roman" w:eastAsia="宋体"/>
          <w:b/>
          <w:bCs/>
          <w:color w:val="auto"/>
        </w:rPr>
        <w:t>5.1.5施工期对生态的影响</w:t>
      </w:r>
    </w:p>
    <w:p>
      <w:pPr>
        <w:spacing w:line="360" w:lineRule="auto"/>
        <w:ind w:firstLine="483" w:firstLineChars="195"/>
        <w:rPr>
          <w:rFonts w:ascii="Times New Roman" w:eastAsia="宋体"/>
          <w:color w:val="auto"/>
        </w:rPr>
      </w:pPr>
      <w:r>
        <w:rPr>
          <w:rFonts w:hint="eastAsia" w:ascii="Times New Roman" w:eastAsia="宋体"/>
          <w:color w:val="auto"/>
        </w:rPr>
        <w:t>本项目原厂地为</w:t>
      </w:r>
      <w:r>
        <w:rPr>
          <w:rFonts w:hint="eastAsia" w:ascii="Times New Roman" w:eastAsia="宋体"/>
          <w:color w:val="auto"/>
          <w:lang w:val="en-US" w:eastAsia="zh-CN"/>
        </w:rPr>
        <w:t>林地</w:t>
      </w:r>
      <w:r>
        <w:rPr>
          <w:rFonts w:hint="eastAsia" w:ascii="Times New Roman" w:eastAsia="宋体"/>
          <w:color w:val="auto"/>
        </w:rPr>
        <w:t>，施工期大量施工人员及机械进入区域内，对原区域内的半自然生态环境的干扰增强，而且施工产生临时占地，如管理不到位，将会破坏区域生态环境，如造成水土流失、削弱生态系统服务功能、施工噪声和扬尘影响附近植物生长，以及对周围地区带来的生态环境压力。因此，必须采取必要的措施防止。</w:t>
      </w:r>
    </w:p>
    <w:p>
      <w:pPr>
        <w:spacing w:line="360" w:lineRule="auto"/>
        <w:ind w:firstLine="483" w:firstLineChars="195"/>
        <w:rPr>
          <w:rFonts w:ascii="Times New Roman" w:eastAsia="宋体"/>
          <w:color w:val="auto"/>
        </w:rPr>
      </w:pPr>
      <w:r>
        <w:rPr>
          <w:rFonts w:hint="eastAsia" w:ascii="Times New Roman" w:eastAsia="宋体"/>
          <w:color w:val="auto"/>
        </w:rPr>
        <w:t>本项目施工期采取环保措施，减少对环境的污染，且施工时间短，主要施工活动在现有厂址内进行，尽量避免临时占地，建筑垃圾及时清运，剥离表土及时回填，不设弃渣场，减少对周围植被的破坏，则施工期对周围生态环境的影响较小。</w:t>
      </w:r>
    </w:p>
    <w:p>
      <w:pPr>
        <w:spacing w:line="360" w:lineRule="auto"/>
        <w:outlineLvl w:val="2"/>
        <w:rPr>
          <w:rFonts w:ascii="Times New Roman" w:eastAsia="宋体"/>
          <w:b/>
          <w:bCs/>
          <w:color w:val="auto"/>
        </w:rPr>
      </w:pPr>
      <w:r>
        <w:rPr>
          <w:rFonts w:hint="eastAsia" w:ascii="Times New Roman" w:eastAsia="宋体"/>
          <w:b/>
          <w:bCs/>
          <w:color w:val="auto"/>
        </w:rPr>
        <w:t>5.1.6水土流失对环境的影响</w:t>
      </w:r>
    </w:p>
    <w:p>
      <w:pPr>
        <w:spacing w:line="360" w:lineRule="auto"/>
        <w:ind w:firstLine="483" w:firstLineChars="195"/>
        <w:rPr>
          <w:rFonts w:ascii="Times New Roman" w:eastAsia="宋体"/>
          <w:color w:val="auto"/>
        </w:rPr>
      </w:pPr>
      <w:r>
        <w:rPr>
          <w:rFonts w:hint="eastAsia" w:ascii="Times New Roman" w:eastAsia="宋体"/>
          <w:color w:val="auto"/>
        </w:rPr>
        <w:t>项目建设引起水土流失，若不采取防护措施，不仅影响工程建设进度，而且流失掉的泥沙作为一种废弃物而后污染物排向施工场地以外的环境，本项目可能造成的水土流失危害主要表现在以下几个方面：</w:t>
      </w:r>
    </w:p>
    <w:p>
      <w:pPr>
        <w:spacing w:line="360" w:lineRule="auto"/>
        <w:ind w:firstLine="482"/>
        <w:rPr>
          <w:rFonts w:ascii="Times New Roman" w:eastAsia="宋体"/>
          <w:color w:val="auto"/>
        </w:rPr>
      </w:pPr>
      <w:r>
        <w:rPr>
          <w:rFonts w:hint="eastAsia" w:ascii="Times New Roman" w:eastAsia="宋体"/>
          <w:color w:val="auto"/>
        </w:rPr>
        <w:t>（1）对冲沟水质的影响</w:t>
      </w:r>
    </w:p>
    <w:p>
      <w:pPr>
        <w:spacing w:line="360" w:lineRule="auto"/>
        <w:ind w:firstLine="482"/>
        <w:rPr>
          <w:rFonts w:ascii="Times New Roman" w:eastAsia="宋体"/>
          <w:color w:val="auto"/>
        </w:rPr>
      </w:pPr>
      <w:r>
        <w:rPr>
          <w:rFonts w:hint="eastAsia" w:ascii="Times New Roman" w:eastAsia="宋体"/>
          <w:color w:val="auto"/>
        </w:rPr>
        <w:t>项目施工扰动地表，泥沙容易滚落，尤其是雨季，泥沙混交雨水容易流失，项目附近有自然冲沟季节性冲沟，最终汇入山龙太河。一般来说，施工过程中散落的泥沙，粗颗粒的部分沉降速度较大，将迅速的沉降到施工区附近的季节性冲沟中，细颗粒则容易随水流悬浮在水中，增加悬浮物含量，造成水体浑浊，进而影响水质。</w:t>
      </w:r>
    </w:p>
    <w:p>
      <w:pPr>
        <w:spacing w:line="360" w:lineRule="auto"/>
        <w:ind w:firstLine="482"/>
        <w:rPr>
          <w:rFonts w:ascii="Times New Roman" w:eastAsia="宋体"/>
          <w:color w:val="auto"/>
        </w:rPr>
      </w:pPr>
      <w:r>
        <w:rPr>
          <w:rFonts w:hint="eastAsia" w:ascii="Times New Roman" w:eastAsia="宋体"/>
          <w:color w:val="auto"/>
        </w:rPr>
        <w:t>（2）对农田和作物的影响</w:t>
      </w:r>
    </w:p>
    <w:p>
      <w:pPr>
        <w:spacing w:line="360" w:lineRule="auto"/>
        <w:ind w:firstLine="482"/>
        <w:rPr>
          <w:rFonts w:ascii="Times New Roman" w:eastAsia="宋体"/>
          <w:color w:val="auto"/>
        </w:rPr>
      </w:pPr>
      <w:r>
        <w:rPr>
          <w:rFonts w:hint="eastAsia" w:ascii="Times New Roman" w:eastAsia="宋体"/>
          <w:color w:val="auto"/>
        </w:rPr>
        <w:t>项目四周多为农田、林地，水土流失对农业用地的影响有两种方式，一种是降雨所侵蚀的泥沙直接流入农田，沉积下来，出现“砂压农田”情况，另一种是沉积在土壤中，使土壤肥力和结构发生变化，影响农作物生长。</w:t>
      </w:r>
    </w:p>
    <w:p>
      <w:pPr>
        <w:spacing w:line="360" w:lineRule="auto"/>
        <w:ind w:firstLine="482"/>
        <w:rPr>
          <w:rFonts w:ascii="Times New Roman" w:eastAsia="宋体"/>
          <w:color w:val="auto"/>
        </w:rPr>
      </w:pPr>
      <w:r>
        <w:rPr>
          <w:rFonts w:hint="eastAsia" w:ascii="Times New Roman" w:eastAsia="宋体"/>
          <w:color w:val="auto"/>
        </w:rPr>
        <w:t>（3）对村镇卫生的影响</w:t>
      </w:r>
    </w:p>
    <w:p>
      <w:pPr>
        <w:spacing w:line="360" w:lineRule="auto"/>
        <w:ind w:firstLine="483" w:firstLineChars="195"/>
        <w:rPr>
          <w:rFonts w:ascii="Times New Roman" w:eastAsia="宋体"/>
          <w:color w:val="auto"/>
        </w:rPr>
      </w:pPr>
      <w:r>
        <w:rPr>
          <w:rFonts w:hint="eastAsia" w:ascii="Times New Roman" w:eastAsia="宋体"/>
          <w:color w:val="auto"/>
        </w:rPr>
        <w:t>施工时产生的砂土在雨天也会随水流漫流到周围，被车流、人流“拖泥带水”带到各处，影响了道路及村镇卫生，也会对居民的出行和生活产生影响。就本项目而言，施工其泥沙会流失到施工道路上，由于本项目与周围村庄距离较远，故对村庄卫生环境的影响较小。</w:t>
      </w:r>
    </w:p>
    <w:p>
      <w:pPr>
        <w:spacing w:line="360" w:lineRule="auto"/>
        <w:ind w:firstLine="483" w:firstLineChars="195"/>
        <w:rPr>
          <w:rFonts w:ascii="Times New Roman" w:eastAsia="宋体"/>
          <w:color w:val="auto"/>
        </w:rPr>
      </w:pPr>
      <w:r>
        <w:rPr>
          <w:rFonts w:hint="eastAsia" w:ascii="Times New Roman" w:eastAsia="宋体"/>
          <w:color w:val="auto"/>
        </w:rPr>
        <w:t>根据对本项目水土流失影响的调查和分析，水土流失影响阶段主要是施工期，而且多是在施工废水无序排放以及雨天过后，因此建设单位应严格按照本项目水土保持方案中所提出的水土保持措施执行，只要合理安排施工时段，做好施工管理，避免在雨季进行基础开挖和回填，大雨时采取覆盖，并做到随挖随填随压的良好施工方法，可减小水土流失影响。施工期结束后尽快进行植被恢复增加水土保持的能力，可减轻或消除这些影响。。</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lang w:val="zh-CN"/>
        </w:rPr>
      </w:pPr>
      <w:bookmarkStart w:id="384" w:name="_Toc14969"/>
      <w:bookmarkStart w:id="385" w:name="_Toc397698078"/>
      <w:r>
        <w:rPr>
          <w:rFonts w:ascii="Times New Roman" w:hAnsi="Times New Roman" w:eastAsia="宋体"/>
          <w:color w:val="auto"/>
          <w:kern w:val="2"/>
          <w:sz w:val="28"/>
          <w:szCs w:val="28"/>
        </w:rPr>
        <w:t>5.2运营期环境影响预测与评价</w:t>
      </w:r>
      <w:bookmarkEnd w:id="384"/>
    </w:p>
    <w:p>
      <w:pPr>
        <w:pStyle w:val="4"/>
        <w:spacing w:before="0" w:after="0" w:line="360" w:lineRule="auto"/>
        <w:rPr>
          <w:rFonts w:ascii="Times New Roman" w:eastAsia="宋体"/>
          <w:b/>
          <w:bCs/>
          <w:color w:val="auto"/>
          <w:sz w:val="24"/>
        </w:rPr>
      </w:pPr>
      <w:bookmarkStart w:id="386" w:name="_Toc1776"/>
      <w:r>
        <w:rPr>
          <w:rFonts w:hint="eastAsia" w:ascii="Times New Roman" w:eastAsia="宋体"/>
          <w:b/>
          <w:bCs/>
          <w:color w:val="auto"/>
          <w:sz w:val="24"/>
        </w:rPr>
        <w:t>5.2.1</w:t>
      </w:r>
      <w:r>
        <w:rPr>
          <w:rFonts w:ascii="Times New Roman" w:eastAsia="宋体"/>
          <w:b/>
          <w:bCs/>
          <w:color w:val="auto"/>
          <w:sz w:val="24"/>
        </w:rPr>
        <w:t>大气环境影响分析</w:t>
      </w:r>
      <w:bookmarkEnd w:id="386"/>
    </w:p>
    <w:p>
      <w:pPr>
        <w:keepNext/>
        <w:keepLines/>
        <w:spacing w:before="160" w:after="163" w:line="360" w:lineRule="auto"/>
        <w:outlineLvl w:val="3"/>
        <w:rPr>
          <w:rFonts w:ascii="Times New Roman" w:eastAsia="宋体"/>
          <w:b/>
          <w:bCs/>
          <w:color w:val="auto"/>
          <w:kern w:val="2"/>
          <w:szCs w:val="28"/>
          <w:lang w:val="zh-CN"/>
        </w:rPr>
      </w:pPr>
      <w:r>
        <w:rPr>
          <w:rFonts w:hint="eastAsia" w:ascii="Times New Roman" w:eastAsia="宋体"/>
          <w:b/>
          <w:bCs/>
          <w:color w:val="auto"/>
          <w:kern w:val="2"/>
          <w:szCs w:val="28"/>
        </w:rPr>
        <w:t>5.2.1.1基</w:t>
      </w:r>
      <w:r>
        <w:rPr>
          <w:rFonts w:ascii="Times New Roman" w:eastAsia="宋体"/>
          <w:b/>
          <w:bCs/>
          <w:color w:val="auto"/>
          <w:kern w:val="2"/>
          <w:szCs w:val="28"/>
          <w:lang w:val="zh-CN"/>
        </w:rPr>
        <w:t>本气象资料</w:t>
      </w:r>
    </w:p>
    <w:p>
      <w:pPr>
        <w:spacing w:line="360" w:lineRule="auto"/>
        <w:ind w:firstLine="482"/>
        <w:rPr>
          <w:rFonts w:ascii="Times New Roman" w:eastAsia="宋体"/>
          <w:color w:val="auto"/>
          <w:lang w:val="zh-CN"/>
        </w:rPr>
      </w:pPr>
      <w:r>
        <w:rPr>
          <w:rFonts w:ascii="Times New Roman" w:eastAsia="宋体"/>
          <w:color w:val="auto"/>
          <w:lang w:val="zh-CN"/>
        </w:rPr>
        <w:t>（1）气象资料来源</w:t>
      </w:r>
    </w:p>
    <w:p>
      <w:pPr>
        <w:spacing w:line="360" w:lineRule="auto"/>
        <w:ind w:firstLine="482"/>
        <w:rPr>
          <w:rFonts w:ascii="Times New Roman" w:eastAsia="宋体"/>
          <w:color w:val="auto"/>
          <w:lang w:val="zh-CN"/>
        </w:rPr>
      </w:pPr>
      <w:r>
        <w:rPr>
          <w:rFonts w:ascii="Times New Roman" w:eastAsia="宋体"/>
          <w:color w:val="auto"/>
          <w:lang w:val="zh-CN"/>
        </w:rPr>
        <w:t>项目选址位于</w:t>
      </w:r>
      <w:r>
        <w:rPr>
          <w:rFonts w:hint="eastAsia" w:ascii="Times New Roman" w:eastAsia="宋体"/>
          <w:color w:val="auto"/>
        </w:rPr>
        <w:t>新墙镇新华村</w:t>
      </w:r>
      <w:r>
        <w:rPr>
          <w:rFonts w:ascii="Times New Roman" w:eastAsia="宋体"/>
          <w:color w:val="auto"/>
          <w:lang w:val="zh-CN"/>
        </w:rPr>
        <w:t>，岳阳县毗邻岳阳市区，岳阳市气象站位于岳阳市岳阳楼区岳阳市洞庭北路，北纬29°23′，东经113°05′，观测场海拔高度：51.6m。距本项目约38km，是最近的气象站，且地理特征相似，可以用作本项目气象资料使用，采用岳阳市气象站近20年来气象资料。</w:t>
      </w:r>
    </w:p>
    <w:p>
      <w:pPr>
        <w:spacing w:line="360" w:lineRule="auto"/>
        <w:ind w:firstLine="482"/>
        <w:rPr>
          <w:rFonts w:ascii="Times New Roman" w:eastAsia="宋体"/>
          <w:color w:val="auto"/>
          <w:lang w:val="zh-CN"/>
        </w:rPr>
      </w:pPr>
      <w:r>
        <w:rPr>
          <w:rFonts w:ascii="Times New Roman" w:eastAsia="宋体"/>
          <w:color w:val="auto"/>
          <w:lang w:val="zh-CN"/>
        </w:rPr>
        <w:t>（2）气候特征</w:t>
      </w:r>
    </w:p>
    <w:p>
      <w:pPr>
        <w:spacing w:line="360" w:lineRule="auto"/>
        <w:ind w:firstLine="482"/>
        <w:rPr>
          <w:rFonts w:ascii="Times New Roman" w:eastAsia="宋体"/>
          <w:color w:val="auto"/>
          <w:lang w:val="zh-CN"/>
        </w:rPr>
      </w:pPr>
      <w:r>
        <w:rPr>
          <w:rFonts w:ascii="Times New Roman" w:eastAsia="宋体"/>
          <w:color w:val="auto"/>
          <w:lang w:val="zh-CN"/>
        </w:rPr>
        <w:t>区域属亚热带湿润气候，冬季寒冷，夏季炎热，春季多雨，秋季干旱，四季分明，常年多雾。年平均气温为17.1℃；最高气温40.3℃；最低气温为-11.8℃。年平均相对湿度78%；年平均降雨量为1295.1mm；常年主导风向为NNE，频率为18%；冬季主导风向为NNE（22%），夏季主导风向为SSE（15%）。</w:t>
      </w:r>
    </w:p>
    <w:p>
      <w:pPr>
        <w:spacing w:line="360" w:lineRule="auto"/>
        <w:ind w:firstLine="482"/>
        <w:rPr>
          <w:rFonts w:ascii="Times New Roman" w:eastAsia="宋体"/>
          <w:color w:val="auto"/>
          <w:lang w:val="zh-CN"/>
        </w:rPr>
      </w:pPr>
      <w:r>
        <w:rPr>
          <w:rFonts w:ascii="Times New Roman" w:eastAsia="宋体"/>
          <w:color w:val="auto"/>
          <w:lang w:val="zh-CN"/>
        </w:rPr>
        <w:t>（3）地面气象要素</w:t>
      </w:r>
    </w:p>
    <w:p>
      <w:pPr>
        <w:spacing w:line="360" w:lineRule="auto"/>
        <w:ind w:firstLine="480"/>
        <w:rPr>
          <w:rFonts w:ascii="Times New Roman" w:eastAsia="宋体"/>
          <w:color w:val="auto"/>
          <w:kern w:val="2"/>
          <w:szCs w:val="24"/>
          <w:lang w:val="zh-CN"/>
        </w:rPr>
      </w:pPr>
      <w:r>
        <w:rPr>
          <w:rFonts w:ascii="Times New Roman" w:eastAsia="宋体"/>
          <w:color w:val="auto"/>
          <w:kern w:val="2"/>
          <w:szCs w:val="24"/>
          <w:lang w:val="zh-CN"/>
        </w:rPr>
        <w:t>表</w:t>
      </w:r>
      <w:r>
        <w:rPr>
          <w:rFonts w:hint="eastAsia" w:ascii="Times New Roman" w:eastAsia="宋体"/>
          <w:color w:val="auto"/>
          <w:kern w:val="2"/>
          <w:szCs w:val="24"/>
        </w:rPr>
        <w:t>5</w:t>
      </w:r>
      <w:r>
        <w:rPr>
          <w:rFonts w:hint="eastAsia" w:ascii="Times New Roman" w:eastAsia="宋体"/>
          <w:color w:val="auto"/>
          <w:kern w:val="2"/>
          <w:szCs w:val="24"/>
          <w:lang w:val="zh-CN"/>
        </w:rPr>
        <w:t>.2-1</w:t>
      </w:r>
      <w:r>
        <w:rPr>
          <w:rFonts w:ascii="Times New Roman" w:eastAsia="宋体"/>
          <w:color w:val="auto"/>
          <w:kern w:val="2"/>
          <w:szCs w:val="24"/>
          <w:lang w:val="zh-CN"/>
        </w:rPr>
        <w:t>给出了岳阳市气象站近20年的气温、气压、湿度、降水量、蒸发量等地面气象要素的统计结果。</w:t>
      </w:r>
    </w:p>
    <w:p>
      <w:pPr>
        <w:pStyle w:val="418"/>
        <w:rPr>
          <w:rFonts w:ascii="Times New Roman" w:hAnsi="Times New Roman" w:cs="黑体"/>
          <w:color w:val="auto"/>
        </w:rPr>
      </w:pPr>
      <w:bookmarkStart w:id="387" w:name="_Ref237162431"/>
      <w:r>
        <w:rPr>
          <w:rFonts w:hint="eastAsia" w:ascii="Times New Roman" w:hAnsi="Times New Roman" w:cs="黑体"/>
          <w:color w:val="auto"/>
        </w:rPr>
        <w:t>表</w:t>
      </w:r>
      <w:bookmarkEnd w:id="387"/>
      <w:r>
        <w:rPr>
          <w:rFonts w:hint="eastAsia" w:ascii="Times New Roman" w:hAnsi="Times New Roman" w:cs="黑体"/>
          <w:color w:val="auto"/>
        </w:rPr>
        <w:t>5.2-1  常规气象要素统计值</w:t>
      </w:r>
    </w:p>
    <w:tbl>
      <w:tblPr>
        <w:tblStyle w:val="4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149"/>
        <w:gridCol w:w="1459"/>
        <w:gridCol w:w="1363"/>
        <w:gridCol w:w="1497"/>
        <w:gridCol w:w="1411"/>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045" w:type="dxa"/>
            <w:tcBorders>
              <w:top w:val="single" w:color="auto" w:sz="12" w:space="0"/>
              <w:left w:val="single" w:color="auto" w:sz="12" w:space="0"/>
              <w:bottom w:val="single" w:color="auto" w:sz="4" w:space="0"/>
              <w:right w:val="single" w:color="auto" w:sz="4" w:space="0"/>
              <w:tl2br w:val="single" w:color="auto" w:sz="4" w:space="0"/>
            </w:tcBorders>
            <w:vAlign w:val="center"/>
          </w:tcPr>
          <w:p>
            <w:pPr>
              <w:pStyle w:val="387"/>
              <w:ind w:firstLine="218" w:firstLineChars="10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项目</w:t>
            </w:r>
          </w:p>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月份</w:t>
            </w:r>
          </w:p>
        </w:tc>
        <w:tc>
          <w:tcPr>
            <w:tcW w:w="1111" w:type="dxa"/>
            <w:tcBorders>
              <w:top w:val="single" w:color="auto" w:sz="12" w:space="0"/>
              <w:left w:val="single" w:color="auto" w:sz="4" w:space="0"/>
              <w:bottom w:val="single" w:color="auto" w:sz="4" w:space="0"/>
              <w:right w:val="single" w:color="auto"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平均气温℃</w:t>
            </w:r>
          </w:p>
        </w:tc>
        <w:tc>
          <w:tcPr>
            <w:tcW w:w="1411" w:type="dxa"/>
            <w:tcBorders>
              <w:top w:val="single" w:color="auto" w:sz="12" w:space="0"/>
              <w:left w:val="single" w:color="auto" w:sz="4" w:space="0"/>
              <w:bottom w:val="single" w:color="auto" w:sz="4" w:space="0"/>
              <w:right w:val="single" w:color="auto" w:sz="4" w:space="0"/>
            </w:tcBorders>
            <w:vAlign w:val="center"/>
          </w:tcPr>
          <w:p>
            <w:pPr>
              <w:pStyle w:val="387"/>
              <w:ind w:firstLine="0"/>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平均气压hpa</w:t>
            </w:r>
          </w:p>
        </w:tc>
        <w:tc>
          <w:tcPr>
            <w:tcW w:w="1318" w:type="dxa"/>
            <w:tcBorders>
              <w:top w:val="single" w:color="auto" w:sz="12" w:space="0"/>
              <w:left w:val="single" w:color="auto" w:sz="4" w:space="0"/>
              <w:bottom w:val="single" w:color="auto" w:sz="4" w:space="0"/>
              <w:right w:val="single" w:color="auto"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平均相对湿度%</w:t>
            </w:r>
          </w:p>
        </w:tc>
        <w:tc>
          <w:tcPr>
            <w:tcW w:w="1448" w:type="dxa"/>
            <w:tcBorders>
              <w:top w:val="single" w:color="auto" w:sz="12" w:space="0"/>
              <w:left w:val="single" w:color="auto" w:sz="4" w:space="0"/>
              <w:bottom w:val="single" w:color="auto" w:sz="4" w:space="0"/>
              <w:right w:val="single" w:color="auto"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平均降水量mm</w:t>
            </w:r>
          </w:p>
        </w:tc>
        <w:tc>
          <w:tcPr>
            <w:tcW w:w="1365" w:type="dxa"/>
            <w:tcBorders>
              <w:top w:val="single" w:color="auto" w:sz="12" w:space="0"/>
              <w:left w:val="single" w:color="auto" w:sz="4" w:space="0"/>
              <w:bottom w:val="single" w:color="auto" w:sz="4" w:space="0"/>
              <w:right w:val="single" w:color="auto"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平均蒸发量mm</w:t>
            </w:r>
          </w:p>
        </w:tc>
        <w:tc>
          <w:tcPr>
            <w:tcW w:w="1076" w:type="dxa"/>
            <w:tcBorders>
              <w:top w:val="single" w:color="auto" w:sz="12" w:space="0"/>
              <w:left w:val="single" w:color="auto" w:sz="4" w:space="0"/>
              <w:bottom w:val="single" w:color="auto" w:sz="4" w:space="0"/>
              <w:right w:val="single" w:color="auto" w:sz="12"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平均风速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5.3</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985.9</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85</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79.3</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45.1</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7.1</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983.6</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85</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110.5</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51.3</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3</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11.1</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980.4</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86</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151.4</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73.9</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4</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17.5</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976.2</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83</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190.1</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113.0</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5</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22.0</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972.9</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82</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212.7</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142.0</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6</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25.7</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969.2</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80</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175.4</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179.2</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28.2</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968.3</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72</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116.8</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252.0</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27.2</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969.2</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77</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155.5</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203.9</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23.5</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975.0</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80</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82.0</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137.1</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10</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18.4</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980.7</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80</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91.2</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107.9</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11</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12.9</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984.5</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78</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62.6</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79.6</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Borders>
              <w:top w:val="single" w:color="auto" w:sz="4" w:space="0"/>
              <w:left w:val="single" w:color="auto" w:sz="12"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12</w:t>
            </w:r>
          </w:p>
        </w:tc>
        <w:tc>
          <w:tcPr>
            <w:tcW w:w="11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7.9</w:t>
            </w:r>
          </w:p>
        </w:tc>
        <w:tc>
          <w:tcPr>
            <w:tcW w:w="1411"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986.6</w:t>
            </w:r>
          </w:p>
        </w:tc>
        <w:tc>
          <w:tcPr>
            <w:tcW w:w="131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78</w:t>
            </w:r>
          </w:p>
        </w:tc>
        <w:tc>
          <w:tcPr>
            <w:tcW w:w="1448"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44.1</w:t>
            </w:r>
          </w:p>
        </w:tc>
        <w:tc>
          <w:tcPr>
            <w:tcW w:w="1365" w:type="dxa"/>
            <w:tcBorders>
              <w:top w:val="single" w:color="auto" w:sz="4" w:space="0"/>
              <w:left w:val="single" w:color="auto" w:sz="4" w:space="0"/>
              <w:bottom w:val="single" w:color="auto" w:sz="4"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64.5</w:t>
            </w:r>
          </w:p>
        </w:tc>
        <w:tc>
          <w:tcPr>
            <w:tcW w:w="1076" w:type="dxa"/>
            <w:tcBorders>
              <w:top w:val="single" w:color="auto" w:sz="4" w:space="0"/>
              <w:left w:val="single" w:color="auto" w:sz="4" w:space="0"/>
              <w:bottom w:val="single" w:color="auto" w:sz="4"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45" w:type="dxa"/>
            <w:tcBorders>
              <w:top w:val="single" w:color="auto" w:sz="4" w:space="0"/>
              <w:left w:val="single" w:color="auto" w:sz="12" w:space="0"/>
              <w:bottom w:val="single" w:color="auto" w:sz="12" w:space="0"/>
              <w:right w:val="single" w:color="auto" w:sz="4" w:space="0"/>
            </w:tcBorders>
            <w:vAlign w:val="center"/>
          </w:tcPr>
          <w:p>
            <w:pPr>
              <w:pStyle w:val="387"/>
              <w:ind w:firstLine="0"/>
              <w:jc w:val="center"/>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全年</w:t>
            </w:r>
          </w:p>
        </w:tc>
        <w:tc>
          <w:tcPr>
            <w:tcW w:w="1111" w:type="dxa"/>
            <w:tcBorders>
              <w:top w:val="single" w:color="auto" w:sz="4" w:space="0"/>
              <w:left w:val="single" w:color="auto" w:sz="4" w:space="0"/>
              <w:bottom w:val="single" w:color="auto" w:sz="12"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17.2</w:t>
            </w:r>
          </w:p>
        </w:tc>
        <w:tc>
          <w:tcPr>
            <w:tcW w:w="1411" w:type="dxa"/>
            <w:tcBorders>
              <w:top w:val="single" w:color="auto" w:sz="4" w:space="0"/>
              <w:left w:val="single" w:color="auto" w:sz="4" w:space="0"/>
              <w:bottom w:val="single" w:color="auto" w:sz="12"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977.7</w:t>
            </w:r>
          </w:p>
        </w:tc>
        <w:tc>
          <w:tcPr>
            <w:tcW w:w="1318" w:type="dxa"/>
            <w:tcBorders>
              <w:top w:val="single" w:color="auto" w:sz="4" w:space="0"/>
              <w:left w:val="single" w:color="auto" w:sz="4" w:space="0"/>
              <w:bottom w:val="single" w:color="auto" w:sz="12"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81</w:t>
            </w:r>
          </w:p>
        </w:tc>
        <w:tc>
          <w:tcPr>
            <w:tcW w:w="1448" w:type="dxa"/>
            <w:tcBorders>
              <w:top w:val="single" w:color="auto" w:sz="4" w:space="0"/>
              <w:left w:val="single" w:color="auto" w:sz="4" w:space="0"/>
              <w:bottom w:val="single" w:color="auto" w:sz="12"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1471.7</w:t>
            </w:r>
          </w:p>
        </w:tc>
        <w:tc>
          <w:tcPr>
            <w:tcW w:w="1365" w:type="dxa"/>
            <w:tcBorders>
              <w:top w:val="single" w:color="auto" w:sz="4" w:space="0"/>
              <w:left w:val="single" w:color="auto" w:sz="4" w:space="0"/>
              <w:bottom w:val="single" w:color="auto" w:sz="12" w:space="0"/>
              <w:right w:val="single" w:color="auto" w:sz="4"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1449.5</w:t>
            </w:r>
          </w:p>
        </w:tc>
        <w:tc>
          <w:tcPr>
            <w:tcW w:w="1076" w:type="dxa"/>
            <w:tcBorders>
              <w:top w:val="single" w:color="auto" w:sz="4" w:space="0"/>
              <w:left w:val="single" w:color="auto" w:sz="4" w:space="0"/>
              <w:bottom w:val="single" w:color="auto" w:sz="12" w:space="0"/>
              <w:right w:val="single" w:color="auto" w:sz="12" w:space="0"/>
            </w:tcBorders>
            <w:vAlign w:val="center"/>
          </w:tcPr>
          <w:p>
            <w:pPr>
              <w:pStyle w:val="387"/>
              <w:rPr>
                <w:rFonts w:ascii="Times New Roman" w:hAnsi="Times New Roman" w:eastAsia="宋体" w:cs="宋体"/>
                <w:color w:val="auto"/>
                <w:sz w:val="21"/>
                <w:szCs w:val="21"/>
              </w:rPr>
            </w:pPr>
            <w:r>
              <w:rPr>
                <w:rFonts w:hint="eastAsia" w:ascii="Times New Roman" w:hAnsi="Times New Roman" w:eastAsia="宋体" w:cs="宋体"/>
                <w:color w:val="auto"/>
                <w:sz w:val="21"/>
                <w:szCs w:val="21"/>
              </w:rPr>
              <w:t>2.9</w:t>
            </w:r>
          </w:p>
        </w:tc>
      </w:tr>
    </w:tbl>
    <w:p>
      <w:pPr>
        <w:spacing w:line="360" w:lineRule="auto"/>
        <w:ind w:firstLine="482"/>
        <w:rPr>
          <w:rFonts w:ascii="Times New Roman" w:eastAsia="宋体"/>
          <w:color w:val="auto"/>
          <w:lang w:val="zh-CN"/>
        </w:rPr>
      </w:pPr>
      <w:r>
        <w:rPr>
          <w:rFonts w:ascii="Times New Roman" w:eastAsia="宋体"/>
          <w:color w:val="auto"/>
          <w:lang w:val="zh-CN"/>
        </w:rPr>
        <w:t>（4）风速、风向</w:t>
      </w:r>
    </w:p>
    <w:p>
      <w:pPr>
        <w:spacing w:line="360" w:lineRule="auto"/>
        <w:ind w:firstLine="480"/>
        <w:rPr>
          <w:rFonts w:ascii="Times New Roman" w:eastAsia="宋体"/>
          <w:color w:val="auto"/>
          <w:kern w:val="2"/>
          <w:szCs w:val="24"/>
          <w:lang w:val="zh-CN"/>
        </w:rPr>
      </w:pPr>
      <w:r>
        <w:rPr>
          <w:rFonts w:ascii="Times New Roman" w:eastAsia="宋体"/>
          <w:color w:val="auto"/>
          <w:kern w:val="2"/>
          <w:szCs w:val="24"/>
          <w:lang w:val="zh-CN"/>
        </w:rPr>
        <w:t>表</w:t>
      </w:r>
      <w:r>
        <w:rPr>
          <w:rFonts w:hint="eastAsia" w:ascii="Times New Roman" w:eastAsia="宋体"/>
          <w:color w:val="auto"/>
          <w:kern w:val="2"/>
          <w:szCs w:val="24"/>
        </w:rPr>
        <w:t>5</w:t>
      </w:r>
      <w:r>
        <w:rPr>
          <w:rFonts w:ascii="Times New Roman" w:eastAsia="宋体"/>
          <w:color w:val="auto"/>
          <w:kern w:val="2"/>
          <w:szCs w:val="24"/>
          <w:lang w:val="zh-CN"/>
        </w:rPr>
        <w:t>.2-2是岳阳市气象站近20年来风向频率统计表，图6.2-1是相应的风向频率玫瑰图。</w:t>
      </w:r>
    </w:p>
    <w:tbl>
      <w:tblPr>
        <w:tblStyle w:val="47"/>
        <w:tblpPr w:leftFromText="180" w:rightFromText="180" w:vertAnchor="text" w:horzAnchor="page" w:tblpX="1506" w:tblpY="479"/>
        <w:tblOverlap w:val="never"/>
        <w:tblW w:w="9071" w:type="dxa"/>
        <w:tblInd w:w="0" w:type="dxa"/>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Layout w:type="fixed"/>
        <w:tblCellMar>
          <w:top w:w="0" w:type="dxa"/>
          <w:left w:w="108" w:type="dxa"/>
          <w:bottom w:w="0" w:type="dxa"/>
          <w:right w:w="108" w:type="dxa"/>
        </w:tblCellMar>
      </w:tblPr>
      <w:tblGrid>
        <w:gridCol w:w="403"/>
        <w:gridCol w:w="482"/>
        <w:gridCol w:w="518"/>
        <w:gridCol w:w="465"/>
        <w:gridCol w:w="577"/>
        <w:gridCol w:w="332"/>
        <w:gridCol w:w="547"/>
        <w:gridCol w:w="435"/>
        <w:gridCol w:w="537"/>
        <w:gridCol w:w="323"/>
        <w:gridCol w:w="598"/>
        <w:gridCol w:w="495"/>
        <w:gridCol w:w="668"/>
        <w:gridCol w:w="495"/>
        <w:gridCol w:w="668"/>
        <w:gridCol w:w="526"/>
        <w:gridCol w:w="658"/>
        <w:gridCol w:w="344"/>
      </w:tblGrid>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21" w:hRule="atLeast"/>
        </w:trPr>
        <w:tc>
          <w:tcPr>
            <w:tcW w:w="403" w:type="dxa"/>
            <w:tcBorders>
              <w:top w:val="single" w:color="auto" w:sz="12" w:space="0"/>
              <w:left w:val="single" w:color="auto" w:sz="12" w:space="0"/>
              <w:bottom w:val="single" w:color="000000" w:sz="6" w:space="0"/>
              <w:right w:val="single" w:color="000000" w:sz="6" w:space="0"/>
            </w:tcBorders>
            <w:vAlign w:val="center"/>
          </w:tcPr>
          <w:p>
            <w:pPr>
              <w:snapToGrid w:val="0"/>
              <w:spacing w:after="120"/>
              <w:jc w:val="center"/>
              <w:textAlignment w:val="center"/>
              <w:rPr>
                <w:rFonts w:ascii="Times New Roman" w:eastAsia="宋体"/>
                <w:color w:val="auto"/>
                <w:sz w:val="21"/>
                <w:szCs w:val="21"/>
              </w:rPr>
            </w:pPr>
            <w:r>
              <w:rPr>
                <w:rFonts w:ascii="Times New Roman" w:eastAsia="宋体"/>
                <w:color w:val="auto"/>
                <w:sz w:val="21"/>
                <w:szCs w:val="21"/>
              </w:rPr>
              <w:t>时间</w:t>
            </w:r>
          </w:p>
        </w:tc>
        <w:tc>
          <w:tcPr>
            <w:tcW w:w="482"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N</w:t>
            </w:r>
          </w:p>
        </w:tc>
        <w:tc>
          <w:tcPr>
            <w:tcW w:w="518"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NNE</w:t>
            </w:r>
          </w:p>
        </w:tc>
        <w:tc>
          <w:tcPr>
            <w:tcW w:w="465"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NE</w:t>
            </w:r>
          </w:p>
        </w:tc>
        <w:tc>
          <w:tcPr>
            <w:tcW w:w="577"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ENE</w:t>
            </w:r>
          </w:p>
        </w:tc>
        <w:tc>
          <w:tcPr>
            <w:tcW w:w="332"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E</w:t>
            </w:r>
          </w:p>
        </w:tc>
        <w:tc>
          <w:tcPr>
            <w:tcW w:w="547"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ESE</w:t>
            </w:r>
          </w:p>
        </w:tc>
        <w:tc>
          <w:tcPr>
            <w:tcW w:w="435"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SE</w:t>
            </w:r>
          </w:p>
        </w:tc>
        <w:tc>
          <w:tcPr>
            <w:tcW w:w="537"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SSE</w:t>
            </w:r>
          </w:p>
        </w:tc>
        <w:tc>
          <w:tcPr>
            <w:tcW w:w="323"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S</w:t>
            </w:r>
          </w:p>
        </w:tc>
        <w:tc>
          <w:tcPr>
            <w:tcW w:w="598"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SSW</w:t>
            </w:r>
          </w:p>
        </w:tc>
        <w:tc>
          <w:tcPr>
            <w:tcW w:w="495"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SW</w:t>
            </w:r>
          </w:p>
        </w:tc>
        <w:tc>
          <w:tcPr>
            <w:tcW w:w="668"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WSW</w:t>
            </w:r>
          </w:p>
        </w:tc>
        <w:tc>
          <w:tcPr>
            <w:tcW w:w="495"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SW</w:t>
            </w:r>
          </w:p>
        </w:tc>
        <w:tc>
          <w:tcPr>
            <w:tcW w:w="668"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WSW</w:t>
            </w:r>
          </w:p>
        </w:tc>
        <w:tc>
          <w:tcPr>
            <w:tcW w:w="526"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NW</w:t>
            </w:r>
          </w:p>
        </w:tc>
        <w:tc>
          <w:tcPr>
            <w:tcW w:w="658" w:type="dxa"/>
            <w:tcBorders>
              <w:top w:val="single" w:color="auto" w:sz="12"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NNW</w:t>
            </w:r>
          </w:p>
        </w:tc>
        <w:tc>
          <w:tcPr>
            <w:tcW w:w="344" w:type="dxa"/>
            <w:tcBorders>
              <w:top w:val="single" w:color="auto" w:sz="12" w:space="0"/>
              <w:left w:val="single" w:color="000000" w:sz="6" w:space="0"/>
              <w:bottom w:val="single" w:color="000000" w:sz="6"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C</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103" w:hRule="atLeast"/>
        </w:trPr>
        <w:tc>
          <w:tcPr>
            <w:tcW w:w="403" w:type="dxa"/>
            <w:tcBorders>
              <w:top w:val="single" w:color="000000" w:sz="6" w:space="0"/>
              <w:left w:val="single" w:color="auto" w:sz="12"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春</w:t>
            </w:r>
          </w:p>
        </w:tc>
        <w:tc>
          <w:tcPr>
            <w:tcW w:w="48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11</w:t>
            </w:r>
          </w:p>
        </w:tc>
        <w:tc>
          <w:tcPr>
            <w:tcW w:w="51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17</w:t>
            </w:r>
          </w:p>
        </w:tc>
        <w:tc>
          <w:tcPr>
            <w:tcW w:w="46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15</w:t>
            </w:r>
          </w:p>
        </w:tc>
        <w:tc>
          <w:tcPr>
            <w:tcW w:w="57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w:t>
            </w:r>
          </w:p>
        </w:tc>
        <w:tc>
          <w:tcPr>
            <w:tcW w:w="33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54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43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8</w:t>
            </w:r>
          </w:p>
        </w:tc>
        <w:tc>
          <w:tcPr>
            <w:tcW w:w="53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w:t>
            </w:r>
          </w:p>
        </w:tc>
        <w:tc>
          <w:tcPr>
            <w:tcW w:w="323"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59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0</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7</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526"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65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344" w:type="dxa"/>
            <w:tcBorders>
              <w:top w:val="single" w:color="000000" w:sz="6" w:space="0"/>
              <w:left w:val="single" w:color="000000" w:sz="6" w:space="0"/>
              <w:bottom w:val="single" w:color="000000" w:sz="6"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9</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21" w:hRule="atLeast"/>
        </w:trPr>
        <w:tc>
          <w:tcPr>
            <w:tcW w:w="403" w:type="dxa"/>
            <w:tcBorders>
              <w:top w:val="single" w:color="000000" w:sz="6" w:space="0"/>
              <w:left w:val="single" w:color="auto" w:sz="12"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夏</w:t>
            </w:r>
          </w:p>
        </w:tc>
        <w:tc>
          <w:tcPr>
            <w:tcW w:w="48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13</w:t>
            </w:r>
          </w:p>
        </w:tc>
        <w:tc>
          <w:tcPr>
            <w:tcW w:w="51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8</w:t>
            </w:r>
          </w:p>
        </w:tc>
        <w:tc>
          <w:tcPr>
            <w:tcW w:w="46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8</w:t>
            </w:r>
          </w:p>
        </w:tc>
        <w:tc>
          <w:tcPr>
            <w:tcW w:w="57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33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54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43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7</w:t>
            </w:r>
          </w:p>
        </w:tc>
        <w:tc>
          <w:tcPr>
            <w:tcW w:w="53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15</w:t>
            </w:r>
          </w:p>
        </w:tc>
        <w:tc>
          <w:tcPr>
            <w:tcW w:w="323"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59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7</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526"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65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344" w:type="dxa"/>
            <w:tcBorders>
              <w:top w:val="single" w:color="000000" w:sz="6" w:space="0"/>
              <w:left w:val="single" w:color="000000" w:sz="6" w:space="0"/>
              <w:bottom w:val="single" w:color="000000" w:sz="6"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8</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21" w:hRule="atLeast"/>
        </w:trPr>
        <w:tc>
          <w:tcPr>
            <w:tcW w:w="403" w:type="dxa"/>
            <w:tcBorders>
              <w:top w:val="single" w:color="000000" w:sz="6" w:space="0"/>
              <w:left w:val="single" w:color="auto" w:sz="12"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秋</w:t>
            </w:r>
          </w:p>
        </w:tc>
        <w:tc>
          <w:tcPr>
            <w:tcW w:w="48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14</w:t>
            </w:r>
          </w:p>
        </w:tc>
        <w:tc>
          <w:tcPr>
            <w:tcW w:w="51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20</w:t>
            </w:r>
          </w:p>
        </w:tc>
        <w:tc>
          <w:tcPr>
            <w:tcW w:w="46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18</w:t>
            </w:r>
          </w:p>
        </w:tc>
        <w:tc>
          <w:tcPr>
            <w:tcW w:w="57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33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54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w:t>
            </w:r>
          </w:p>
        </w:tc>
        <w:tc>
          <w:tcPr>
            <w:tcW w:w="43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53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323"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59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0</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526"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65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w:t>
            </w:r>
          </w:p>
        </w:tc>
        <w:tc>
          <w:tcPr>
            <w:tcW w:w="344" w:type="dxa"/>
            <w:tcBorders>
              <w:top w:val="single" w:color="000000" w:sz="6" w:space="0"/>
              <w:left w:val="single" w:color="000000" w:sz="6" w:space="0"/>
              <w:bottom w:val="single" w:color="000000" w:sz="6"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21" w:hRule="atLeast"/>
        </w:trPr>
        <w:tc>
          <w:tcPr>
            <w:tcW w:w="403" w:type="dxa"/>
            <w:tcBorders>
              <w:top w:val="single" w:color="000000" w:sz="6" w:space="0"/>
              <w:left w:val="single" w:color="auto" w:sz="12"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冬</w:t>
            </w:r>
          </w:p>
        </w:tc>
        <w:tc>
          <w:tcPr>
            <w:tcW w:w="48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9</w:t>
            </w:r>
          </w:p>
        </w:tc>
        <w:tc>
          <w:tcPr>
            <w:tcW w:w="51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22</w:t>
            </w:r>
          </w:p>
        </w:tc>
        <w:tc>
          <w:tcPr>
            <w:tcW w:w="46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17</w:t>
            </w:r>
          </w:p>
        </w:tc>
        <w:tc>
          <w:tcPr>
            <w:tcW w:w="57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11</w:t>
            </w:r>
          </w:p>
        </w:tc>
        <w:tc>
          <w:tcPr>
            <w:tcW w:w="332"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54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43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537"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323"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59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495"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66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526"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658" w:type="dxa"/>
            <w:tcBorders>
              <w:top w:val="single" w:color="000000" w:sz="6" w:space="0"/>
              <w:left w:val="single" w:color="000000" w:sz="6" w:space="0"/>
              <w:bottom w:val="single" w:color="000000" w:sz="6"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w:t>
            </w:r>
          </w:p>
        </w:tc>
        <w:tc>
          <w:tcPr>
            <w:tcW w:w="344" w:type="dxa"/>
            <w:tcBorders>
              <w:top w:val="single" w:color="000000" w:sz="6" w:space="0"/>
              <w:left w:val="single" w:color="000000" w:sz="6" w:space="0"/>
              <w:bottom w:val="single" w:color="000000" w:sz="6"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rPr>
          <w:trHeight w:val="21" w:hRule="atLeast"/>
        </w:trPr>
        <w:tc>
          <w:tcPr>
            <w:tcW w:w="403" w:type="dxa"/>
            <w:tcBorders>
              <w:top w:val="single" w:color="000000" w:sz="6" w:space="0"/>
              <w:left w:val="single" w:color="auto" w:sz="12"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全年</w:t>
            </w:r>
          </w:p>
        </w:tc>
        <w:tc>
          <w:tcPr>
            <w:tcW w:w="482"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11</w:t>
            </w:r>
          </w:p>
        </w:tc>
        <w:tc>
          <w:tcPr>
            <w:tcW w:w="518"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18</w:t>
            </w:r>
          </w:p>
        </w:tc>
        <w:tc>
          <w:tcPr>
            <w:tcW w:w="465"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16</w:t>
            </w:r>
          </w:p>
        </w:tc>
        <w:tc>
          <w:tcPr>
            <w:tcW w:w="577"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332"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547"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435"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537"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w:t>
            </w:r>
          </w:p>
        </w:tc>
        <w:tc>
          <w:tcPr>
            <w:tcW w:w="323"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598"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495"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w:t>
            </w:r>
          </w:p>
        </w:tc>
        <w:tc>
          <w:tcPr>
            <w:tcW w:w="668"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w:t>
            </w:r>
          </w:p>
        </w:tc>
        <w:tc>
          <w:tcPr>
            <w:tcW w:w="495"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668"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w:t>
            </w:r>
          </w:p>
        </w:tc>
        <w:tc>
          <w:tcPr>
            <w:tcW w:w="526"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w:t>
            </w:r>
          </w:p>
        </w:tc>
        <w:tc>
          <w:tcPr>
            <w:tcW w:w="658" w:type="dxa"/>
            <w:tcBorders>
              <w:top w:val="single" w:color="000000" w:sz="6" w:space="0"/>
              <w:left w:val="single" w:color="000000" w:sz="6" w:space="0"/>
              <w:bottom w:val="single" w:color="auto" w:sz="12" w:space="0"/>
              <w:right w:val="single" w:color="000000" w:sz="6"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w:t>
            </w:r>
          </w:p>
        </w:tc>
        <w:tc>
          <w:tcPr>
            <w:tcW w:w="344" w:type="dxa"/>
            <w:tcBorders>
              <w:top w:val="single" w:color="000000" w:sz="6" w:space="0"/>
              <w:left w:val="single" w:color="000000" w:sz="6" w:space="0"/>
              <w:bottom w:val="single" w:color="auto" w:sz="12"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8</w:t>
            </w:r>
          </w:p>
        </w:tc>
      </w:tr>
    </w:tbl>
    <w:p>
      <w:pPr>
        <w:spacing w:line="360" w:lineRule="auto"/>
        <w:jc w:val="center"/>
        <w:rPr>
          <w:rFonts w:ascii="Times New Roman" w:eastAsia="黑体"/>
          <w:color w:val="auto"/>
          <w:sz w:val="20"/>
        </w:rPr>
      </w:pPr>
      <w:r>
        <w:rPr>
          <w:rFonts w:ascii="Times New Roman" w:eastAsia="黑体"/>
          <w:color w:val="auto"/>
          <w:sz w:val="20"/>
        </w:rPr>
        <w:t>表</w:t>
      </w:r>
      <w:r>
        <w:rPr>
          <w:rFonts w:hint="eastAsia" w:ascii="Times New Roman" w:eastAsia="黑体"/>
          <w:color w:val="auto"/>
          <w:sz w:val="20"/>
        </w:rPr>
        <w:t>5</w:t>
      </w:r>
      <w:r>
        <w:rPr>
          <w:rFonts w:ascii="Times New Roman" w:eastAsia="黑体"/>
          <w:color w:val="auto"/>
          <w:sz w:val="20"/>
        </w:rPr>
        <w:t>.2-2 岳阳市气象站全年及四季风向频率（%）分布</w:t>
      </w:r>
    </w:p>
    <w:p>
      <w:pPr>
        <w:adjustRightInd w:val="0"/>
        <w:snapToGrid w:val="0"/>
        <w:spacing w:line="360" w:lineRule="auto"/>
        <w:ind w:firstLine="436" w:firstLineChars="200"/>
        <w:jc w:val="center"/>
        <w:rPr>
          <w:rFonts w:ascii="Times New Roman" w:eastAsia="黑体"/>
          <w:color w:val="auto"/>
          <w:kern w:val="2"/>
          <w:sz w:val="21"/>
          <w:szCs w:val="21"/>
        </w:rPr>
      </w:pPr>
      <w:r>
        <w:rPr>
          <w:rFonts w:ascii="Times New Roman" w:eastAsia="黑体"/>
          <w:color w:val="auto"/>
          <w:kern w:val="2"/>
          <w:sz w:val="21"/>
          <w:szCs w:val="21"/>
        </w:rPr>
        <w:drawing>
          <wp:inline distT="0" distB="0" distL="114300" distR="114300">
            <wp:extent cx="3039110" cy="2966720"/>
            <wp:effectExtent l="0" t="0" r="8890" b="5080"/>
            <wp:docPr id="135" name="图片 13" descr="岳阳市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descr="岳阳市风玫瑰图"/>
                    <pic:cNvPicPr>
                      <a:picLocks noChangeAspect="1"/>
                    </pic:cNvPicPr>
                  </pic:nvPicPr>
                  <pic:blipFill>
                    <a:blip r:embed="rId38"/>
                    <a:stretch>
                      <a:fillRect/>
                    </a:stretch>
                  </pic:blipFill>
                  <pic:spPr>
                    <a:xfrm>
                      <a:off x="0" y="0"/>
                      <a:ext cx="3039110" cy="2966720"/>
                    </a:xfrm>
                    <a:prstGeom prst="rect">
                      <a:avLst/>
                    </a:prstGeom>
                    <a:noFill/>
                    <a:ln>
                      <a:noFill/>
                    </a:ln>
                  </pic:spPr>
                </pic:pic>
              </a:graphicData>
            </a:graphic>
          </wp:inline>
        </w:drawing>
      </w:r>
    </w:p>
    <w:p>
      <w:pPr>
        <w:pStyle w:val="17"/>
        <w:ind w:firstLine="420"/>
        <w:jc w:val="center"/>
        <w:rPr>
          <w:rFonts w:ascii="Times New Roman" w:hAnsi="Times New Roman"/>
          <w:color w:val="auto"/>
          <w:sz w:val="21"/>
          <w:szCs w:val="21"/>
        </w:rPr>
      </w:pPr>
      <w:r>
        <w:rPr>
          <w:rFonts w:ascii="Times New Roman" w:hAnsi="Times New Roman"/>
          <w:color w:val="auto"/>
          <w:sz w:val="21"/>
          <w:szCs w:val="21"/>
        </w:rPr>
        <w:drawing>
          <wp:inline distT="0" distB="0" distL="114300" distR="114300">
            <wp:extent cx="3039110" cy="2966720"/>
            <wp:effectExtent l="0" t="0" r="8890" b="5080"/>
            <wp:docPr id="134" name="图片 8" descr="岳阳市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8" descr="岳阳市风玫瑰图"/>
                    <pic:cNvPicPr>
                      <a:picLocks noChangeAspect="1"/>
                    </pic:cNvPicPr>
                  </pic:nvPicPr>
                  <pic:blipFill>
                    <a:blip r:embed="rId38"/>
                    <a:stretch>
                      <a:fillRect/>
                    </a:stretch>
                  </pic:blipFill>
                  <pic:spPr>
                    <a:xfrm>
                      <a:off x="0" y="0"/>
                      <a:ext cx="3039110" cy="2966720"/>
                    </a:xfrm>
                    <a:prstGeom prst="rect">
                      <a:avLst/>
                    </a:prstGeom>
                    <a:noFill/>
                    <a:ln>
                      <a:noFill/>
                    </a:ln>
                  </pic:spPr>
                </pic:pic>
              </a:graphicData>
            </a:graphic>
          </wp:inline>
        </w:drawing>
      </w:r>
    </w:p>
    <w:p>
      <w:pPr>
        <w:ind w:firstLine="482"/>
        <w:jc w:val="center"/>
        <w:rPr>
          <w:rFonts w:ascii="Times New Roman"/>
          <w:b/>
          <w:bCs/>
          <w:color w:val="auto"/>
        </w:rPr>
      </w:pPr>
      <w:bookmarkStart w:id="388" w:name="_Ref237162563"/>
      <w:r>
        <w:rPr>
          <w:rFonts w:ascii="Times New Roman"/>
          <w:b/>
          <w:bCs/>
          <w:color w:val="auto"/>
        </w:rPr>
        <w:t>图</w:t>
      </w:r>
      <w:bookmarkEnd w:id="388"/>
      <w:r>
        <w:rPr>
          <w:rFonts w:hint="eastAsia" w:ascii="Times New Roman"/>
          <w:b/>
          <w:bCs/>
          <w:color w:val="auto"/>
        </w:rPr>
        <w:t>5</w:t>
      </w:r>
      <w:r>
        <w:rPr>
          <w:rFonts w:ascii="Times New Roman"/>
          <w:b/>
          <w:bCs/>
          <w:color w:val="auto"/>
        </w:rPr>
        <w:t>.2-1   岳阳全年及四季风频玫瑰图</w:t>
      </w:r>
    </w:p>
    <w:p>
      <w:pPr>
        <w:spacing w:line="360" w:lineRule="auto"/>
        <w:jc w:val="center"/>
        <w:rPr>
          <w:rFonts w:ascii="Times New Roman" w:eastAsia="黑体"/>
          <w:color w:val="auto"/>
          <w:sz w:val="20"/>
        </w:rPr>
      </w:pPr>
      <w:r>
        <w:rPr>
          <w:rFonts w:ascii="Times New Roman" w:eastAsia="黑体"/>
          <w:color w:val="auto"/>
          <w:sz w:val="20"/>
        </w:rPr>
        <w:t>表</w:t>
      </w:r>
      <w:r>
        <w:rPr>
          <w:rFonts w:hint="eastAsia" w:ascii="Times New Roman" w:eastAsia="黑体"/>
          <w:color w:val="auto"/>
          <w:sz w:val="20"/>
        </w:rPr>
        <w:t>5</w:t>
      </w:r>
      <w:r>
        <w:rPr>
          <w:rFonts w:ascii="Times New Roman" w:eastAsia="黑体"/>
          <w:color w:val="auto"/>
          <w:sz w:val="20"/>
        </w:rPr>
        <w:t>.2-3  岳阳市气象站近20年风速统计（单位：m/s）</w:t>
      </w:r>
    </w:p>
    <w:tbl>
      <w:tblPr>
        <w:tblStyle w:val="4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575"/>
        <w:gridCol w:w="575"/>
        <w:gridCol w:w="575"/>
        <w:gridCol w:w="574"/>
        <w:gridCol w:w="574"/>
        <w:gridCol w:w="574"/>
        <w:gridCol w:w="574"/>
        <w:gridCol w:w="574"/>
        <w:gridCol w:w="574"/>
        <w:gridCol w:w="575"/>
        <w:gridCol w:w="764"/>
        <w:gridCol w:w="764"/>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30" w:type="dxa"/>
            <w:tcBorders>
              <w:top w:val="single" w:color="auto" w:sz="12" w:space="0"/>
              <w:left w:val="single" w:color="auto" w:sz="12" w:space="0"/>
              <w:bottom w:val="single" w:color="auto" w:sz="4" w:space="0"/>
              <w:right w:val="single" w:color="auto" w:sz="4" w:space="0"/>
              <w:tl2br w:val="single" w:color="000000" w:sz="2" w:space="0"/>
            </w:tcBorders>
          </w:tcPr>
          <w:p>
            <w:pPr>
              <w:spacing w:after="120"/>
              <w:jc w:val="center"/>
              <w:textAlignment w:val="center"/>
              <w:rPr>
                <w:rFonts w:ascii="Times New Roman" w:eastAsia="宋体"/>
                <w:color w:val="auto"/>
                <w:sz w:val="21"/>
                <w:szCs w:val="21"/>
              </w:rPr>
            </w:pPr>
            <w:r>
              <w:rPr>
                <w:rFonts w:ascii="Times New Roman" w:eastAsia="宋体"/>
                <w:color w:val="auto"/>
                <w:sz w:val="21"/>
                <w:szCs w:val="21"/>
              </w:rPr>
              <w:t>风向</w:t>
            </w:r>
          </w:p>
          <w:p>
            <w:pPr>
              <w:spacing w:after="120"/>
              <w:jc w:val="center"/>
              <w:textAlignment w:val="center"/>
              <w:rPr>
                <w:rFonts w:ascii="Times New Roman" w:eastAsia="宋体"/>
                <w:color w:val="auto"/>
                <w:sz w:val="21"/>
                <w:szCs w:val="21"/>
              </w:rPr>
            </w:pPr>
            <w:r>
              <w:rPr>
                <w:rFonts w:ascii="Times New Roman" w:eastAsia="宋体"/>
                <w:color w:val="auto"/>
                <w:sz w:val="21"/>
                <w:szCs w:val="21"/>
              </w:rPr>
              <w:t>时间</w:t>
            </w:r>
          </w:p>
        </w:tc>
        <w:tc>
          <w:tcPr>
            <w:tcW w:w="575"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一</w:t>
            </w:r>
          </w:p>
        </w:tc>
        <w:tc>
          <w:tcPr>
            <w:tcW w:w="575"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二</w:t>
            </w:r>
          </w:p>
        </w:tc>
        <w:tc>
          <w:tcPr>
            <w:tcW w:w="575"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三</w:t>
            </w:r>
          </w:p>
        </w:tc>
        <w:tc>
          <w:tcPr>
            <w:tcW w:w="57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四</w:t>
            </w:r>
          </w:p>
        </w:tc>
        <w:tc>
          <w:tcPr>
            <w:tcW w:w="57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五</w:t>
            </w:r>
          </w:p>
        </w:tc>
        <w:tc>
          <w:tcPr>
            <w:tcW w:w="57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六</w:t>
            </w:r>
          </w:p>
        </w:tc>
        <w:tc>
          <w:tcPr>
            <w:tcW w:w="57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七</w:t>
            </w:r>
          </w:p>
        </w:tc>
        <w:tc>
          <w:tcPr>
            <w:tcW w:w="57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八</w:t>
            </w:r>
          </w:p>
        </w:tc>
        <w:tc>
          <w:tcPr>
            <w:tcW w:w="57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九</w:t>
            </w:r>
          </w:p>
        </w:tc>
        <w:tc>
          <w:tcPr>
            <w:tcW w:w="575"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十</w:t>
            </w:r>
          </w:p>
        </w:tc>
        <w:tc>
          <w:tcPr>
            <w:tcW w:w="76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十一</w:t>
            </w:r>
          </w:p>
        </w:tc>
        <w:tc>
          <w:tcPr>
            <w:tcW w:w="76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十二</w:t>
            </w:r>
          </w:p>
        </w:tc>
        <w:tc>
          <w:tcPr>
            <w:tcW w:w="869" w:type="dxa"/>
            <w:tcBorders>
              <w:top w:val="single" w:color="auto" w:sz="12" w:space="0"/>
              <w:left w:val="single" w:color="auto" w:sz="4" w:space="0"/>
              <w:bottom w:val="single" w:color="auto" w:sz="4"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930" w:type="dxa"/>
            <w:tcBorders>
              <w:top w:val="single" w:color="auto" w:sz="4" w:space="0"/>
              <w:left w:val="single" w:color="auto" w:sz="12" w:space="0"/>
              <w:bottom w:val="single" w:color="auto" w:sz="12" w:space="0"/>
              <w:right w:val="single" w:color="auto" w:sz="4" w:space="0"/>
            </w:tcBorders>
          </w:tcPr>
          <w:p>
            <w:pPr>
              <w:spacing w:after="120"/>
              <w:jc w:val="center"/>
              <w:textAlignment w:val="center"/>
              <w:rPr>
                <w:rFonts w:ascii="Times New Roman" w:eastAsia="宋体"/>
                <w:color w:val="auto"/>
                <w:sz w:val="21"/>
                <w:szCs w:val="21"/>
              </w:rPr>
            </w:pPr>
            <w:r>
              <w:rPr>
                <w:rFonts w:ascii="Times New Roman" w:eastAsia="宋体"/>
                <w:color w:val="auto"/>
                <w:sz w:val="21"/>
                <w:szCs w:val="21"/>
              </w:rPr>
              <w:t>全年</w:t>
            </w:r>
          </w:p>
        </w:tc>
        <w:tc>
          <w:tcPr>
            <w:tcW w:w="575"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2.8</w:t>
            </w:r>
          </w:p>
        </w:tc>
        <w:tc>
          <w:tcPr>
            <w:tcW w:w="575"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2.9</w:t>
            </w:r>
          </w:p>
        </w:tc>
        <w:tc>
          <w:tcPr>
            <w:tcW w:w="575"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3.1</w:t>
            </w:r>
          </w:p>
        </w:tc>
        <w:tc>
          <w:tcPr>
            <w:tcW w:w="57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3.1</w:t>
            </w:r>
          </w:p>
        </w:tc>
        <w:tc>
          <w:tcPr>
            <w:tcW w:w="57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2.7</w:t>
            </w:r>
          </w:p>
        </w:tc>
        <w:tc>
          <w:tcPr>
            <w:tcW w:w="57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2.8</w:t>
            </w:r>
          </w:p>
        </w:tc>
        <w:tc>
          <w:tcPr>
            <w:tcW w:w="57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3.5</w:t>
            </w:r>
          </w:p>
        </w:tc>
        <w:tc>
          <w:tcPr>
            <w:tcW w:w="57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2.9</w:t>
            </w:r>
          </w:p>
        </w:tc>
        <w:tc>
          <w:tcPr>
            <w:tcW w:w="57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2.8</w:t>
            </w:r>
          </w:p>
        </w:tc>
        <w:tc>
          <w:tcPr>
            <w:tcW w:w="575"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2.6</w:t>
            </w:r>
          </w:p>
        </w:tc>
        <w:tc>
          <w:tcPr>
            <w:tcW w:w="76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2.8</w:t>
            </w:r>
          </w:p>
        </w:tc>
        <w:tc>
          <w:tcPr>
            <w:tcW w:w="76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2.8</w:t>
            </w:r>
          </w:p>
        </w:tc>
        <w:tc>
          <w:tcPr>
            <w:tcW w:w="869" w:type="dxa"/>
            <w:tcBorders>
              <w:top w:val="single" w:color="auto" w:sz="4" w:space="0"/>
              <w:left w:val="single" w:color="auto" w:sz="4" w:space="0"/>
              <w:bottom w:val="single" w:color="auto" w:sz="12"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2.9</w:t>
            </w:r>
          </w:p>
        </w:tc>
      </w:tr>
    </w:tbl>
    <w:p>
      <w:pPr>
        <w:spacing w:line="360" w:lineRule="auto"/>
        <w:ind w:firstLine="480"/>
        <w:rPr>
          <w:rFonts w:ascii="Times New Roman" w:eastAsia="宋体"/>
          <w:color w:val="auto"/>
          <w:kern w:val="2"/>
          <w:szCs w:val="24"/>
          <w:lang w:val="zh-CN"/>
        </w:rPr>
      </w:pPr>
      <w:r>
        <w:rPr>
          <w:rFonts w:ascii="Times New Roman" w:eastAsia="宋体"/>
          <w:color w:val="auto"/>
          <w:kern w:val="2"/>
          <w:szCs w:val="24"/>
          <w:lang w:val="zh-CN"/>
        </w:rPr>
        <w:t>从图表中可以看出：该区域常年主导风向为NNE，频率为18%，春季主导风向为NNE风，频率高达17%，夏季主导风向为SSE风，频率高达15%，秋季主导风向为NNE风，频率为20%，冬季主导风向为NNE，频率为22%，年平均风速为2.9m/s。</w:t>
      </w:r>
    </w:p>
    <w:p>
      <w:pPr>
        <w:spacing w:line="360" w:lineRule="auto"/>
        <w:ind w:firstLine="482"/>
        <w:rPr>
          <w:rFonts w:ascii="Times New Roman" w:eastAsia="宋体"/>
          <w:color w:val="auto"/>
          <w:lang w:val="zh-CN"/>
        </w:rPr>
      </w:pPr>
      <w:r>
        <w:rPr>
          <w:rFonts w:ascii="Times New Roman" w:eastAsia="宋体"/>
          <w:color w:val="auto"/>
          <w:lang w:val="zh-CN"/>
        </w:rPr>
        <w:t>（5）地面大气稳定度频率分布</w:t>
      </w:r>
    </w:p>
    <w:p>
      <w:pPr>
        <w:spacing w:line="360" w:lineRule="auto"/>
        <w:ind w:firstLine="480"/>
        <w:rPr>
          <w:rFonts w:ascii="Times New Roman" w:eastAsia="宋体"/>
          <w:color w:val="auto"/>
          <w:kern w:val="2"/>
          <w:szCs w:val="24"/>
          <w:lang w:val="zh-CN"/>
        </w:rPr>
      </w:pPr>
      <w:r>
        <w:rPr>
          <w:rFonts w:ascii="Times New Roman" w:eastAsia="宋体"/>
          <w:color w:val="auto"/>
          <w:kern w:val="2"/>
          <w:szCs w:val="24"/>
          <w:lang w:val="zh-CN"/>
        </w:rPr>
        <w:t>大气稳定度也是空气污染物扩散能力的一个判别因子。大气处于不稳定度状态时，有利于湍流发展加强，使污染物扩散加快；而大气处于稳定状态时，湍流运动较弱，空气污染物的扩散受到抑制。本评价利用岳阳市气象站20年每日定时地面风向、风速及总云量、低云量等观测资料进行大气稳定度和联合频率的统计。按照修正的帕斯奎尔（Pasquill）稳定度分级方法，统计各季及全年的大气稳定度分布频率，结果见表6.2-4。由表可知，该区大气稳定度以D类居多（年均频率为65.1%），F类出现频率最小，为零。各季各类大气稳定度分布频率虽有所变化，但均以中性的D类为主。不稳定类（A</w:t>
      </w:r>
      <w:r>
        <w:rPr>
          <w:rFonts w:hint="eastAsia" w:ascii="Times New Roman" w:eastAsia="宋体"/>
          <w:color w:val="auto"/>
          <w:kern w:val="2"/>
          <w:szCs w:val="24"/>
          <w:lang w:val="zh-CN"/>
        </w:rPr>
        <w:t>，</w:t>
      </w:r>
      <w:r>
        <w:rPr>
          <w:rFonts w:ascii="Times New Roman" w:eastAsia="宋体"/>
          <w:color w:val="auto"/>
          <w:kern w:val="2"/>
          <w:szCs w:val="24"/>
          <w:lang w:val="zh-CN"/>
        </w:rPr>
        <w:t>B</w:t>
      </w:r>
      <w:r>
        <w:rPr>
          <w:rFonts w:hint="eastAsia" w:ascii="Times New Roman" w:eastAsia="宋体"/>
          <w:color w:val="auto"/>
          <w:kern w:val="2"/>
          <w:szCs w:val="24"/>
          <w:lang w:val="zh-CN"/>
        </w:rPr>
        <w:t>，</w:t>
      </w:r>
      <w:r>
        <w:rPr>
          <w:rFonts w:ascii="Times New Roman" w:eastAsia="宋体"/>
          <w:color w:val="auto"/>
          <w:kern w:val="2"/>
          <w:szCs w:val="24"/>
          <w:lang w:val="zh-CN"/>
        </w:rPr>
        <w:t>C）频率以夏季最大，冬季最小；中性类（D）频率以春季最大，秋季最小；稳定类（E）频率以秋季最大，春季最小。</w:t>
      </w:r>
    </w:p>
    <w:p>
      <w:pPr>
        <w:spacing w:line="360" w:lineRule="auto"/>
        <w:jc w:val="center"/>
        <w:rPr>
          <w:rFonts w:ascii="Times New Roman" w:eastAsia="黑体"/>
          <w:color w:val="auto"/>
          <w:sz w:val="20"/>
        </w:rPr>
      </w:pPr>
      <w:r>
        <w:rPr>
          <w:rFonts w:ascii="Times New Roman" w:eastAsia="黑体"/>
          <w:color w:val="auto"/>
          <w:sz w:val="20"/>
        </w:rPr>
        <w:t>表</w:t>
      </w:r>
      <w:r>
        <w:rPr>
          <w:rFonts w:hint="eastAsia" w:ascii="Times New Roman" w:eastAsia="黑体"/>
          <w:color w:val="auto"/>
          <w:sz w:val="20"/>
        </w:rPr>
        <w:t>5</w:t>
      </w:r>
      <w:r>
        <w:rPr>
          <w:rFonts w:ascii="Times New Roman" w:eastAsia="黑体"/>
          <w:color w:val="auto"/>
          <w:sz w:val="20"/>
        </w:rPr>
        <w:t>.2-4   岳阳市大气稳定度频率分布（%）</w:t>
      </w:r>
    </w:p>
    <w:tbl>
      <w:tblPr>
        <w:tblStyle w:val="4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1019"/>
        <w:gridCol w:w="1018"/>
        <w:gridCol w:w="1018"/>
        <w:gridCol w:w="1020"/>
        <w:gridCol w:w="1034"/>
        <w:gridCol w:w="1018"/>
        <w:gridCol w:w="716"/>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4" w:type="dxa"/>
            <w:vMerge w:val="restart"/>
            <w:tcBorders>
              <w:top w:val="single" w:color="auto" w:sz="12" w:space="0"/>
              <w:left w:val="single" w:color="auto" w:sz="12" w:space="0"/>
              <w:bottom w:val="single" w:color="auto" w:sz="4" w:space="0"/>
              <w:right w:val="single" w:color="auto" w:sz="4" w:space="0"/>
              <w:tl2br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稳定度</w:t>
            </w:r>
          </w:p>
          <w:p>
            <w:pPr>
              <w:spacing w:after="120"/>
              <w:jc w:val="center"/>
              <w:textAlignment w:val="center"/>
              <w:rPr>
                <w:rFonts w:ascii="Times New Roman" w:eastAsia="宋体"/>
                <w:color w:val="auto"/>
                <w:sz w:val="21"/>
                <w:szCs w:val="21"/>
              </w:rPr>
            </w:pPr>
            <w:r>
              <w:rPr>
                <w:rFonts w:ascii="Times New Roman" w:eastAsia="宋体"/>
                <w:color w:val="auto"/>
                <w:sz w:val="21"/>
                <w:szCs w:val="21"/>
              </w:rPr>
              <w:t>季节</w:t>
            </w:r>
          </w:p>
        </w:tc>
        <w:tc>
          <w:tcPr>
            <w:tcW w:w="4075" w:type="dxa"/>
            <w:gridSpan w:val="4"/>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不稳定类</w:t>
            </w:r>
          </w:p>
        </w:tc>
        <w:tc>
          <w:tcPr>
            <w:tcW w:w="1034" w:type="dxa"/>
            <w:tcBorders>
              <w:top w:val="single" w:color="auto" w:sz="12"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中性类</w:t>
            </w:r>
          </w:p>
        </w:tc>
        <w:tc>
          <w:tcPr>
            <w:tcW w:w="2788" w:type="dxa"/>
            <w:gridSpan w:val="3"/>
            <w:tcBorders>
              <w:top w:val="single" w:color="auto" w:sz="12" w:space="0"/>
              <w:left w:val="single" w:color="auto" w:sz="4" w:space="0"/>
              <w:bottom w:val="single" w:color="auto" w:sz="4"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稳定类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4" w:type="dxa"/>
            <w:vMerge w:val="continue"/>
            <w:tcBorders>
              <w:top w:val="single" w:color="auto" w:sz="12" w:space="0"/>
              <w:left w:val="single" w:color="auto" w:sz="12"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p>
        </w:tc>
        <w:tc>
          <w:tcPr>
            <w:tcW w:w="1019"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A</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B</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C</w:t>
            </w:r>
          </w:p>
        </w:tc>
        <w:tc>
          <w:tcPr>
            <w:tcW w:w="1020"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小计</w:t>
            </w:r>
          </w:p>
        </w:tc>
        <w:tc>
          <w:tcPr>
            <w:tcW w:w="1034"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D</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E</w:t>
            </w:r>
          </w:p>
        </w:tc>
        <w:tc>
          <w:tcPr>
            <w:tcW w:w="716"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F</w:t>
            </w:r>
          </w:p>
        </w:tc>
        <w:tc>
          <w:tcPr>
            <w:tcW w:w="1054" w:type="dxa"/>
            <w:tcBorders>
              <w:top w:val="single" w:color="auto" w:sz="4" w:space="0"/>
              <w:left w:val="single" w:color="auto" w:sz="4" w:space="0"/>
              <w:bottom w:val="single" w:color="auto" w:sz="4"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4" w:type="dxa"/>
            <w:tcBorders>
              <w:top w:val="single" w:color="auto" w:sz="4" w:space="0"/>
              <w:left w:val="single" w:color="auto" w:sz="12"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春季</w:t>
            </w:r>
          </w:p>
        </w:tc>
        <w:tc>
          <w:tcPr>
            <w:tcW w:w="1019"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5.1</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6.5</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5.5</w:t>
            </w:r>
          </w:p>
        </w:tc>
        <w:tc>
          <w:tcPr>
            <w:tcW w:w="1020"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17.0</w:t>
            </w:r>
          </w:p>
        </w:tc>
        <w:tc>
          <w:tcPr>
            <w:tcW w:w="1034"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76.4</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6.5</w:t>
            </w:r>
          </w:p>
        </w:tc>
        <w:tc>
          <w:tcPr>
            <w:tcW w:w="716"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0.0</w:t>
            </w:r>
          </w:p>
        </w:tc>
        <w:tc>
          <w:tcPr>
            <w:tcW w:w="1054" w:type="dxa"/>
            <w:tcBorders>
              <w:top w:val="single" w:color="auto" w:sz="4" w:space="0"/>
              <w:left w:val="single" w:color="auto" w:sz="4" w:space="0"/>
              <w:bottom w:val="single" w:color="auto" w:sz="4"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4" w:type="dxa"/>
            <w:tcBorders>
              <w:top w:val="single" w:color="auto" w:sz="4" w:space="0"/>
              <w:left w:val="single" w:color="auto" w:sz="12"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夏季</w:t>
            </w:r>
          </w:p>
        </w:tc>
        <w:tc>
          <w:tcPr>
            <w:tcW w:w="1019"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1.1</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10.5</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22.5</w:t>
            </w:r>
          </w:p>
        </w:tc>
        <w:tc>
          <w:tcPr>
            <w:tcW w:w="1020"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34.1</w:t>
            </w:r>
          </w:p>
        </w:tc>
        <w:tc>
          <w:tcPr>
            <w:tcW w:w="1034"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56.2</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9.1</w:t>
            </w:r>
          </w:p>
        </w:tc>
        <w:tc>
          <w:tcPr>
            <w:tcW w:w="716"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0.0</w:t>
            </w:r>
          </w:p>
        </w:tc>
        <w:tc>
          <w:tcPr>
            <w:tcW w:w="1054" w:type="dxa"/>
            <w:tcBorders>
              <w:top w:val="single" w:color="auto" w:sz="4" w:space="0"/>
              <w:left w:val="single" w:color="auto" w:sz="4" w:space="0"/>
              <w:bottom w:val="single" w:color="auto" w:sz="4"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4" w:type="dxa"/>
            <w:tcBorders>
              <w:top w:val="single" w:color="auto" w:sz="4" w:space="0"/>
              <w:left w:val="single" w:color="auto" w:sz="12"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秋季</w:t>
            </w:r>
          </w:p>
        </w:tc>
        <w:tc>
          <w:tcPr>
            <w:tcW w:w="1019"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6.3</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13.5</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1.2</w:t>
            </w:r>
          </w:p>
        </w:tc>
        <w:tc>
          <w:tcPr>
            <w:tcW w:w="1020"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21.1</w:t>
            </w:r>
          </w:p>
        </w:tc>
        <w:tc>
          <w:tcPr>
            <w:tcW w:w="1034"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55.1</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23.8</w:t>
            </w:r>
          </w:p>
        </w:tc>
        <w:tc>
          <w:tcPr>
            <w:tcW w:w="716"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0.0</w:t>
            </w:r>
          </w:p>
        </w:tc>
        <w:tc>
          <w:tcPr>
            <w:tcW w:w="1054" w:type="dxa"/>
            <w:tcBorders>
              <w:top w:val="single" w:color="auto" w:sz="4" w:space="0"/>
              <w:left w:val="single" w:color="auto" w:sz="4" w:space="0"/>
              <w:bottom w:val="single" w:color="auto" w:sz="4"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4" w:type="dxa"/>
            <w:tcBorders>
              <w:top w:val="single" w:color="auto" w:sz="4" w:space="0"/>
              <w:left w:val="single" w:color="auto" w:sz="12"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冬季</w:t>
            </w:r>
          </w:p>
        </w:tc>
        <w:tc>
          <w:tcPr>
            <w:tcW w:w="1019"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3.7</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6.1</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2.1</w:t>
            </w:r>
          </w:p>
        </w:tc>
        <w:tc>
          <w:tcPr>
            <w:tcW w:w="1020"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11.9</w:t>
            </w:r>
          </w:p>
        </w:tc>
        <w:tc>
          <w:tcPr>
            <w:tcW w:w="1034"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73.1</w:t>
            </w:r>
          </w:p>
        </w:tc>
        <w:tc>
          <w:tcPr>
            <w:tcW w:w="1018"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15.1</w:t>
            </w:r>
          </w:p>
        </w:tc>
        <w:tc>
          <w:tcPr>
            <w:tcW w:w="716" w:type="dxa"/>
            <w:tcBorders>
              <w:top w:val="single" w:color="auto" w:sz="4" w:space="0"/>
              <w:left w:val="single" w:color="auto" w:sz="4" w:space="0"/>
              <w:bottom w:val="single" w:color="auto" w:sz="4"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0.0</w:t>
            </w:r>
          </w:p>
        </w:tc>
        <w:tc>
          <w:tcPr>
            <w:tcW w:w="1054" w:type="dxa"/>
            <w:tcBorders>
              <w:top w:val="single" w:color="auto" w:sz="4" w:space="0"/>
              <w:left w:val="single" w:color="auto" w:sz="4" w:space="0"/>
              <w:bottom w:val="single" w:color="auto" w:sz="4"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4" w:type="dxa"/>
            <w:tcBorders>
              <w:top w:val="single" w:color="auto" w:sz="4" w:space="0"/>
              <w:left w:val="single" w:color="auto" w:sz="12"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年均</w:t>
            </w:r>
          </w:p>
        </w:tc>
        <w:tc>
          <w:tcPr>
            <w:tcW w:w="1019"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4.0</w:t>
            </w:r>
          </w:p>
        </w:tc>
        <w:tc>
          <w:tcPr>
            <w:tcW w:w="1018"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9.2</w:t>
            </w:r>
          </w:p>
        </w:tc>
        <w:tc>
          <w:tcPr>
            <w:tcW w:w="1018"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8.0</w:t>
            </w:r>
          </w:p>
        </w:tc>
        <w:tc>
          <w:tcPr>
            <w:tcW w:w="1020"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21.2</w:t>
            </w:r>
          </w:p>
        </w:tc>
        <w:tc>
          <w:tcPr>
            <w:tcW w:w="1034"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65.1</w:t>
            </w:r>
          </w:p>
        </w:tc>
        <w:tc>
          <w:tcPr>
            <w:tcW w:w="1018"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13.5</w:t>
            </w:r>
          </w:p>
        </w:tc>
        <w:tc>
          <w:tcPr>
            <w:tcW w:w="716" w:type="dxa"/>
            <w:tcBorders>
              <w:top w:val="single" w:color="auto" w:sz="4" w:space="0"/>
              <w:left w:val="single" w:color="auto" w:sz="4" w:space="0"/>
              <w:bottom w:val="single" w:color="auto" w:sz="12" w:space="0"/>
              <w:right w:val="single" w:color="auto" w:sz="4"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0.0</w:t>
            </w:r>
          </w:p>
        </w:tc>
        <w:tc>
          <w:tcPr>
            <w:tcW w:w="1054" w:type="dxa"/>
            <w:tcBorders>
              <w:top w:val="single" w:color="auto" w:sz="4" w:space="0"/>
              <w:left w:val="single" w:color="auto" w:sz="4" w:space="0"/>
              <w:bottom w:val="single" w:color="auto" w:sz="12" w:space="0"/>
              <w:right w:val="single" w:color="auto" w:sz="12" w:space="0"/>
            </w:tcBorders>
            <w:vAlign w:val="center"/>
          </w:tcPr>
          <w:p>
            <w:pPr>
              <w:spacing w:after="120"/>
              <w:jc w:val="center"/>
              <w:textAlignment w:val="center"/>
              <w:rPr>
                <w:rFonts w:ascii="Times New Roman" w:eastAsia="宋体"/>
                <w:color w:val="auto"/>
                <w:sz w:val="21"/>
                <w:szCs w:val="21"/>
              </w:rPr>
            </w:pPr>
            <w:r>
              <w:rPr>
                <w:rFonts w:ascii="Times New Roman" w:eastAsia="宋体"/>
                <w:color w:val="auto"/>
                <w:sz w:val="21"/>
                <w:szCs w:val="21"/>
              </w:rPr>
              <w:t>13.5</w:t>
            </w:r>
          </w:p>
        </w:tc>
      </w:tr>
    </w:tbl>
    <w:p>
      <w:pPr>
        <w:spacing w:line="360" w:lineRule="auto"/>
        <w:ind w:firstLine="480"/>
        <w:rPr>
          <w:rFonts w:ascii="Times New Roman" w:eastAsia="宋体"/>
          <w:color w:val="auto"/>
          <w:kern w:val="2"/>
          <w:szCs w:val="24"/>
        </w:rPr>
      </w:pPr>
    </w:p>
    <w:p>
      <w:pPr>
        <w:keepNext/>
        <w:keepLines/>
        <w:spacing w:before="160" w:after="163" w:line="360" w:lineRule="auto"/>
        <w:outlineLvl w:val="3"/>
        <w:rPr>
          <w:rFonts w:ascii="Times New Roman" w:eastAsia="宋体"/>
          <w:b/>
          <w:bCs/>
          <w:color w:val="auto"/>
          <w:kern w:val="2"/>
          <w:szCs w:val="28"/>
        </w:rPr>
      </w:pPr>
      <w:r>
        <w:rPr>
          <w:rFonts w:ascii="Times New Roman" w:eastAsia="宋体"/>
          <w:b/>
          <w:bCs/>
          <w:color w:val="auto"/>
          <w:kern w:val="2"/>
          <w:szCs w:val="28"/>
        </w:rPr>
        <w:t>5.2.1.2污染源参数与污染源调查</w:t>
      </w:r>
    </w:p>
    <w:p>
      <w:pPr>
        <w:spacing w:line="360" w:lineRule="auto"/>
        <w:jc w:val="center"/>
        <w:rPr>
          <w:rFonts w:ascii="Times New Roman" w:eastAsia="宋体"/>
          <w:b/>
          <w:color w:val="auto"/>
          <w:sz w:val="21"/>
        </w:rPr>
      </w:pPr>
      <w:r>
        <w:rPr>
          <w:rFonts w:ascii="Times New Roman" w:eastAsia="宋体"/>
          <w:b/>
          <w:color w:val="auto"/>
          <w:sz w:val="21"/>
        </w:rPr>
        <w:t>表5.2-</w:t>
      </w:r>
      <w:r>
        <w:rPr>
          <w:rFonts w:hint="eastAsia" w:ascii="Times New Roman" w:eastAsia="宋体"/>
          <w:b/>
          <w:color w:val="auto"/>
          <w:sz w:val="21"/>
        </w:rPr>
        <w:t>5</w:t>
      </w:r>
      <w:r>
        <w:rPr>
          <w:rFonts w:ascii="Times New Roman" w:eastAsia="宋体"/>
          <w:b/>
          <w:color w:val="auto"/>
          <w:sz w:val="21"/>
        </w:rPr>
        <w:t>有组织污染源参数一览表</w:t>
      </w:r>
    </w:p>
    <w:tbl>
      <w:tblPr>
        <w:tblStyle w:val="47"/>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62"/>
        <w:gridCol w:w="1098"/>
        <w:gridCol w:w="1172"/>
        <w:gridCol w:w="837"/>
        <w:gridCol w:w="750"/>
        <w:gridCol w:w="658"/>
        <w:gridCol w:w="1000"/>
        <w:gridCol w:w="640"/>
        <w:gridCol w:w="735"/>
        <w:gridCol w:w="9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7" w:hRule="atLeast"/>
        </w:trPr>
        <w:tc>
          <w:tcPr>
            <w:tcW w:w="276"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名称</w:t>
            </w:r>
          </w:p>
        </w:tc>
        <w:tc>
          <w:tcPr>
            <w:tcW w:w="1358" w:type="pct"/>
            <w:gridSpan w:val="2"/>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排气筒底部中心坐标(°)</w:t>
            </w:r>
          </w:p>
        </w:tc>
        <w:tc>
          <w:tcPr>
            <w:tcW w:w="501"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排气筒底部海拔高度(m)</w:t>
            </w:r>
          </w:p>
        </w:tc>
        <w:tc>
          <w:tcPr>
            <w:tcW w:w="1442" w:type="pct"/>
            <w:gridSpan w:val="3"/>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排气筒参数</w:t>
            </w:r>
          </w:p>
        </w:tc>
        <w:tc>
          <w:tcPr>
            <w:tcW w:w="383"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排放</w:t>
            </w:r>
          </w:p>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工况</w:t>
            </w:r>
          </w:p>
        </w:tc>
        <w:tc>
          <w:tcPr>
            <w:tcW w:w="440"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污染物名称</w:t>
            </w:r>
          </w:p>
        </w:tc>
        <w:tc>
          <w:tcPr>
            <w:tcW w:w="598"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污染物排放速率kg/h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atLeast"/>
        </w:trPr>
        <w:tc>
          <w:tcPr>
            <w:tcW w:w="276"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657" w:type="pc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经度</w:t>
            </w:r>
          </w:p>
        </w:tc>
        <w:tc>
          <w:tcPr>
            <w:tcW w:w="701" w:type="pc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纬度</w:t>
            </w:r>
          </w:p>
        </w:tc>
        <w:tc>
          <w:tcPr>
            <w:tcW w:w="501"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449" w:type="pc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高度</w:t>
            </w:r>
          </w:p>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(m)</w:t>
            </w:r>
          </w:p>
        </w:tc>
        <w:tc>
          <w:tcPr>
            <w:tcW w:w="394" w:type="pc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内径</w:t>
            </w:r>
          </w:p>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(m)</w:t>
            </w:r>
          </w:p>
        </w:tc>
        <w:tc>
          <w:tcPr>
            <w:tcW w:w="598" w:type="pc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废气温度</w:t>
            </w:r>
          </w:p>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w:t>
            </w:r>
            <w:r>
              <w:rPr>
                <w:rFonts w:hint="eastAsia" w:ascii="Times New Roman" w:eastAsia="宋体" w:cs="宋体"/>
                <w:color w:val="auto"/>
                <w:kern w:val="2"/>
                <w:sz w:val="21"/>
                <w:szCs w:val="21"/>
                <w:u w:val="single"/>
              </w:rPr>
              <w:t>℃</w:t>
            </w:r>
            <w:r>
              <w:rPr>
                <w:rFonts w:ascii="Times New Roman" w:eastAsia="宋体"/>
                <w:color w:val="auto"/>
                <w:kern w:val="2"/>
                <w:sz w:val="21"/>
                <w:szCs w:val="21"/>
                <w:u w:val="single"/>
              </w:rPr>
              <w:t>)</w:t>
            </w:r>
          </w:p>
        </w:tc>
        <w:tc>
          <w:tcPr>
            <w:tcW w:w="383"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440"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598"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276"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rPr>
              <w:t>DA001</w:t>
            </w:r>
          </w:p>
        </w:tc>
        <w:tc>
          <w:tcPr>
            <w:tcW w:w="657"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sz w:val="21"/>
                <w:szCs w:val="21"/>
                <w:u w:val="single"/>
              </w:rPr>
              <w:t>113.177036</w:t>
            </w:r>
          </w:p>
        </w:tc>
        <w:tc>
          <w:tcPr>
            <w:tcW w:w="701"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sz w:val="21"/>
                <w:szCs w:val="21"/>
                <w:u w:val="single"/>
              </w:rPr>
              <w:t>29.095265</w:t>
            </w:r>
          </w:p>
        </w:tc>
        <w:tc>
          <w:tcPr>
            <w:tcW w:w="501"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sz w:val="21"/>
                <w:szCs w:val="21"/>
                <w:u w:val="single"/>
              </w:rPr>
              <w:t>70m</w:t>
            </w:r>
          </w:p>
        </w:tc>
        <w:tc>
          <w:tcPr>
            <w:tcW w:w="449"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sz w:val="21"/>
                <w:szCs w:val="21"/>
                <w:u w:val="single"/>
              </w:rPr>
              <w:t>30m</w:t>
            </w:r>
          </w:p>
        </w:tc>
        <w:tc>
          <w:tcPr>
            <w:tcW w:w="394"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sz w:val="21"/>
                <w:szCs w:val="21"/>
                <w:u w:val="single"/>
                <w:lang w:val="en-US" w:eastAsia="zh-CN"/>
              </w:rPr>
              <w:t>0.15</w:t>
            </w:r>
            <w:r>
              <w:rPr>
                <w:rFonts w:ascii="Times New Roman" w:eastAsia="宋体"/>
                <w:color w:val="auto"/>
                <w:kern w:val="2"/>
                <w:sz w:val="21"/>
                <w:szCs w:val="21"/>
                <w:u w:val="single"/>
              </w:rPr>
              <w:t>m</w:t>
            </w:r>
          </w:p>
        </w:tc>
        <w:tc>
          <w:tcPr>
            <w:tcW w:w="598"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sz w:val="21"/>
                <w:szCs w:val="21"/>
                <w:u w:val="single"/>
              </w:rPr>
              <w:t>323k</w:t>
            </w:r>
          </w:p>
        </w:tc>
        <w:tc>
          <w:tcPr>
            <w:tcW w:w="383" w:type="pct"/>
            <w:vMerge w:val="restar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正常</w:t>
            </w:r>
          </w:p>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工况</w:t>
            </w:r>
          </w:p>
        </w:tc>
        <w:tc>
          <w:tcPr>
            <w:tcW w:w="440" w:type="pct"/>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lang w:val="en-US" w:eastAsia="zh-CN"/>
              </w:rPr>
              <w:t>颗粒物</w:t>
            </w:r>
          </w:p>
        </w:tc>
        <w:tc>
          <w:tcPr>
            <w:tcW w:w="999" w:type="dxa"/>
            <w:tcBorders>
              <w:tl2br w:val="nil"/>
              <w:tr2bl w:val="nil"/>
            </w:tcBorders>
            <w:vAlign w:val="center"/>
          </w:tcPr>
          <w:p>
            <w:pPr>
              <w:snapToGrid w:val="0"/>
              <w:jc w:val="center"/>
              <w:rPr>
                <w:rFonts w:ascii="Times New Roman" w:eastAsia="宋体"/>
                <w:color w:val="auto"/>
                <w:kern w:val="2"/>
                <w:sz w:val="21"/>
                <w:szCs w:val="21"/>
                <w:u w:val="single"/>
              </w:rPr>
            </w:pPr>
            <w:r>
              <w:rPr>
                <w:rFonts w:hint="eastAsia" w:ascii="Times New Roman" w:eastAsia="宋体"/>
                <w:color w:val="auto"/>
                <w:kern w:val="2"/>
                <w:sz w:val="21"/>
                <w:szCs w:val="21"/>
                <w:u w:val="single"/>
                <w:lang w:val="en-US" w:eastAsia="zh-CN"/>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276" w:type="pct"/>
            <w:vMerge w:val="continue"/>
            <w:tcBorders>
              <w:tl2br w:val="nil"/>
              <w:tr2bl w:val="nil"/>
            </w:tcBorders>
            <w:vAlign w:val="center"/>
          </w:tcPr>
          <w:p>
            <w:pPr>
              <w:snapToGrid w:val="0"/>
              <w:jc w:val="center"/>
              <w:rPr>
                <w:rFonts w:ascii="Times New Roman"/>
                <w:color w:val="auto"/>
                <w:sz w:val="21"/>
                <w:szCs w:val="21"/>
                <w:u w:val="single"/>
              </w:rPr>
            </w:pPr>
          </w:p>
        </w:tc>
        <w:tc>
          <w:tcPr>
            <w:tcW w:w="657" w:type="pct"/>
            <w:vMerge w:val="continue"/>
            <w:tcBorders>
              <w:tl2br w:val="nil"/>
              <w:tr2bl w:val="nil"/>
            </w:tcBorders>
            <w:vAlign w:val="center"/>
          </w:tcPr>
          <w:p>
            <w:pPr>
              <w:snapToGrid w:val="0"/>
              <w:jc w:val="center"/>
              <w:rPr>
                <w:rFonts w:ascii="Times New Roman"/>
                <w:color w:val="auto"/>
                <w:sz w:val="21"/>
                <w:szCs w:val="21"/>
                <w:u w:val="single"/>
              </w:rPr>
            </w:pPr>
          </w:p>
        </w:tc>
        <w:tc>
          <w:tcPr>
            <w:tcW w:w="701" w:type="pct"/>
            <w:vMerge w:val="continue"/>
            <w:tcBorders>
              <w:tl2br w:val="nil"/>
              <w:tr2bl w:val="nil"/>
            </w:tcBorders>
            <w:vAlign w:val="center"/>
          </w:tcPr>
          <w:p>
            <w:pPr>
              <w:snapToGrid w:val="0"/>
              <w:jc w:val="center"/>
              <w:rPr>
                <w:rFonts w:ascii="Times New Roman"/>
                <w:color w:val="auto"/>
                <w:sz w:val="21"/>
                <w:szCs w:val="21"/>
                <w:u w:val="single"/>
              </w:rPr>
            </w:pPr>
          </w:p>
        </w:tc>
        <w:tc>
          <w:tcPr>
            <w:tcW w:w="501" w:type="pct"/>
            <w:vMerge w:val="continue"/>
            <w:tcBorders>
              <w:tl2br w:val="nil"/>
              <w:tr2bl w:val="nil"/>
            </w:tcBorders>
            <w:vAlign w:val="center"/>
          </w:tcPr>
          <w:p>
            <w:pPr>
              <w:snapToGrid w:val="0"/>
              <w:jc w:val="center"/>
              <w:rPr>
                <w:rFonts w:ascii="Times New Roman"/>
                <w:color w:val="auto"/>
                <w:sz w:val="21"/>
                <w:szCs w:val="21"/>
                <w:u w:val="single"/>
              </w:rPr>
            </w:pPr>
          </w:p>
        </w:tc>
        <w:tc>
          <w:tcPr>
            <w:tcW w:w="449" w:type="pct"/>
            <w:vMerge w:val="continue"/>
            <w:tcBorders>
              <w:tl2br w:val="nil"/>
              <w:tr2bl w:val="nil"/>
            </w:tcBorders>
            <w:vAlign w:val="center"/>
          </w:tcPr>
          <w:p>
            <w:pPr>
              <w:snapToGrid w:val="0"/>
              <w:jc w:val="center"/>
              <w:rPr>
                <w:rFonts w:ascii="Times New Roman"/>
                <w:color w:val="auto"/>
                <w:sz w:val="21"/>
                <w:szCs w:val="21"/>
                <w:u w:val="single"/>
              </w:rPr>
            </w:pPr>
          </w:p>
        </w:tc>
        <w:tc>
          <w:tcPr>
            <w:tcW w:w="394" w:type="pct"/>
            <w:vMerge w:val="continue"/>
            <w:tcBorders>
              <w:tl2br w:val="nil"/>
              <w:tr2bl w:val="nil"/>
            </w:tcBorders>
            <w:vAlign w:val="center"/>
          </w:tcPr>
          <w:p>
            <w:pPr>
              <w:snapToGrid w:val="0"/>
              <w:jc w:val="center"/>
              <w:rPr>
                <w:rFonts w:ascii="Times New Roman"/>
                <w:color w:val="auto"/>
                <w:sz w:val="21"/>
                <w:szCs w:val="21"/>
                <w:u w:val="single"/>
              </w:rPr>
            </w:pPr>
          </w:p>
        </w:tc>
        <w:tc>
          <w:tcPr>
            <w:tcW w:w="598" w:type="pct"/>
            <w:vMerge w:val="continue"/>
            <w:tcBorders>
              <w:tl2br w:val="nil"/>
              <w:tr2bl w:val="nil"/>
            </w:tcBorders>
            <w:vAlign w:val="center"/>
          </w:tcPr>
          <w:p>
            <w:pPr>
              <w:snapToGrid w:val="0"/>
              <w:jc w:val="center"/>
              <w:rPr>
                <w:rFonts w:ascii="Times New Roman"/>
                <w:color w:val="auto"/>
                <w:sz w:val="21"/>
                <w:szCs w:val="21"/>
                <w:u w:val="single"/>
              </w:rPr>
            </w:pPr>
          </w:p>
        </w:tc>
        <w:tc>
          <w:tcPr>
            <w:tcW w:w="383" w:type="pct"/>
            <w:vMerge w:val="continue"/>
            <w:tcBorders>
              <w:tl2br w:val="nil"/>
              <w:tr2bl w:val="nil"/>
            </w:tcBorders>
            <w:vAlign w:val="center"/>
          </w:tcPr>
          <w:p>
            <w:pPr>
              <w:snapToGrid w:val="0"/>
              <w:jc w:val="center"/>
              <w:rPr>
                <w:rFonts w:ascii="Times New Roman"/>
                <w:color w:val="auto"/>
                <w:sz w:val="21"/>
                <w:szCs w:val="21"/>
                <w:u w:val="single"/>
              </w:rPr>
            </w:pPr>
          </w:p>
        </w:tc>
        <w:tc>
          <w:tcPr>
            <w:tcW w:w="440" w:type="pc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SO</w:t>
            </w:r>
            <w:r>
              <w:rPr>
                <w:rFonts w:ascii="Times New Roman" w:eastAsia="宋体"/>
                <w:color w:val="auto"/>
                <w:kern w:val="2"/>
                <w:sz w:val="21"/>
                <w:szCs w:val="21"/>
                <w:u w:val="single"/>
                <w:vertAlign w:val="subscript"/>
              </w:rPr>
              <w:t>2</w:t>
            </w:r>
          </w:p>
        </w:tc>
        <w:tc>
          <w:tcPr>
            <w:tcW w:w="999" w:type="dxa"/>
            <w:tcBorders>
              <w:tl2br w:val="nil"/>
              <w:tr2bl w:val="nil"/>
            </w:tcBorders>
            <w:vAlign w:val="center"/>
          </w:tcPr>
          <w:p>
            <w:pPr>
              <w:snapToGrid w:val="0"/>
              <w:jc w:val="center"/>
              <w:rPr>
                <w:rFonts w:hint="default" w:ascii="Times New Roman" w:eastAsia="宋体"/>
                <w:color w:val="auto"/>
                <w:kern w:val="2"/>
                <w:sz w:val="21"/>
                <w:szCs w:val="21"/>
                <w:u w:val="single"/>
                <w:lang w:val="en-US"/>
              </w:rPr>
            </w:pPr>
            <w:r>
              <w:rPr>
                <w:rFonts w:hint="eastAsia" w:ascii="Times New Roman" w:eastAsia="宋体"/>
                <w:color w:val="auto"/>
                <w:kern w:val="2"/>
                <w:sz w:val="21"/>
                <w:szCs w:val="21"/>
                <w:u w:val="single"/>
                <w:lang w:val="en-US" w:eastAsia="zh-CN"/>
              </w:rPr>
              <w:t>0.476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276"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657"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701"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501"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449"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394"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598"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383" w:type="pct"/>
            <w:vMerge w:val="continue"/>
            <w:tcBorders>
              <w:tl2br w:val="nil"/>
              <w:tr2bl w:val="nil"/>
            </w:tcBorders>
            <w:vAlign w:val="center"/>
          </w:tcPr>
          <w:p>
            <w:pPr>
              <w:snapToGrid w:val="0"/>
              <w:jc w:val="center"/>
              <w:rPr>
                <w:rFonts w:ascii="Times New Roman" w:eastAsia="宋体"/>
                <w:color w:val="auto"/>
                <w:kern w:val="2"/>
                <w:sz w:val="21"/>
                <w:szCs w:val="21"/>
                <w:u w:val="single"/>
              </w:rPr>
            </w:pPr>
          </w:p>
        </w:tc>
        <w:tc>
          <w:tcPr>
            <w:tcW w:w="440" w:type="pct"/>
            <w:tcBorders>
              <w:tl2br w:val="nil"/>
              <w:tr2bl w:val="nil"/>
            </w:tcBorders>
            <w:vAlign w:val="center"/>
          </w:tcPr>
          <w:p>
            <w:pPr>
              <w:snapToGrid w:val="0"/>
              <w:jc w:val="center"/>
              <w:rPr>
                <w:rFonts w:ascii="Times New Roman" w:eastAsia="宋体"/>
                <w:color w:val="auto"/>
                <w:kern w:val="2"/>
                <w:sz w:val="21"/>
                <w:szCs w:val="21"/>
                <w:u w:val="single"/>
              </w:rPr>
            </w:pPr>
            <w:r>
              <w:rPr>
                <w:rFonts w:ascii="Times New Roman" w:eastAsia="宋体"/>
                <w:color w:val="auto"/>
                <w:kern w:val="2"/>
                <w:sz w:val="21"/>
                <w:szCs w:val="21"/>
                <w:u w:val="single"/>
              </w:rPr>
              <w:t>NO</w:t>
            </w:r>
            <w:r>
              <w:rPr>
                <w:rFonts w:ascii="Times New Roman" w:eastAsia="宋体"/>
                <w:color w:val="auto"/>
                <w:kern w:val="2"/>
                <w:sz w:val="21"/>
                <w:szCs w:val="21"/>
                <w:u w:val="single"/>
                <w:vertAlign w:val="subscript"/>
              </w:rPr>
              <w:t>X</w:t>
            </w:r>
          </w:p>
        </w:tc>
        <w:tc>
          <w:tcPr>
            <w:tcW w:w="999" w:type="dxa"/>
            <w:tcBorders>
              <w:tl2br w:val="nil"/>
              <w:tr2bl w:val="nil"/>
            </w:tcBorders>
            <w:vAlign w:val="center"/>
          </w:tcPr>
          <w:p>
            <w:pPr>
              <w:snapToGrid w:val="0"/>
              <w:jc w:val="center"/>
              <w:rPr>
                <w:rFonts w:hint="default" w:ascii="Times New Roman" w:eastAsia="宋体"/>
                <w:color w:val="auto"/>
                <w:kern w:val="2"/>
                <w:sz w:val="21"/>
                <w:szCs w:val="21"/>
                <w:u w:val="single"/>
                <w:lang w:val="en-US"/>
              </w:rPr>
            </w:pPr>
            <w:r>
              <w:rPr>
                <w:rFonts w:hint="eastAsia" w:ascii="Times New Roman" w:eastAsia="宋体"/>
                <w:color w:val="auto"/>
                <w:kern w:val="2"/>
                <w:sz w:val="21"/>
                <w:szCs w:val="21"/>
                <w:u w:val="single"/>
                <w:lang w:val="en-US" w:eastAsia="zh-CN"/>
              </w:rPr>
              <w:t>0.408</w:t>
            </w:r>
          </w:p>
        </w:tc>
      </w:tr>
    </w:tbl>
    <w:p>
      <w:pPr>
        <w:spacing w:line="360" w:lineRule="auto"/>
        <w:jc w:val="center"/>
        <w:rPr>
          <w:rFonts w:ascii="Times New Roman" w:eastAsia="宋体"/>
          <w:b/>
          <w:color w:val="auto"/>
          <w:sz w:val="21"/>
        </w:rPr>
      </w:pPr>
    </w:p>
    <w:p>
      <w:pPr>
        <w:spacing w:line="360" w:lineRule="auto"/>
        <w:jc w:val="center"/>
        <w:rPr>
          <w:rFonts w:ascii="Times New Roman" w:eastAsia="宋体"/>
          <w:b/>
          <w:color w:val="auto"/>
          <w:sz w:val="21"/>
        </w:rPr>
      </w:pPr>
      <w:r>
        <w:rPr>
          <w:rFonts w:ascii="Times New Roman" w:eastAsia="宋体"/>
          <w:b/>
          <w:color w:val="auto"/>
          <w:sz w:val="21"/>
        </w:rPr>
        <w:t>表5.2-</w:t>
      </w:r>
      <w:r>
        <w:rPr>
          <w:rFonts w:hint="eastAsia" w:ascii="Times New Roman" w:eastAsia="宋体"/>
          <w:b/>
          <w:color w:val="auto"/>
          <w:sz w:val="21"/>
        </w:rPr>
        <w:t>6</w:t>
      </w:r>
      <w:r>
        <w:rPr>
          <w:rFonts w:ascii="Times New Roman" w:eastAsia="宋体"/>
          <w:b/>
          <w:color w:val="auto"/>
          <w:sz w:val="21"/>
        </w:rPr>
        <w:t>鸡舍及污水沉淀池污染源参数一览表</w:t>
      </w:r>
    </w:p>
    <w:tbl>
      <w:tblPr>
        <w:tblStyle w:val="47"/>
        <w:tblW w:w="5103" w:type="pct"/>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1"/>
        <w:gridCol w:w="795"/>
        <w:gridCol w:w="780"/>
        <w:gridCol w:w="687"/>
        <w:gridCol w:w="573"/>
        <w:gridCol w:w="645"/>
        <w:gridCol w:w="702"/>
        <w:gridCol w:w="811"/>
        <w:gridCol w:w="722"/>
        <w:gridCol w:w="615"/>
        <w:gridCol w:w="821"/>
        <w:gridCol w:w="849"/>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692" w:type="dxa"/>
            <w:vMerge w:val="restart"/>
            <w:tcBorders>
              <w:left w:val="single" w:color="auto" w:sz="12" w:space="0"/>
            </w:tcBorders>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名称</w:t>
            </w:r>
          </w:p>
        </w:tc>
        <w:tc>
          <w:tcPr>
            <w:tcW w:w="1575" w:type="dxa"/>
            <w:gridSpan w:val="2"/>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面源起点坐标</w:t>
            </w:r>
          </w:p>
        </w:tc>
        <w:tc>
          <w:tcPr>
            <w:tcW w:w="687" w:type="dxa"/>
            <w:vMerge w:val="restart"/>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面源海拔高度</w:t>
            </w:r>
          </w:p>
        </w:tc>
        <w:tc>
          <w:tcPr>
            <w:tcW w:w="573" w:type="dxa"/>
            <w:vMerge w:val="restart"/>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面源长度</w:t>
            </w:r>
          </w:p>
        </w:tc>
        <w:tc>
          <w:tcPr>
            <w:tcW w:w="645" w:type="dxa"/>
            <w:vMerge w:val="restart"/>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面源宽度</w:t>
            </w:r>
          </w:p>
        </w:tc>
        <w:tc>
          <w:tcPr>
            <w:tcW w:w="702" w:type="dxa"/>
            <w:vMerge w:val="restart"/>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与正北向夹角</w:t>
            </w:r>
          </w:p>
        </w:tc>
        <w:tc>
          <w:tcPr>
            <w:tcW w:w="811" w:type="dxa"/>
            <w:vMerge w:val="restart"/>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面源有效排放高度</w:t>
            </w:r>
          </w:p>
        </w:tc>
        <w:tc>
          <w:tcPr>
            <w:tcW w:w="722" w:type="dxa"/>
            <w:vMerge w:val="restart"/>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年排放小时数</w:t>
            </w:r>
          </w:p>
        </w:tc>
        <w:tc>
          <w:tcPr>
            <w:tcW w:w="615" w:type="dxa"/>
            <w:vMerge w:val="restart"/>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排放工况</w:t>
            </w:r>
          </w:p>
        </w:tc>
        <w:tc>
          <w:tcPr>
            <w:tcW w:w="1670" w:type="dxa"/>
            <w:gridSpan w:val="2"/>
            <w:tcBorders>
              <w:right w:val="single" w:color="auto" w:sz="12" w:space="0"/>
            </w:tcBorders>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污染物排放速率</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0" w:hRule="atLeast"/>
        </w:trPr>
        <w:tc>
          <w:tcPr>
            <w:tcW w:w="692" w:type="dxa"/>
            <w:vMerge w:val="continue"/>
            <w:tcBorders>
              <w:left w:val="single" w:color="auto" w:sz="12" w:space="0"/>
            </w:tcBorders>
            <w:vAlign w:val="center"/>
          </w:tcPr>
          <w:p>
            <w:pPr>
              <w:snapToGrid w:val="0"/>
              <w:jc w:val="center"/>
              <w:rPr>
                <w:rFonts w:ascii="Times New Roman" w:eastAsia="宋体"/>
                <w:color w:val="auto"/>
                <w:kern w:val="2"/>
                <w:sz w:val="21"/>
                <w:szCs w:val="21"/>
              </w:rPr>
            </w:pPr>
          </w:p>
        </w:tc>
        <w:tc>
          <w:tcPr>
            <w:tcW w:w="795" w:type="dxa"/>
            <w:vAlign w:val="center"/>
          </w:tcPr>
          <w:p>
            <w:pPr>
              <w:snapToGrid w:val="0"/>
              <w:jc w:val="center"/>
              <w:rPr>
                <w:rFonts w:ascii="Times New Roman" w:eastAsia="宋体"/>
                <w:color w:val="auto"/>
                <w:kern w:val="2"/>
                <w:sz w:val="21"/>
                <w:szCs w:val="21"/>
              </w:rPr>
            </w:pPr>
            <w:r>
              <w:rPr>
                <w:rFonts w:hint="eastAsia" w:ascii="Times New Roman" w:eastAsia="宋体"/>
                <w:b/>
                <w:bCs/>
                <w:color w:val="auto"/>
                <w:kern w:val="2"/>
                <w:sz w:val="21"/>
                <w:szCs w:val="21"/>
              </w:rPr>
              <w:t>E</w:t>
            </w:r>
          </w:p>
        </w:tc>
        <w:tc>
          <w:tcPr>
            <w:tcW w:w="780" w:type="dxa"/>
            <w:vAlign w:val="center"/>
          </w:tcPr>
          <w:p>
            <w:pPr>
              <w:snapToGrid w:val="0"/>
              <w:jc w:val="center"/>
              <w:rPr>
                <w:rFonts w:ascii="Times New Roman" w:eastAsia="宋体"/>
                <w:color w:val="auto"/>
                <w:kern w:val="2"/>
                <w:sz w:val="21"/>
                <w:szCs w:val="21"/>
              </w:rPr>
            </w:pPr>
            <w:r>
              <w:rPr>
                <w:rFonts w:hint="eastAsia" w:ascii="Times New Roman" w:eastAsia="宋体"/>
                <w:b/>
                <w:bCs/>
                <w:color w:val="auto"/>
                <w:kern w:val="2"/>
                <w:sz w:val="21"/>
                <w:szCs w:val="21"/>
              </w:rPr>
              <w:t>N</w:t>
            </w:r>
          </w:p>
        </w:tc>
        <w:tc>
          <w:tcPr>
            <w:tcW w:w="687" w:type="dxa"/>
            <w:vMerge w:val="continue"/>
            <w:vAlign w:val="center"/>
          </w:tcPr>
          <w:p>
            <w:pPr>
              <w:snapToGrid w:val="0"/>
              <w:jc w:val="center"/>
              <w:rPr>
                <w:rFonts w:ascii="Times New Roman" w:eastAsia="宋体"/>
                <w:color w:val="auto"/>
                <w:kern w:val="2"/>
                <w:sz w:val="21"/>
                <w:szCs w:val="21"/>
              </w:rPr>
            </w:pPr>
          </w:p>
        </w:tc>
        <w:tc>
          <w:tcPr>
            <w:tcW w:w="573" w:type="dxa"/>
            <w:vMerge w:val="continue"/>
            <w:vAlign w:val="center"/>
          </w:tcPr>
          <w:p>
            <w:pPr>
              <w:snapToGrid w:val="0"/>
              <w:jc w:val="center"/>
              <w:rPr>
                <w:rFonts w:ascii="Times New Roman" w:eastAsia="宋体"/>
                <w:color w:val="auto"/>
                <w:kern w:val="2"/>
                <w:sz w:val="21"/>
                <w:szCs w:val="21"/>
              </w:rPr>
            </w:pPr>
          </w:p>
        </w:tc>
        <w:tc>
          <w:tcPr>
            <w:tcW w:w="645" w:type="dxa"/>
            <w:vMerge w:val="continue"/>
            <w:vAlign w:val="center"/>
          </w:tcPr>
          <w:p>
            <w:pPr>
              <w:snapToGrid w:val="0"/>
              <w:jc w:val="center"/>
              <w:rPr>
                <w:rFonts w:ascii="Times New Roman" w:eastAsia="宋体"/>
                <w:color w:val="auto"/>
                <w:kern w:val="2"/>
                <w:sz w:val="21"/>
                <w:szCs w:val="21"/>
              </w:rPr>
            </w:pPr>
          </w:p>
        </w:tc>
        <w:tc>
          <w:tcPr>
            <w:tcW w:w="702" w:type="dxa"/>
            <w:vMerge w:val="continue"/>
            <w:vAlign w:val="center"/>
          </w:tcPr>
          <w:p>
            <w:pPr>
              <w:snapToGrid w:val="0"/>
              <w:jc w:val="center"/>
              <w:rPr>
                <w:rFonts w:ascii="Times New Roman" w:eastAsia="宋体"/>
                <w:color w:val="auto"/>
                <w:kern w:val="2"/>
                <w:sz w:val="21"/>
                <w:szCs w:val="21"/>
              </w:rPr>
            </w:pPr>
          </w:p>
        </w:tc>
        <w:tc>
          <w:tcPr>
            <w:tcW w:w="811" w:type="dxa"/>
            <w:vMerge w:val="continue"/>
            <w:vAlign w:val="center"/>
          </w:tcPr>
          <w:p>
            <w:pPr>
              <w:snapToGrid w:val="0"/>
              <w:jc w:val="center"/>
              <w:rPr>
                <w:rFonts w:ascii="Times New Roman" w:eastAsia="宋体"/>
                <w:color w:val="auto"/>
                <w:kern w:val="2"/>
                <w:sz w:val="21"/>
                <w:szCs w:val="21"/>
              </w:rPr>
            </w:pPr>
          </w:p>
        </w:tc>
        <w:tc>
          <w:tcPr>
            <w:tcW w:w="722" w:type="dxa"/>
            <w:vMerge w:val="continue"/>
            <w:vAlign w:val="center"/>
          </w:tcPr>
          <w:p>
            <w:pPr>
              <w:snapToGrid w:val="0"/>
              <w:jc w:val="center"/>
              <w:rPr>
                <w:rFonts w:ascii="Times New Roman" w:eastAsia="宋体"/>
                <w:color w:val="auto"/>
                <w:kern w:val="2"/>
                <w:sz w:val="21"/>
                <w:szCs w:val="21"/>
              </w:rPr>
            </w:pPr>
          </w:p>
        </w:tc>
        <w:tc>
          <w:tcPr>
            <w:tcW w:w="615" w:type="dxa"/>
            <w:vMerge w:val="continue"/>
            <w:vAlign w:val="center"/>
          </w:tcPr>
          <w:p>
            <w:pPr>
              <w:snapToGrid w:val="0"/>
              <w:jc w:val="center"/>
              <w:rPr>
                <w:rFonts w:ascii="Times New Roman" w:eastAsia="宋体"/>
                <w:color w:val="auto"/>
                <w:kern w:val="2"/>
                <w:sz w:val="21"/>
                <w:szCs w:val="21"/>
              </w:rPr>
            </w:pPr>
          </w:p>
        </w:tc>
        <w:tc>
          <w:tcPr>
            <w:tcW w:w="821" w:type="dxa"/>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NH</w:t>
            </w:r>
            <w:r>
              <w:rPr>
                <w:rFonts w:ascii="Times New Roman" w:eastAsia="宋体"/>
                <w:b/>
                <w:bCs/>
                <w:color w:val="auto"/>
                <w:kern w:val="2"/>
                <w:sz w:val="21"/>
                <w:szCs w:val="21"/>
                <w:vertAlign w:val="subscript"/>
              </w:rPr>
              <w:t>3</w:t>
            </w:r>
          </w:p>
        </w:tc>
        <w:tc>
          <w:tcPr>
            <w:tcW w:w="849" w:type="dxa"/>
            <w:tcBorders>
              <w:right w:val="single" w:color="auto" w:sz="12" w:space="0"/>
            </w:tcBorders>
            <w:vAlign w:val="center"/>
          </w:tcPr>
          <w:p>
            <w:pPr>
              <w:snapToGrid w:val="0"/>
              <w:jc w:val="center"/>
              <w:rPr>
                <w:rFonts w:ascii="Times New Roman" w:eastAsia="宋体"/>
                <w:color w:val="auto"/>
                <w:kern w:val="2"/>
                <w:sz w:val="21"/>
                <w:szCs w:val="21"/>
              </w:rPr>
            </w:pPr>
            <w:r>
              <w:rPr>
                <w:rFonts w:ascii="Times New Roman" w:eastAsia="宋体"/>
                <w:b/>
                <w:bCs/>
                <w:color w:val="auto"/>
                <w:kern w:val="2"/>
                <w:sz w:val="21"/>
                <w:szCs w:val="21"/>
              </w:rPr>
              <w:t>H</w:t>
            </w:r>
            <w:r>
              <w:rPr>
                <w:rFonts w:ascii="Times New Roman" w:eastAsia="宋体"/>
                <w:b/>
                <w:bCs/>
                <w:color w:val="auto"/>
                <w:kern w:val="2"/>
                <w:sz w:val="21"/>
                <w:szCs w:val="21"/>
                <w:vertAlign w:val="subscript"/>
              </w:rPr>
              <w:t>2</w:t>
            </w:r>
            <w:r>
              <w:rPr>
                <w:rFonts w:ascii="Times New Roman" w:eastAsia="宋体"/>
                <w:b/>
                <w:bCs/>
                <w:color w:val="auto"/>
                <w:kern w:val="2"/>
                <w:sz w:val="21"/>
                <w:szCs w:val="21"/>
              </w:rPr>
              <w:t>S</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692" w:type="dxa"/>
            <w:tcBorders>
              <w:left w:val="single" w:color="auto" w:sz="12" w:space="0"/>
            </w:tcBorders>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单位</w:t>
            </w:r>
          </w:p>
        </w:tc>
        <w:tc>
          <w:tcPr>
            <w:tcW w:w="795" w:type="dxa"/>
            <w:vAlign w:val="center"/>
          </w:tcPr>
          <w:p>
            <w:pPr>
              <w:snapToGrid w:val="0"/>
              <w:jc w:val="center"/>
              <w:rPr>
                <w:rFonts w:ascii="Times New Roman" w:eastAsia="宋体"/>
                <w:b/>
                <w:bCs/>
                <w:color w:val="auto"/>
                <w:kern w:val="2"/>
                <w:sz w:val="21"/>
                <w:szCs w:val="21"/>
              </w:rPr>
            </w:pPr>
            <w:r>
              <w:rPr>
                <w:rFonts w:hint="eastAsia" w:ascii="Times New Roman" w:eastAsia="宋体"/>
                <w:b/>
                <w:bCs/>
                <w:color w:val="auto"/>
                <w:kern w:val="2"/>
                <w:sz w:val="21"/>
                <w:szCs w:val="21"/>
              </w:rPr>
              <w:t>°</w:t>
            </w:r>
          </w:p>
        </w:tc>
        <w:tc>
          <w:tcPr>
            <w:tcW w:w="780" w:type="dxa"/>
            <w:vAlign w:val="center"/>
          </w:tcPr>
          <w:p>
            <w:pPr>
              <w:snapToGrid w:val="0"/>
              <w:jc w:val="center"/>
              <w:rPr>
                <w:rFonts w:ascii="Times New Roman" w:eastAsia="宋体"/>
                <w:b/>
                <w:bCs/>
                <w:color w:val="auto"/>
                <w:kern w:val="2"/>
                <w:sz w:val="21"/>
                <w:szCs w:val="21"/>
              </w:rPr>
            </w:pPr>
            <w:r>
              <w:rPr>
                <w:rFonts w:hint="eastAsia" w:ascii="Times New Roman" w:eastAsia="宋体"/>
                <w:b/>
                <w:bCs/>
                <w:color w:val="auto"/>
                <w:kern w:val="2"/>
                <w:sz w:val="21"/>
                <w:szCs w:val="21"/>
              </w:rPr>
              <w:t>°</w:t>
            </w:r>
          </w:p>
        </w:tc>
        <w:tc>
          <w:tcPr>
            <w:tcW w:w="687" w:type="dxa"/>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m</w:t>
            </w:r>
          </w:p>
        </w:tc>
        <w:tc>
          <w:tcPr>
            <w:tcW w:w="573" w:type="dxa"/>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m</w:t>
            </w:r>
          </w:p>
        </w:tc>
        <w:tc>
          <w:tcPr>
            <w:tcW w:w="645" w:type="dxa"/>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m</w:t>
            </w:r>
          </w:p>
        </w:tc>
        <w:tc>
          <w:tcPr>
            <w:tcW w:w="702" w:type="dxa"/>
            <w:vAlign w:val="center"/>
          </w:tcPr>
          <w:p>
            <w:pPr>
              <w:snapToGrid w:val="0"/>
              <w:jc w:val="center"/>
              <w:rPr>
                <w:rFonts w:ascii="Times New Roman" w:eastAsia="宋体"/>
                <w:color w:val="auto"/>
                <w:kern w:val="2"/>
                <w:sz w:val="21"/>
                <w:szCs w:val="21"/>
              </w:rPr>
            </w:pPr>
            <w:r>
              <w:rPr>
                <w:rFonts w:hint="eastAsia" w:ascii="Times New Roman" w:eastAsia="宋体"/>
                <w:b/>
                <w:bCs/>
                <w:color w:val="auto"/>
                <w:kern w:val="2"/>
                <w:sz w:val="21"/>
                <w:szCs w:val="21"/>
              </w:rPr>
              <w:t>°</w:t>
            </w:r>
          </w:p>
        </w:tc>
        <w:tc>
          <w:tcPr>
            <w:tcW w:w="811" w:type="dxa"/>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m</w:t>
            </w:r>
          </w:p>
        </w:tc>
        <w:tc>
          <w:tcPr>
            <w:tcW w:w="722" w:type="dxa"/>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h</w:t>
            </w:r>
          </w:p>
        </w:tc>
        <w:tc>
          <w:tcPr>
            <w:tcW w:w="615" w:type="dxa"/>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w:t>
            </w:r>
          </w:p>
        </w:tc>
        <w:tc>
          <w:tcPr>
            <w:tcW w:w="821" w:type="dxa"/>
            <w:vAlign w:val="center"/>
          </w:tcPr>
          <w:p>
            <w:pPr>
              <w:snapToGrid w:val="0"/>
              <w:jc w:val="center"/>
              <w:rPr>
                <w:rFonts w:ascii="Times New Roman" w:eastAsia="宋体"/>
                <w:b/>
                <w:bCs/>
                <w:color w:val="auto"/>
                <w:kern w:val="2"/>
                <w:sz w:val="21"/>
                <w:szCs w:val="21"/>
              </w:rPr>
            </w:pPr>
            <w:r>
              <w:rPr>
                <w:rFonts w:ascii="Times New Roman" w:eastAsia="宋体"/>
                <w:b/>
                <w:bCs/>
                <w:color w:val="auto"/>
                <w:kern w:val="2"/>
                <w:sz w:val="21"/>
                <w:szCs w:val="21"/>
              </w:rPr>
              <w:t>kg/h</w:t>
            </w:r>
          </w:p>
        </w:tc>
        <w:tc>
          <w:tcPr>
            <w:tcW w:w="849" w:type="dxa"/>
            <w:tcBorders>
              <w:right w:val="single" w:color="auto" w:sz="12" w:space="0"/>
            </w:tcBorders>
            <w:vAlign w:val="center"/>
          </w:tcPr>
          <w:p>
            <w:pPr>
              <w:snapToGrid w:val="0"/>
              <w:jc w:val="center"/>
              <w:rPr>
                <w:rFonts w:ascii="Times New Roman" w:eastAsia="宋体"/>
                <w:b/>
                <w:bCs/>
                <w:color w:val="auto"/>
                <w:kern w:val="2"/>
                <w:sz w:val="21"/>
                <w:szCs w:val="21"/>
              </w:rPr>
            </w:pPr>
            <w:r>
              <w:rPr>
                <w:rFonts w:ascii="Times New Roman" w:eastAsia="宋体"/>
                <w:b/>
                <w:bCs/>
                <w:color w:val="auto"/>
                <w:kern w:val="2"/>
                <w:sz w:val="21"/>
                <w:szCs w:val="21"/>
              </w:rPr>
              <w:t>kg/h</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32" w:hRule="atLeast"/>
        </w:trPr>
        <w:tc>
          <w:tcPr>
            <w:tcW w:w="692" w:type="dxa"/>
            <w:tcBorders>
              <w:left w:val="single" w:color="auto" w:sz="12" w:space="0"/>
            </w:tcBorders>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鸡舍</w:t>
            </w:r>
          </w:p>
        </w:tc>
        <w:tc>
          <w:tcPr>
            <w:tcW w:w="795" w:type="dxa"/>
            <w:vAlign w:val="center"/>
          </w:tcPr>
          <w:p>
            <w:pPr>
              <w:snapToGrid w:val="0"/>
              <w:jc w:val="center"/>
              <w:rPr>
                <w:rFonts w:ascii="Times New Roman" w:eastAsia="宋体"/>
                <w:color w:val="auto"/>
                <w:kern w:val="2"/>
                <w:sz w:val="21"/>
                <w:szCs w:val="21"/>
              </w:rPr>
            </w:pPr>
            <w:r>
              <w:rPr>
                <w:rFonts w:ascii="Times New Roman" w:eastAsia="宋体"/>
                <w:color w:val="auto"/>
                <w:sz w:val="21"/>
                <w:szCs w:val="21"/>
              </w:rPr>
              <w:t>113.177433</w:t>
            </w:r>
          </w:p>
        </w:tc>
        <w:tc>
          <w:tcPr>
            <w:tcW w:w="780" w:type="dxa"/>
            <w:vAlign w:val="center"/>
          </w:tcPr>
          <w:p>
            <w:pPr>
              <w:snapToGrid w:val="0"/>
              <w:jc w:val="center"/>
              <w:rPr>
                <w:rFonts w:ascii="Times New Roman" w:eastAsia="宋体"/>
                <w:color w:val="auto"/>
                <w:kern w:val="2"/>
                <w:sz w:val="21"/>
                <w:szCs w:val="21"/>
              </w:rPr>
            </w:pPr>
            <w:r>
              <w:rPr>
                <w:rFonts w:ascii="Times New Roman" w:eastAsia="宋体"/>
                <w:color w:val="auto"/>
                <w:sz w:val="21"/>
                <w:szCs w:val="21"/>
              </w:rPr>
              <w:t>29.096263</w:t>
            </w:r>
          </w:p>
        </w:tc>
        <w:tc>
          <w:tcPr>
            <w:tcW w:w="687"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72</w:t>
            </w:r>
          </w:p>
        </w:tc>
        <w:tc>
          <w:tcPr>
            <w:tcW w:w="573"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200</w:t>
            </w:r>
          </w:p>
        </w:tc>
        <w:tc>
          <w:tcPr>
            <w:tcW w:w="645"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150</w:t>
            </w:r>
          </w:p>
        </w:tc>
        <w:tc>
          <w:tcPr>
            <w:tcW w:w="702" w:type="dxa"/>
            <w:vAlign w:val="center"/>
          </w:tcPr>
          <w:p>
            <w:pPr>
              <w:snapToGrid w:val="0"/>
              <w:jc w:val="center"/>
              <w:rPr>
                <w:rFonts w:ascii="Times New Roman" w:eastAsia="宋体"/>
                <w:color w:val="auto"/>
                <w:kern w:val="2"/>
                <w:sz w:val="21"/>
                <w:szCs w:val="21"/>
              </w:rPr>
            </w:pPr>
            <w:r>
              <w:rPr>
                <w:rFonts w:hint="eastAsia" w:ascii="Times New Roman" w:eastAsia="宋体"/>
                <w:color w:val="auto"/>
                <w:kern w:val="2"/>
                <w:sz w:val="21"/>
                <w:szCs w:val="21"/>
              </w:rPr>
              <w:t>35</w:t>
            </w:r>
          </w:p>
        </w:tc>
        <w:tc>
          <w:tcPr>
            <w:tcW w:w="811"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8</w:t>
            </w:r>
          </w:p>
        </w:tc>
        <w:tc>
          <w:tcPr>
            <w:tcW w:w="722"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5760</w:t>
            </w:r>
          </w:p>
        </w:tc>
        <w:tc>
          <w:tcPr>
            <w:tcW w:w="615"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正常</w:t>
            </w:r>
          </w:p>
        </w:tc>
        <w:tc>
          <w:tcPr>
            <w:tcW w:w="821" w:type="dxa"/>
            <w:vAlign w:val="center"/>
          </w:tcPr>
          <w:p>
            <w:pPr>
              <w:snapToGrid w:val="0"/>
              <w:jc w:val="center"/>
              <w:rPr>
                <w:rFonts w:ascii="Times New Roman" w:eastAsia="宋体"/>
                <w:color w:val="auto"/>
                <w:kern w:val="2"/>
                <w:sz w:val="21"/>
                <w:szCs w:val="21"/>
              </w:rPr>
            </w:pPr>
            <w:r>
              <w:rPr>
                <w:rFonts w:hint="eastAsia" w:ascii="Times New Roman" w:eastAsia="宋体"/>
                <w:bCs/>
                <w:color w:val="auto"/>
                <w:sz w:val="21"/>
                <w:szCs w:val="21"/>
              </w:rPr>
              <w:t>0.02865</w:t>
            </w:r>
          </w:p>
        </w:tc>
        <w:tc>
          <w:tcPr>
            <w:tcW w:w="849" w:type="dxa"/>
            <w:tcBorders>
              <w:right w:val="single" w:color="auto" w:sz="12" w:space="0"/>
            </w:tcBorders>
            <w:vAlign w:val="center"/>
          </w:tcPr>
          <w:p>
            <w:pPr>
              <w:snapToGrid w:val="0"/>
              <w:jc w:val="center"/>
              <w:rPr>
                <w:rFonts w:ascii="Times New Roman" w:eastAsia="宋体"/>
                <w:color w:val="auto"/>
                <w:kern w:val="2"/>
                <w:sz w:val="21"/>
                <w:szCs w:val="21"/>
              </w:rPr>
            </w:pPr>
            <w:r>
              <w:rPr>
                <w:rFonts w:hint="eastAsia" w:ascii="Times New Roman" w:eastAsia="宋体"/>
                <w:bCs/>
                <w:color w:val="auto"/>
                <w:sz w:val="21"/>
                <w:szCs w:val="21"/>
              </w:rPr>
              <w:t>0.00286</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0" w:hRule="atLeast"/>
        </w:trPr>
        <w:tc>
          <w:tcPr>
            <w:tcW w:w="692" w:type="dxa"/>
            <w:tcBorders>
              <w:left w:val="single" w:color="auto" w:sz="12" w:space="0"/>
            </w:tcBorders>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污水沉淀池</w:t>
            </w:r>
          </w:p>
        </w:tc>
        <w:tc>
          <w:tcPr>
            <w:tcW w:w="795"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113.176736</w:t>
            </w:r>
          </w:p>
        </w:tc>
        <w:tc>
          <w:tcPr>
            <w:tcW w:w="780" w:type="dxa"/>
            <w:vAlign w:val="center"/>
          </w:tcPr>
          <w:p>
            <w:pPr>
              <w:snapToGrid w:val="0"/>
              <w:jc w:val="center"/>
              <w:rPr>
                <w:rFonts w:ascii="Times New Roman" w:eastAsia="宋体"/>
                <w:color w:val="auto"/>
                <w:kern w:val="2"/>
                <w:sz w:val="21"/>
                <w:szCs w:val="21"/>
                <w:highlight w:val="yellow"/>
              </w:rPr>
            </w:pPr>
            <w:r>
              <w:rPr>
                <w:rFonts w:hint="eastAsia" w:ascii="Times New Roman" w:eastAsia="宋体"/>
                <w:color w:val="auto"/>
                <w:sz w:val="21"/>
                <w:szCs w:val="21"/>
              </w:rPr>
              <w:t>29.095501</w:t>
            </w:r>
          </w:p>
        </w:tc>
        <w:tc>
          <w:tcPr>
            <w:tcW w:w="687"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72</w:t>
            </w:r>
          </w:p>
        </w:tc>
        <w:tc>
          <w:tcPr>
            <w:tcW w:w="573"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10</w:t>
            </w:r>
          </w:p>
        </w:tc>
        <w:tc>
          <w:tcPr>
            <w:tcW w:w="645" w:type="dxa"/>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10</w:t>
            </w:r>
          </w:p>
        </w:tc>
        <w:tc>
          <w:tcPr>
            <w:tcW w:w="702" w:type="dxa"/>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35</w:t>
            </w:r>
          </w:p>
        </w:tc>
        <w:tc>
          <w:tcPr>
            <w:tcW w:w="811"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0</w:t>
            </w:r>
          </w:p>
        </w:tc>
        <w:tc>
          <w:tcPr>
            <w:tcW w:w="722"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7680</w:t>
            </w:r>
          </w:p>
        </w:tc>
        <w:tc>
          <w:tcPr>
            <w:tcW w:w="615" w:type="dxa"/>
            <w:vAlign w:val="center"/>
          </w:tcPr>
          <w:p>
            <w:pPr>
              <w:snapToGrid w:val="0"/>
              <w:jc w:val="center"/>
              <w:rPr>
                <w:rFonts w:ascii="Times New Roman" w:eastAsia="宋体"/>
                <w:color w:val="auto"/>
                <w:kern w:val="2"/>
                <w:sz w:val="21"/>
                <w:szCs w:val="21"/>
              </w:rPr>
            </w:pPr>
            <w:r>
              <w:rPr>
                <w:rFonts w:hint="eastAsia" w:ascii="Times New Roman" w:eastAsia="宋体"/>
                <w:color w:val="auto"/>
                <w:sz w:val="21"/>
                <w:szCs w:val="21"/>
              </w:rPr>
              <w:t>正常</w:t>
            </w:r>
          </w:p>
        </w:tc>
        <w:tc>
          <w:tcPr>
            <w:tcW w:w="821" w:type="dxa"/>
            <w:vAlign w:val="center"/>
          </w:tcPr>
          <w:p>
            <w:pPr>
              <w:snapToGrid w:val="0"/>
              <w:jc w:val="center"/>
              <w:rPr>
                <w:rFonts w:ascii="Times New Roman" w:eastAsia="宋体"/>
                <w:color w:val="auto"/>
                <w:kern w:val="2"/>
                <w:sz w:val="21"/>
                <w:szCs w:val="21"/>
              </w:rPr>
            </w:pPr>
            <w:r>
              <w:rPr>
                <w:rFonts w:hint="eastAsia" w:ascii="Times New Roman" w:eastAsia="宋体"/>
                <w:bCs/>
                <w:color w:val="auto"/>
                <w:sz w:val="21"/>
                <w:szCs w:val="21"/>
              </w:rPr>
              <w:t>0.0016</w:t>
            </w:r>
          </w:p>
        </w:tc>
        <w:tc>
          <w:tcPr>
            <w:tcW w:w="849" w:type="dxa"/>
            <w:tcBorders>
              <w:right w:val="single" w:color="auto" w:sz="12" w:space="0"/>
            </w:tcBorders>
            <w:vAlign w:val="center"/>
          </w:tcPr>
          <w:p>
            <w:pPr>
              <w:snapToGrid w:val="0"/>
              <w:jc w:val="center"/>
              <w:rPr>
                <w:rFonts w:ascii="Times New Roman" w:eastAsia="宋体"/>
                <w:color w:val="auto"/>
                <w:kern w:val="2"/>
                <w:sz w:val="21"/>
                <w:szCs w:val="21"/>
              </w:rPr>
            </w:pPr>
            <w:r>
              <w:rPr>
                <w:rFonts w:hint="eastAsia" w:ascii="Times New Roman" w:eastAsia="宋体"/>
                <w:bCs/>
                <w:color w:val="auto"/>
                <w:sz w:val="21"/>
                <w:szCs w:val="21"/>
              </w:rPr>
              <w:t>0.0001</w:t>
            </w:r>
          </w:p>
        </w:tc>
      </w:tr>
    </w:tbl>
    <w:p>
      <w:pPr>
        <w:spacing w:line="360" w:lineRule="auto"/>
        <w:ind w:firstLine="496" w:firstLineChars="200"/>
        <w:rPr>
          <w:rFonts w:ascii="Times New Roman" w:eastAsia="宋体"/>
          <w:bCs/>
          <w:color w:val="auto"/>
          <w:spacing w:val="6"/>
          <w:szCs w:val="24"/>
        </w:rPr>
      </w:pPr>
      <w:r>
        <w:rPr>
          <w:rFonts w:ascii="Times New Roman" w:eastAsia="宋体"/>
          <w:color w:val="auto"/>
          <w:szCs w:val="22"/>
        </w:rPr>
        <w:t>根据估算模式预测结果可知，各污染源排放的污染物最大地面落地浓度占标率P</w:t>
      </w:r>
      <w:r>
        <w:rPr>
          <w:rFonts w:ascii="Times New Roman" w:eastAsia="宋体"/>
          <w:color w:val="auto"/>
          <w:szCs w:val="22"/>
          <w:vertAlign w:val="subscript"/>
        </w:rPr>
        <w:t>max</w:t>
      </w:r>
      <w:r>
        <w:rPr>
          <w:rFonts w:hint="eastAsia" w:ascii="Times New Roman" w:eastAsia="宋体"/>
          <w:color w:val="auto"/>
          <w:szCs w:val="22"/>
          <w:vertAlign w:val="baseline"/>
          <w:lang w:val="en-US" w:eastAsia="zh-CN"/>
        </w:rPr>
        <w:t>=6.32</w:t>
      </w:r>
      <w:r>
        <w:rPr>
          <w:rFonts w:hint="eastAsia" w:ascii="Times New Roman" w:eastAsia="宋体"/>
          <w:color w:val="auto"/>
          <w:szCs w:val="22"/>
          <w:lang w:val="en-US" w:eastAsia="zh-CN"/>
        </w:rPr>
        <w:t>%，属于</w:t>
      </w:r>
      <w:r>
        <w:rPr>
          <w:rFonts w:ascii="Times New Roman" w:eastAsia="宋体"/>
          <w:color w:val="auto"/>
          <w:szCs w:val="22"/>
        </w:rPr>
        <w:t>1%≤P</w:t>
      </w:r>
      <w:r>
        <w:rPr>
          <w:rFonts w:ascii="Times New Roman" w:eastAsia="宋体"/>
          <w:color w:val="auto"/>
          <w:szCs w:val="22"/>
          <w:vertAlign w:val="subscript"/>
        </w:rPr>
        <w:t>max</w:t>
      </w:r>
      <w:r>
        <w:rPr>
          <w:rFonts w:ascii="Times New Roman" w:eastAsia="宋体"/>
          <w:color w:val="auto"/>
          <w:szCs w:val="22"/>
        </w:rPr>
        <w:t>＜10%</w:t>
      </w:r>
      <w:r>
        <w:rPr>
          <w:rFonts w:hint="eastAsia" w:ascii="Times New Roman" w:eastAsia="宋体"/>
          <w:color w:val="auto"/>
          <w:szCs w:val="22"/>
          <w:lang w:eastAsia="zh-CN"/>
        </w:rPr>
        <w:t>，</w:t>
      </w:r>
      <w:r>
        <w:rPr>
          <w:rFonts w:ascii="Times New Roman" w:eastAsia="宋体"/>
          <w:color w:val="auto"/>
          <w:szCs w:val="22"/>
        </w:rPr>
        <w:t>故该评估项目大气环境影响评估工作等级为二级。</w:t>
      </w:r>
      <w:r>
        <w:rPr>
          <w:rFonts w:ascii="Times New Roman" w:eastAsia="宋体"/>
          <w:bCs/>
          <w:color w:val="auto"/>
          <w:spacing w:val="6"/>
          <w:szCs w:val="24"/>
        </w:rPr>
        <w:t>根据</w:t>
      </w:r>
      <w:r>
        <w:rPr>
          <w:rFonts w:ascii="Times New Roman" w:eastAsia="宋体"/>
          <w:color w:val="auto"/>
          <w:szCs w:val="22"/>
        </w:rPr>
        <w:t>《环境影响评价技术导则大气环境》（HJ2.2-2018）</w:t>
      </w:r>
      <w:r>
        <w:rPr>
          <w:rFonts w:ascii="Times New Roman" w:eastAsia="宋体"/>
          <w:bCs/>
          <w:color w:val="auto"/>
          <w:spacing w:val="6"/>
          <w:szCs w:val="24"/>
        </w:rPr>
        <w:t>，二级评价项目不进行进一步预测与评价，只对污染物排放量进行核算。</w:t>
      </w:r>
    </w:p>
    <w:p>
      <w:pPr>
        <w:keepNext/>
        <w:keepLines/>
        <w:spacing w:before="160" w:after="170" w:line="360" w:lineRule="auto"/>
        <w:outlineLvl w:val="3"/>
        <w:rPr>
          <w:rFonts w:ascii="Times New Roman" w:eastAsia="宋体"/>
          <w:b/>
          <w:bCs/>
          <w:color w:val="auto"/>
          <w:kern w:val="2"/>
          <w:szCs w:val="28"/>
        </w:rPr>
      </w:pPr>
      <w:r>
        <w:rPr>
          <w:rFonts w:ascii="Times New Roman" w:eastAsia="宋体"/>
          <w:b/>
          <w:bCs/>
          <w:color w:val="auto"/>
          <w:kern w:val="2"/>
          <w:szCs w:val="28"/>
        </w:rPr>
        <w:t>5.2.1.3有组织排放源排放量核算</w:t>
      </w:r>
    </w:p>
    <w:p>
      <w:pPr>
        <w:tabs>
          <w:tab w:val="left" w:pos="4573"/>
        </w:tabs>
        <w:spacing w:line="360" w:lineRule="auto"/>
        <w:ind w:firstLine="496" w:firstLineChars="200"/>
        <w:rPr>
          <w:rFonts w:ascii="Times New Roman" w:eastAsia="宋体"/>
          <w:color w:val="auto"/>
          <w:szCs w:val="22"/>
        </w:rPr>
      </w:pPr>
      <w:r>
        <w:rPr>
          <w:rFonts w:ascii="Times New Roman" w:eastAsia="宋体"/>
          <w:color w:val="auto"/>
          <w:szCs w:val="22"/>
        </w:rPr>
        <w:t>根据《环境影响评价技术导则大气环境》（HJ2.2-2018），二级评价要求，对有组织污染物排放量进行核算。本项目大气污染物有组织排放量核算表</w:t>
      </w:r>
      <w:r>
        <w:rPr>
          <w:rFonts w:ascii="Times New Roman" w:eastAsia="宋体"/>
          <w:bCs/>
          <w:color w:val="auto"/>
          <w:szCs w:val="22"/>
        </w:rPr>
        <w:t>见</w:t>
      </w:r>
      <w:r>
        <w:rPr>
          <w:rFonts w:ascii="Times New Roman" w:eastAsia="宋体"/>
          <w:color w:val="auto"/>
          <w:szCs w:val="22"/>
        </w:rPr>
        <w:t>表5.2-</w:t>
      </w:r>
      <w:r>
        <w:rPr>
          <w:rFonts w:hint="eastAsia" w:ascii="Times New Roman" w:eastAsia="宋体"/>
          <w:color w:val="auto"/>
          <w:szCs w:val="22"/>
        </w:rPr>
        <w:t>7</w:t>
      </w:r>
      <w:r>
        <w:rPr>
          <w:rFonts w:ascii="Times New Roman" w:eastAsia="宋体"/>
          <w:bCs/>
          <w:color w:val="auto"/>
          <w:szCs w:val="22"/>
        </w:rPr>
        <w:t>。</w:t>
      </w:r>
    </w:p>
    <w:p>
      <w:pPr>
        <w:jc w:val="center"/>
        <w:rPr>
          <w:rFonts w:ascii="Times New Roman" w:eastAsia="宋体"/>
          <w:b/>
          <w:color w:val="auto"/>
          <w:sz w:val="21"/>
        </w:rPr>
      </w:pPr>
    </w:p>
    <w:p>
      <w:pPr>
        <w:jc w:val="center"/>
        <w:rPr>
          <w:rFonts w:ascii="Times New Roman" w:eastAsia="宋体"/>
          <w:b/>
          <w:color w:val="auto"/>
          <w:sz w:val="21"/>
        </w:rPr>
      </w:pPr>
      <w:r>
        <w:rPr>
          <w:rFonts w:ascii="Times New Roman" w:eastAsia="宋体"/>
          <w:b/>
          <w:color w:val="auto"/>
          <w:sz w:val="21"/>
        </w:rPr>
        <w:t>表5.2-</w:t>
      </w:r>
      <w:r>
        <w:rPr>
          <w:rFonts w:hint="eastAsia" w:ascii="Times New Roman" w:eastAsia="宋体"/>
          <w:b/>
          <w:color w:val="auto"/>
          <w:sz w:val="21"/>
        </w:rPr>
        <w:t>7</w:t>
      </w:r>
      <w:r>
        <w:rPr>
          <w:rFonts w:ascii="Times New Roman" w:eastAsia="宋体"/>
          <w:b/>
          <w:color w:val="auto"/>
          <w:sz w:val="21"/>
        </w:rPr>
        <w:t>大气污染物排放量核算表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1619"/>
        <w:gridCol w:w="1417"/>
        <w:gridCol w:w="1958"/>
        <w:gridCol w:w="1420"/>
        <w:gridCol w:w="14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0" w:hRule="exact"/>
          <w:jc w:val="center"/>
        </w:trPr>
        <w:tc>
          <w:tcPr>
            <w:tcW w:w="682"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序号</w:t>
            </w:r>
          </w:p>
        </w:tc>
        <w:tc>
          <w:tcPr>
            <w:tcW w:w="1619"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排污口编号</w:t>
            </w:r>
          </w:p>
        </w:tc>
        <w:tc>
          <w:tcPr>
            <w:tcW w:w="1417"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污染物</w:t>
            </w:r>
          </w:p>
        </w:tc>
        <w:tc>
          <w:tcPr>
            <w:tcW w:w="1958"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核算排放浓度（mg/m³）</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核算排放速率（kg/h）</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核算排放量（t/a）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8516" w:type="dxa"/>
            <w:gridSpan w:val="6"/>
            <w:tcBorders>
              <w:tl2br w:val="nil"/>
              <w:tr2bl w:val="nil"/>
            </w:tcBorders>
            <w:vAlign w:val="center"/>
          </w:tcPr>
          <w:p>
            <w:pPr>
              <w:pStyle w:val="5"/>
              <w:numPr>
                <w:ilvl w:val="0"/>
                <w:numId w:val="0"/>
              </w:numPr>
              <w:tabs>
                <w:tab w:val="clear" w:pos="864"/>
              </w:tabs>
              <w:spacing w:before="0" w:after="0" w:line="240" w:lineRule="auto"/>
              <w:jc w:val="center"/>
              <w:rPr>
                <w:rFonts w:ascii="Times New Roman" w:hAnsi="Times New Roman" w:eastAsia="宋体"/>
                <w:color w:val="auto"/>
                <w:sz w:val="21"/>
                <w:szCs w:val="21"/>
              </w:rPr>
            </w:pPr>
            <w:r>
              <w:rPr>
                <w:rFonts w:hint="eastAsia" w:ascii="Times New Roman" w:hAnsi="Times New Roman" w:eastAsia="宋体"/>
                <w:color w:val="auto"/>
                <w:sz w:val="21"/>
                <w:szCs w:val="21"/>
              </w:rPr>
              <w:t>一般排放口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82" w:type="dxa"/>
            <w:vMerge w:val="restart"/>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r>
              <w:rPr>
                <w:rFonts w:hint="eastAsia" w:ascii="Times New Roman" w:hAnsi="Times New Roman" w:eastAsia="宋体"/>
                <w:b w:val="0"/>
                <w:bCs w:val="0"/>
                <w:color w:val="auto"/>
                <w:sz w:val="21"/>
                <w:szCs w:val="21"/>
              </w:rPr>
              <w:t>1</w:t>
            </w:r>
          </w:p>
        </w:tc>
        <w:tc>
          <w:tcPr>
            <w:tcW w:w="1619" w:type="dxa"/>
            <w:vMerge w:val="restart"/>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r>
              <w:rPr>
                <w:rFonts w:hint="eastAsia" w:ascii="Times New Roman" w:hAnsi="Times New Roman" w:eastAsia="宋体"/>
                <w:b w:val="0"/>
                <w:bCs w:val="0"/>
                <w:color w:val="auto"/>
                <w:sz w:val="21"/>
                <w:szCs w:val="21"/>
              </w:rPr>
              <w:t>DA001</w:t>
            </w:r>
          </w:p>
        </w:tc>
        <w:tc>
          <w:tcPr>
            <w:tcW w:w="1417"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r>
              <w:rPr>
                <w:rFonts w:hint="eastAsia" w:ascii="Times New Roman" w:hAnsi="Times New Roman" w:eastAsia="宋体"/>
                <w:b w:val="0"/>
                <w:bCs w:val="0"/>
                <w:color w:val="auto"/>
                <w:sz w:val="21"/>
                <w:szCs w:val="21"/>
              </w:rPr>
              <w:t>颗粒物</w:t>
            </w:r>
          </w:p>
        </w:tc>
        <w:tc>
          <w:tcPr>
            <w:tcW w:w="1958"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3.9</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rPr>
              <w:t>0.</w:t>
            </w:r>
            <w:r>
              <w:rPr>
                <w:rFonts w:hint="eastAsia" w:ascii="Times New Roman" w:hAnsi="Times New Roman" w:eastAsia="宋体"/>
                <w:b w:val="0"/>
                <w:bCs w:val="0"/>
                <w:color w:val="auto"/>
                <w:sz w:val="21"/>
                <w:szCs w:val="21"/>
                <w:lang w:val="en-US" w:eastAsia="zh-CN"/>
              </w:rPr>
              <w:t>024</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0.029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82" w:type="dxa"/>
            <w:vMerge w:val="continue"/>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p>
        </w:tc>
        <w:tc>
          <w:tcPr>
            <w:tcW w:w="1619" w:type="dxa"/>
            <w:vMerge w:val="continue"/>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p>
        </w:tc>
        <w:tc>
          <w:tcPr>
            <w:tcW w:w="1417"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r>
              <w:rPr>
                <w:rFonts w:hint="eastAsia" w:ascii="Times New Roman" w:hAnsi="Times New Roman" w:eastAsia="宋体"/>
                <w:b w:val="0"/>
                <w:bCs w:val="0"/>
                <w:color w:val="auto"/>
                <w:sz w:val="21"/>
                <w:szCs w:val="21"/>
              </w:rPr>
              <w:t>SO</w:t>
            </w:r>
            <w:r>
              <w:rPr>
                <w:rFonts w:hint="eastAsia" w:ascii="Times New Roman" w:hAnsi="Times New Roman" w:eastAsia="宋体"/>
                <w:b w:val="0"/>
                <w:bCs w:val="0"/>
                <w:color w:val="auto"/>
                <w:sz w:val="21"/>
                <w:szCs w:val="21"/>
                <w:vertAlign w:val="subscript"/>
              </w:rPr>
              <w:t>2</w:t>
            </w:r>
          </w:p>
        </w:tc>
        <w:tc>
          <w:tcPr>
            <w:tcW w:w="1958"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76.8</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rPr>
              <w:t>0.</w:t>
            </w:r>
            <w:r>
              <w:rPr>
                <w:rFonts w:hint="eastAsia" w:ascii="Times New Roman" w:hAnsi="Times New Roman" w:eastAsia="宋体"/>
                <w:b w:val="0"/>
                <w:bCs w:val="0"/>
                <w:color w:val="auto"/>
                <w:sz w:val="21"/>
                <w:szCs w:val="21"/>
                <w:lang w:val="en-US" w:eastAsia="zh-CN"/>
              </w:rPr>
              <w:t>476</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0.571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82" w:type="dxa"/>
            <w:vMerge w:val="continue"/>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p>
        </w:tc>
        <w:tc>
          <w:tcPr>
            <w:tcW w:w="1619" w:type="dxa"/>
            <w:vMerge w:val="continue"/>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p>
        </w:tc>
        <w:tc>
          <w:tcPr>
            <w:tcW w:w="1417" w:type="dxa"/>
            <w:tcBorders>
              <w:tl2br w:val="nil"/>
              <w:tr2bl w:val="nil"/>
            </w:tcBorders>
            <w:vAlign w:val="center"/>
          </w:tcPr>
          <w:p>
            <w:pPr>
              <w:pStyle w:val="5"/>
              <w:numPr>
                <w:ilvl w:val="0"/>
                <w:numId w:val="0"/>
              </w:numPr>
              <w:tabs>
                <w:tab w:val="clear" w:pos="864"/>
              </w:tabs>
              <w:spacing w:before="0" w:after="0" w:line="240" w:lineRule="auto"/>
              <w:rPr>
                <w:rFonts w:ascii="Times New Roman" w:hAnsi="Times New Roman" w:eastAsia="宋体"/>
                <w:b w:val="0"/>
                <w:bCs w:val="0"/>
                <w:color w:val="auto"/>
                <w:sz w:val="21"/>
                <w:szCs w:val="21"/>
              </w:rPr>
            </w:pPr>
            <w:r>
              <w:rPr>
                <w:rFonts w:hint="eastAsia" w:ascii="Times New Roman" w:hAnsi="Times New Roman" w:eastAsia="宋体"/>
                <w:b w:val="0"/>
                <w:bCs w:val="0"/>
                <w:color w:val="auto"/>
                <w:sz w:val="21"/>
                <w:szCs w:val="21"/>
              </w:rPr>
              <w:t>NOx</w:t>
            </w:r>
          </w:p>
        </w:tc>
        <w:tc>
          <w:tcPr>
            <w:tcW w:w="1958"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65.8</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rPr>
              <w:t>0.</w:t>
            </w:r>
            <w:r>
              <w:rPr>
                <w:rFonts w:hint="eastAsia" w:ascii="Times New Roman" w:hAnsi="Times New Roman" w:eastAsia="宋体"/>
                <w:b w:val="0"/>
                <w:bCs w:val="0"/>
                <w:color w:val="auto"/>
                <w:sz w:val="21"/>
                <w:szCs w:val="21"/>
                <w:lang w:val="en-US" w:eastAsia="zh-CN"/>
              </w:rPr>
              <w:t>408</w:t>
            </w:r>
          </w:p>
        </w:tc>
        <w:tc>
          <w:tcPr>
            <w:tcW w:w="1420" w:type="dxa"/>
            <w:tcBorders>
              <w:tl2br w:val="nil"/>
              <w:tr2bl w:val="nil"/>
            </w:tcBorders>
            <w:vAlign w:val="center"/>
          </w:tcPr>
          <w:p>
            <w:pPr>
              <w:pStyle w:val="5"/>
              <w:numPr>
                <w:ilvl w:val="0"/>
                <w:numId w:val="0"/>
              </w:numPr>
              <w:tabs>
                <w:tab w:val="clear" w:pos="864"/>
              </w:tabs>
              <w:spacing w:before="0" w:after="0" w:line="240" w:lineRule="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0.490</w:t>
            </w:r>
          </w:p>
        </w:tc>
      </w:tr>
    </w:tbl>
    <w:p>
      <w:pPr>
        <w:keepNext/>
        <w:keepLines/>
        <w:spacing w:before="160" w:after="170" w:line="360" w:lineRule="auto"/>
        <w:outlineLvl w:val="3"/>
        <w:rPr>
          <w:rFonts w:ascii="Times New Roman" w:eastAsia="宋体"/>
          <w:b/>
          <w:bCs/>
          <w:color w:val="auto"/>
          <w:kern w:val="2"/>
          <w:szCs w:val="28"/>
        </w:rPr>
      </w:pPr>
      <w:r>
        <w:rPr>
          <w:rFonts w:ascii="Times New Roman" w:eastAsia="宋体"/>
          <w:b/>
          <w:bCs/>
          <w:color w:val="auto"/>
          <w:kern w:val="2"/>
          <w:szCs w:val="28"/>
        </w:rPr>
        <w:t>5.2.1.4无组织排放源排放量核算</w:t>
      </w:r>
    </w:p>
    <w:p>
      <w:pPr>
        <w:tabs>
          <w:tab w:val="left" w:pos="4573"/>
        </w:tabs>
        <w:spacing w:line="360" w:lineRule="auto"/>
        <w:ind w:firstLine="496" w:firstLineChars="200"/>
        <w:rPr>
          <w:rFonts w:ascii="Times New Roman" w:eastAsia="宋体"/>
          <w:bCs/>
          <w:color w:val="auto"/>
          <w:szCs w:val="22"/>
        </w:rPr>
      </w:pPr>
      <w:r>
        <w:rPr>
          <w:rFonts w:ascii="Times New Roman" w:eastAsia="宋体"/>
          <w:color w:val="auto"/>
          <w:szCs w:val="22"/>
        </w:rPr>
        <w:t>本项目大气污染物无组织排放量核算表</w:t>
      </w:r>
      <w:r>
        <w:rPr>
          <w:rFonts w:ascii="Times New Roman" w:eastAsia="宋体"/>
          <w:bCs/>
          <w:color w:val="auto"/>
          <w:szCs w:val="22"/>
        </w:rPr>
        <w:t>见表</w:t>
      </w:r>
      <w:r>
        <w:rPr>
          <w:rFonts w:ascii="Times New Roman" w:eastAsia="宋体"/>
          <w:bCs/>
          <w:color w:val="auto"/>
          <w:szCs w:val="24"/>
        </w:rPr>
        <w:t>5.2-</w:t>
      </w:r>
      <w:r>
        <w:rPr>
          <w:rFonts w:hint="eastAsia" w:ascii="Times New Roman" w:eastAsia="宋体"/>
          <w:bCs/>
          <w:color w:val="auto"/>
          <w:szCs w:val="24"/>
        </w:rPr>
        <w:t>8</w:t>
      </w:r>
      <w:r>
        <w:rPr>
          <w:rFonts w:ascii="Times New Roman" w:eastAsia="宋体"/>
          <w:bCs/>
          <w:color w:val="auto"/>
          <w:szCs w:val="22"/>
        </w:rPr>
        <w:t>。</w:t>
      </w:r>
    </w:p>
    <w:p>
      <w:pPr>
        <w:jc w:val="center"/>
        <w:rPr>
          <w:rFonts w:ascii="Times New Roman" w:eastAsia="宋体"/>
          <w:b/>
          <w:color w:val="auto"/>
          <w:sz w:val="21"/>
        </w:rPr>
      </w:pPr>
      <w:r>
        <w:rPr>
          <w:rFonts w:ascii="Times New Roman" w:eastAsia="宋体"/>
          <w:b/>
          <w:color w:val="auto"/>
          <w:sz w:val="21"/>
        </w:rPr>
        <w:t>表5.2-</w:t>
      </w:r>
      <w:r>
        <w:rPr>
          <w:rFonts w:hint="eastAsia" w:ascii="Times New Roman" w:eastAsia="宋体"/>
          <w:b/>
          <w:color w:val="auto"/>
          <w:sz w:val="21"/>
        </w:rPr>
        <w:t>8</w:t>
      </w:r>
      <w:r>
        <w:rPr>
          <w:rFonts w:ascii="Times New Roman" w:eastAsia="宋体"/>
          <w:b/>
          <w:color w:val="auto"/>
          <w:sz w:val="21"/>
        </w:rPr>
        <w:t>大气污染物无组织排放量核算表</w:t>
      </w:r>
    </w:p>
    <w:tbl>
      <w:tblPr>
        <w:tblStyle w:val="47"/>
        <w:tblW w:w="504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380"/>
        <w:gridCol w:w="991"/>
        <w:gridCol w:w="523"/>
        <w:gridCol w:w="649"/>
        <w:gridCol w:w="2974"/>
        <w:gridCol w:w="1056"/>
        <w:gridCol w:w="1034"/>
        <w:gridCol w:w="8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89" w:hRule="atLeast"/>
          <w:jc w:val="center"/>
        </w:trPr>
        <w:tc>
          <w:tcPr>
            <w:tcW w:w="223"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序号</w:t>
            </w:r>
          </w:p>
        </w:tc>
        <w:tc>
          <w:tcPr>
            <w:tcW w:w="583"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排放口</w:t>
            </w:r>
          </w:p>
        </w:tc>
        <w:tc>
          <w:tcPr>
            <w:tcW w:w="307"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产污环节</w:t>
            </w:r>
          </w:p>
        </w:tc>
        <w:tc>
          <w:tcPr>
            <w:tcW w:w="381"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污染物</w:t>
            </w:r>
          </w:p>
        </w:tc>
        <w:tc>
          <w:tcPr>
            <w:tcW w:w="1750"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主要污染防治措施</w:t>
            </w:r>
          </w:p>
        </w:tc>
        <w:tc>
          <w:tcPr>
            <w:tcW w:w="1230" w:type="pct"/>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国家或地方污染物排放标准</w:t>
            </w:r>
          </w:p>
        </w:tc>
        <w:tc>
          <w:tcPr>
            <w:tcW w:w="522"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年排放量（t/a）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89" w:hRule="atLeast"/>
          <w:jc w:val="center"/>
        </w:trPr>
        <w:tc>
          <w:tcPr>
            <w:tcW w:w="223" w:type="pct"/>
            <w:vMerge w:val="continue"/>
            <w:tcBorders>
              <w:tl2br w:val="nil"/>
              <w:tr2bl w:val="nil"/>
            </w:tcBorders>
            <w:vAlign w:val="center"/>
          </w:tcPr>
          <w:p>
            <w:pPr>
              <w:jc w:val="center"/>
              <w:rPr>
                <w:rFonts w:ascii="Times New Roman" w:eastAsia="宋体"/>
                <w:color w:val="auto"/>
                <w:kern w:val="2"/>
                <w:sz w:val="21"/>
                <w:szCs w:val="21"/>
              </w:rPr>
            </w:pPr>
          </w:p>
        </w:tc>
        <w:tc>
          <w:tcPr>
            <w:tcW w:w="583" w:type="pct"/>
            <w:vMerge w:val="continue"/>
            <w:tcBorders>
              <w:tl2br w:val="nil"/>
              <w:tr2bl w:val="nil"/>
            </w:tcBorders>
            <w:vAlign w:val="center"/>
          </w:tcPr>
          <w:p>
            <w:pPr>
              <w:jc w:val="center"/>
              <w:rPr>
                <w:rFonts w:ascii="Times New Roman" w:eastAsia="宋体"/>
                <w:color w:val="auto"/>
                <w:kern w:val="2"/>
                <w:sz w:val="21"/>
                <w:szCs w:val="21"/>
              </w:rPr>
            </w:pPr>
          </w:p>
        </w:tc>
        <w:tc>
          <w:tcPr>
            <w:tcW w:w="307" w:type="pct"/>
            <w:vMerge w:val="continue"/>
            <w:tcBorders>
              <w:tl2br w:val="nil"/>
              <w:tr2bl w:val="nil"/>
            </w:tcBorders>
            <w:vAlign w:val="center"/>
          </w:tcPr>
          <w:p>
            <w:pPr>
              <w:jc w:val="center"/>
              <w:rPr>
                <w:rFonts w:ascii="Times New Roman" w:eastAsia="宋体"/>
                <w:color w:val="auto"/>
                <w:kern w:val="2"/>
                <w:sz w:val="21"/>
                <w:szCs w:val="21"/>
              </w:rPr>
            </w:pPr>
          </w:p>
        </w:tc>
        <w:tc>
          <w:tcPr>
            <w:tcW w:w="381" w:type="pct"/>
            <w:vMerge w:val="continue"/>
            <w:tcBorders>
              <w:tl2br w:val="nil"/>
              <w:tr2bl w:val="nil"/>
            </w:tcBorders>
            <w:vAlign w:val="center"/>
          </w:tcPr>
          <w:p>
            <w:pPr>
              <w:jc w:val="center"/>
              <w:rPr>
                <w:rFonts w:ascii="Times New Roman" w:eastAsia="宋体"/>
                <w:color w:val="auto"/>
                <w:kern w:val="2"/>
                <w:sz w:val="21"/>
                <w:szCs w:val="21"/>
              </w:rPr>
            </w:pPr>
          </w:p>
        </w:tc>
        <w:tc>
          <w:tcPr>
            <w:tcW w:w="1750" w:type="pct"/>
            <w:vMerge w:val="continue"/>
            <w:tcBorders>
              <w:tl2br w:val="nil"/>
              <w:tr2bl w:val="nil"/>
            </w:tcBorders>
            <w:vAlign w:val="center"/>
          </w:tcPr>
          <w:p>
            <w:pPr>
              <w:jc w:val="center"/>
              <w:rPr>
                <w:rFonts w:ascii="Times New Roman" w:eastAsia="宋体"/>
                <w:color w:val="auto"/>
                <w:kern w:val="2"/>
                <w:sz w:val="21"/>
                <w:szCs w:val="21"/>
              </w:rPr>
            </w:pPr>
          </w:p>
        </w:tc>
        <w:tc>
          <w:tcPr>
            <w:tcW w:w="621"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标准名称</w:t>
            </w:r>
          </w:p>
        </w:tc>
        <w:tc>
          <w:tcPr>
            <w:tcW w:w="60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浓度限值（mg/m</w:t>
            </w:r>
            <w:r>
              <w:rPr>
                <w:rFonts w:ascii="Times New Roman" w:eastAsia="宋体"/>
                <w:color w:val="auto"/>
                <w:kern w:val="2"/>
                <w:sz w:val="21"/>
                <w:szCs w:val="21"/>
                <w:vertAlign w:val="superscript"/>
              </w:rPr>
              <w:t>3</w:t>
            </w:r>
            <w:r>
              <w:rPr>
                <w:rFonts w:ascii="Times New Roman" w:eastAsia="宋体"/>
                <w:color w:val="auto"/>
                <w:kern w:val="2"/>
                <w:sz w:val="21"/>
                <w:szCs w:val="21"/>
              </w:rPr>
              <w:t>）</w:t>
            </w:r>
          </w:p>
        </w:tc>
        <w:tc>
          <w:tcPr>
            <w:tcW w:w="522" w:type="pct"/>
            <w:vMerge w:val="continue"/>
            <w:tcBorders>
              <w:tl2br w:val="nil"/>
              <w:tr2bl w:val="nil"/>
            </w:tcBorders>
            <w:vAlign w:val="center"/>
          </w:tcPr>
          <w:p>
            <w:pPr>
              <w:jc w:val="center"/>
              <w:rPr>
                <w:rFonts w:ascii="Times New Roman" w:eastAsia="宋体"/>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1240" w:hRule="atLeast"/>
          <w:jc w:val="center"/>
        </w:trPr>
        <w:tc>
          <w:tcPr>
            <w:tcW w:w="223"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1</w:t>
            </w:r>
          </w:p>
        </w:tc>
        <w:tc>
          <w:tcPr>
            <w:tcW w:w="583"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鸡舍无组织排放</w:t>
            </w:r>
          </w:p>
        </w:tc>
        <w:tc>
          <w:tcPr>
            <w:tcW w:w="307"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养殖过程</w:t>
            </w:r>
          </w:p>
        </w:tc>
        <w:tc>
          <w:tcPr>
            <w:tcW w:w="381"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NH</w:t>
            </w:r>
            <w:r>
              <w:rPr>
                <w:rFonts w:ascii="Times New Roman" w:eastAsia="宋体"/>
                <w:color w:val="auto"/>
                <w:kern w:val="2"/>
                <w:sz w:val="21"/>
                <w:szCs w:val="21"/>
                <w:vertAlign w:val="subscript"/>
              </w:rPr>
              <w:t>3</w:t>
            </w:r>
          </w:p>
        </w:tc>
        <w:tc>
          <w:tcPr>
            <w:tcW w:w="1750"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养鸡场在生产期将在鸡舍内加强通风，鸡饲料加添微生物制剂，改善家家禽肠道吸收功能，提高各种养分的吸收利用，并将在鸡舍四周以及各鸡舍之间的空地上种植高大乔木</w:t>
            </w:r>
          </w:p>
        </w:tc>
        <w:tc>
          <w:tcPr>
            <w:tcW w:w="621"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厂界满足《恶臭污染物排放标准》限值</w:t>
            </w:r>
          </w:p>
        </w:tc>
        <w:tc>
          <w:tcPr>
            <w:tcW w:w="608" w:type="pct"/>
            <w:tcBorders>
              <w:tl2br w:val="nil"/>
              <w:tr2bl w:val="nil"/>
            </w:tcBorders>
            <w:vAlign w:val="center"/>
          </w:tcPr>
          <w:p>
            <w:pPr>
              <w:pStyle w:val="373"/>
              <w:rPr>
                <w:color w:val="auto"/>
              </w:rPr>
            </w:pPr>
            <w:r>
              <w:rPr>
                <w:color w:val="auto"/>
              </w:rPr>
              <w:t>1.5</w:t>
            </w:r>
          </w:p>
        </w:tc>
        <w:tc>
          <w:tcPr>
            <w:tcW w:w="522" w:type="pct"/>
            <w:tcBorders>
              <w:tl2br w:val="nil"/>
              <w:tr2bl w:val="nil"/>
            </w:tcBorders>
            <w:vAlign w:val="center"/>
          </w:tcPr>
          <w:p>
            <w:pPr>
              <w:tabs>
                <w:tab w:val="left" w:pos="0"/>
              </w:tabs>
              <w:adjustRightInd w:val="0"/>
              <w:snapToGrid w:val="0"/>
              <w:jc w:val="center"/>
              <w:rPr>
                <w:rFonts w:ascii="Times New Roman" w:eastAsia="宋体"/>
                <w:color w:val="auto"/>
                <w:kern w:val="2"/>
                <w:sz w:val="21"/>
                <w:szCs w:val="21"/>
                <w:highlight w:val="yellow"/>
              </w:rPr>
            </w:pPr>
            <w:r>
              <w:rPr>
                <w:rFonts w:ascii="Times New Roman" w:eastAsia="宋体"/>
                <w:bCs/>
                <w:color w:val="auto"/>
                <w:sz w:val="21"/>
                <w:szCs w:val="21"/>
              </w:rPr>
              <w:t>0.</w:t>
            </w:r>
            <w:r>
              <w:rPr>
                <w:rFonts w:hint="eastAsia" w:ascii="Times New Roman" w:eastAsia="宋体"/>
                <w:bCs/>
                <w:color w:val="auto"/>
                <w:sz w:val="21"/>
                <w:szCs w:val="21"/>
              </w:rPr>
              <w:t>165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670" w:hRule="atLeast"/>
          <w:jc w:val="center"/>
        </w:trPr>
        <w:tc>
          <w:tcPr>
            <w:tcW w:w="223" w:type="pct"/>
            <w:vMerge w:val="continue"/>
            <w:tcBorders>
              <w:tl2br w:val="nil"/>
              <w:tr2bl w:val="nil"/>
            </w:tcBorders>
            <w:vAlign w:val="center"/>
          </w:tcPr>
          <w:p>
            <w:pPr>
              <w:jc w:val="center"/>
              <w:rPr>
                <w:rFonts w:ascii="Times New Roman" w:eastAsia="宋体"/>
                <w:color w:val="auto"/>
                <w:kern w:val="2"/>
                <w:sz w:val="21"/>
                <w:szCs w:val="21"/>
              </w:rPr>
            </w:pPr>
          </w:p>
        </w:tc>
        <w:tc>
          <w:tcPr>
            <w:tcW w:w="583" w:type="pct"/>
            <w:vMerge w:val="continue"/>
            <w:tcBorders>
              <w:tl2br w:val="nil"/>
              <w:tr2bl w:val="nil"/>
            </w:tcBorders>
            <w:vAlign w:val="center"/>
          </w:tcPr>
          <w:p>
            <w:pPr>
              <w:jc w:val="center"/>
              <w:rPr>
                <w:rFonts w:ascii="Times New Roman" w:eastAsia="宋体"/>
                <w:color w:val="auto"/>
                <w:kern w:val="2"/>
                <w:sz w:val="21"/>
                <w:szCs w:val="21"/>
              </w:rPr>
            </w:pPr>
          </w:p>
        </w:tc>
        <w:tc>
          <w:tcPr>
            <w:tcW w:w="307" w:type="pct"/>
            <w:vMerge w:val="continue"/>
            <w:tcBorders>
              <w:tl2br w:val="nil"/>
              <w:tr2bl w:val="nil"/>
            </w:tcBorders>
            <w:vAlign w:val="center"/>
          </w:tcPr>
          <w:p>
            <w:pPr>
              <w:jc w:val="center"/>
              <w:rPr>
                <w:rFonts w:ascii="Times New Roman" w:eastAsia="宋体"/>
                <w:color w:val="auto"/>
                <w:kern w:val="2"/>
                <w:sz w:val="21"/>
                <w:szCs w:val="21"/>
              </w:rPr>
            </w:pPr>
          </w:p>
        </w:tc>
        <w:tc>
          <w:tcPr>
            <w:tcW w:w="381"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H</w:t>
            </w:r>
            <w:r>
              <w:rPr>
                <w:rFonts w:ascii="Times New Roman" w:eastAsia="宋体"/>
                <w:color w:val="auto"/>
                <w:kern w:val="2"/>
                <w:sz w:val="21"/>
                <w:szCs w:val="21"/>
                <w:vertAlign w:val="subscript"/>
              </w:rPr>
              <w:t>2</w:t>
            </w:r>
            <w:r>
              <w:rPr>
                <w:rFonts w:ascii="Times New Roman" w:eastAsia="宋体"/>
                <w:color w:val="auto"/>
                <w:kern w:val="2"/>
                <w:sz w:val="21"/>
                <w:szCs w:val="21"/>
              </w:rPr>
              <w:t>S</w:t>
            </w:r>
          </w:p>
        </w:tc>
        <w:tc>
          <w:tcPr>
            <w:tcW w:w="1750" w:type="pct"/>
            <w:vMerge w:val="continue"/>
            <w:tcBorders>
              <w:tl2br w:val="nil"/>
              <w:tr2bl w:val="nil"/>
            </w:tcBorders>
            <w:vAlign w:val="center"/>
          </w:tcPr>
          <w:p>
            <w:pPr>
              <w:jc w:val="center"/>
              <w:rPr>
                <w:rFonts w:ascii="Times New Roman" w:eastAsia="宋体"/>
                <w:color w:val="auto"/>
                <w:kern w:val="2"/>
                <w:sz w:val="21"/>
                <w:szCs w:val="21"/>
              </w:rPr>
            </w:pPr>
          </w:p>
        </w:tc>
        <w:tc>
          <w:tcPr>
            <w:tcW w:w="621" w:type="pct"/>
            <w:vMerge w:val="continue"/>
            <w:tcBorders>
              <w:tl2br w:val="nil"/>
              <w:tr2bl w:val="nil"/>
            </w:tcBorders>
            <w:vAlign w:val="center"/>
          </w:tcPr>
          <w:p>
            <w:pPr>
              <w:jc w:val="center"/>
              <w:rPr>
                <w:rFonts w:ascii="Times New Roman" w:eastAsia="宋体"/>
                <w:color w:val="auto"/>
                <w:kern w:val="2"/>
                <w:sz w:val="21"/>
                <w:szCs w:val="21"/>
              </w:rPr>
            </w:pPr>
          </w:p>
        </w:tc>
        <w:tc>
          <w:tcPr>
            <w:tcW w:w="608" w:type="pct"/>
            <w:tcBorders>
              <w:tl2br w:val="nil"/>
              <w:tr2bl w:val="nil"/>
            </w:tcBorders>
            <w:vAlign w:val="center"/>
          </w:tcPr>
          <w:p>
            <w:pPr>
              <w:pStyle w:val="373"/>
              <w:rPr>
                <w:color w:val="auto"/>
              </w:rPr>
            </w:pPr>
            <w:r>
              <w:rPr>
                <w:color w:val="auto"/>
              </w:rPr>
              <w:t>0.06</w:t>
            </w:r>
          </w:p>
        </w:tc>
        <w:tc>
          <w:tcPr>
            <w:tcW w:w="522" w:type="pct"/>
            <w:tcBorders>
              <w:tl2br w:val="nil"/>
              <w:tr2bl w:val="nil"/>
            </w:tcBorders>
            <w:vAlign w:val="center"/>
          </w:tcPr>
          <w:p>
            <w:pPr>
              <w:tabs>
                <w:tab w:val="left" w:pos="0"/>
              </w:tabs>
              <w:adjustRightInd w:val="0"/>
              <w:snapToGrid w:val="0"/>
              <w:jc w:val="center"/>
              <w:rPr>
                <w:rFonts w:ascii="Times New Roman" w:eastAsia="宋体"/>
                <w:color w:val="auto"/>
                <w:kern w:val="2"/>
                <w:sz w:val="21"/>
                <w:szCs w:val="21"/>
                <w:highlight w:val="yellow"/>
              </w:rPr>
            </w:pPr>
            <w:r>
              <w:rPr>
                <w:rFonts w:ascii="Times New Roman" w:eastAsia="宋体"/>
                <w:bCs/>
                <w:color w:val="auto"/>
                <w:sz w:val="21"/>
                <w:szCs w:val="21"/>
              </w:rPr>
              <w:t>0.0</w:t>
            </w:r>
            <w:r>
              <w:rPr>
                <w:rFonts w:hint="eastAsia" w:ascii="Times New Roman" w:eastAsia="宋体"/>
                <w:bCs/>
                <w:color w:val="auto"/>
                <w:sz w:val="21"/>
                <w:szCs w:val="21"/>
              </w:rPr>
              <w:t>165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675" w:hRule="atLeast"/>
          <w:jc w:val="center"/>
        </w:trPr>
        <w:tc>
          <w:tcPr>
            <w:tcW w:w="223"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2</w:t>
            </w:r>
          </w:p>
        </w:tc>
        <w:tc>
          <w:tcPr>
            <w:tcW w:w="583"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污水沉淀池无组织排放</w:t>
            </w:r>
          </w:p>
        </w:tc>
        <w:tc>
          <w:tcPr>
            <w:tcW w:w="307" w:type="pct"/>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运营期</w:t>
            </w:r>
          </w:p>
        </w:tc>
        <w:tc>
          <w:tcPr>
            <w:tcW w:w="381"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NH</w:t>
            </w:r>
            <w:r>
              <w:rPr>
                <w:rFonts w:ascii="Times New Roman" w:eastAsia="宋体"/>
                <w:color w:val="auto"/>
                <w:kern w:val="2"/>
                <w:sz w:val="21"/>
                <w:szCs w:val="21"/>
                <w:vertAlign w:val="subscript"/>
              </w:rPr>
              <w:t>3</w:t>
            </w:r>
          </w:p>
        </w:tc>
        <w:tc>
          <w:tcPr>
            <w:tcW w:w="1750" w:type="pct"/>
            <w:vMerge w:val="restart"/>
            <w:tcBorders>
              <w:tl2br w:val="nil"/>
              <w:tr2bl w:val="nil"/>
            </w:tcBorders>
            <w:vAlign w:val="center"/>
          </w:tcPr>
          <w:p>
            <w:pPr>
              <w:widowControl/>
              <w:adjustRightInd w:val="0"/>
              <w:snapToGrid w:val="0"/>
              <w:jc w:val="center"/>
              <w:rPr>
                <w:rFonts w:ascii="Times New Roman" w:eastAsia="宋体"/>
                <w:color w:val="auto"/>
                <w:sz w:val="21"/>
                <w:szCs w:val="21"/>
              </w:rPr>
            </w:pPr>
            <w:r>
              <w:rPr>
                <w:rFonts w:ascii="Times New Roman" w:eastAsia="宋体"/>
                <w:color w:val="auto"/>
                <w:kern w:val="2"/>
                <w:sz w:val="21"/>
                <w:szCs w:val="21"/>
              </w:rPr>
              <w:t>加盖封闭+定期喷洒除臭剂</w:t>
            </w:r>
          </w:p>
          <w:p>
            <w:pPr>
              <w:jc w:val="center"/>
              <w:rPr>
                <w:rFonts w:ascii="Times New Roman" w:eastAsia="宋体"/>
                <w:color w:val="auto"/>
                <w:kern w:val="2"/>
                <w:sz w:val="21"/>
                <w:szCs w:val="21"/>
              </w:rPr>
            </w:pPr>
          </w:p>
        </w:tc>
        <w:tc>
          <w:tcPr>
            <w:tcW w:w="621" w:type="pct"/>
            <w:vMerge w:val="continue"/>
            <w:tcBorders>
              <w:tl2br w:val="nil"/>
              <w:tr2bl w:val="nil"/>
            </w:tcBorders>
            <w:vAlign w:val="center"/>
          </w:tcPr>
          <w:p>
            <w:pPr>
              <w:jc w:val="center"/>
              <w:rPr>
                <w:rFonts w:ascii="Times New Roman" w:eastAsia="宋体"/>
                <w:color w:val="auto"/>
                <w:kern w:val="2"/>
                <w:sz w:val="21"/>
                <w:szCs w:val="21"/>
              </w:rPr>
            </w:pPr>
          </w:p>
        </w:tc>
        <w:tc>
          <w:tcPr>
            <w:tcW w:w="608" w:type="pct"/>
            <w:tcBorders>
              <w:tl2br w:val="nil"/>
              <w:tr2bl w:val="nil"/>
            </w:tcBorders>
            <w:vAlign w:val="center"/>
          </w:tcPr>
          <w:p>
            <w:pPr>
              <w:pStyle w:val="373"/>
              <w:rPr>
                <w:color w:val="auto"/>
              </w:rPr>
            </w:pPr>
            <w:r>
              <w:rPr>
                <w:color w:val="auto"/>
              </w:rPr>
              <w:t>1.5</w:t>
            </w:r>
          </w:p>
        </w:tc>
        <w:tc>
          <w:tcPr>
            <w:tcW w:w="522" w:type="pct"/>
            <w:tcBorders>
              <w:tl2br w:val="nil"/>
              <w:tr2bl w:val="nil"/>
            </w:tcBorders>
            <w:vAlign w:val="center"/>
          </w:tcPr>
          <w:p>
            <w:pPr>
              <w:adjustRightInd w:val="0"/>
              <w:snapToGrid w:val="0"/>
              <w:jc w:val="center"/>
              <w:rPr>
                <w:rFonts w:ascii="Times New Roman" w:eastAsia="宋体"/>
                <w:color w:val="auto"/>
                <w:kern w:val="2"/>
                <w:sz w:val="21"/>
                <w:szCs w:val="21"/>
                <w:highlight w:val="yellow"/>
              </w:rPr>
            </w:pPr>
            <w:r>
              <w:rPr>
                <w:rFonts w:ascii="Times New Roman" w:eastAsia="宋体"/>
                <w:bCs/>
                <w:color w:val="auto"/>
                <w:sz w:val="21"/>
                <w:szCs w:val="21"/>
              </w:rPr>
              <w:t>0.0</w:t>
            </w:r>
            <w:r>
              <w:rPr>
                <w:rFonts w:hint="eastAsia" w:ascii="Times New Roman" w:eastAsia="宋体"/>
                <w:bCs/>
                <w:color w:val="auto"/>
                <w:sz w:val="21"/>
                <w:szCs w:val="21"/>
              </w:rPr>
              <w:t>1228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223" w:type="pct"/>
            <w:vMerge w:val="continue"/>
            <w:tcBorders>
              <w:tl2br w:val="nil"/>
              <w:tr2bl w:val="nil"/>
            </w:tcBorders>
            <w:vAlign w:val="center"/>
          </w:tcPr>
          <w:p>
            <w:pPr>
              <w:jc w:val="center"/>
              <w:rPr>
                <w:rFonts w:ascii="Times New Roman" w:eastAsia="宋体"/>
                <w:color w:val="auto"/>
                <w:kern w:val="2"/>
                <w:sz w:val="21"/>
                <w:szCs w:val="21"/>
              </w:rPr>
            </w:pPr>
          </w:p>
        </w:tc>
        <w:tc>
          <w:tcPr>
            <w:tcW w:w="583" w:type="pct"/>
            <w:vMerge w:val="continue"/>
            <w:tcBorders>
              <w:tl2br w:val="nil"/>
              <w:tr2bl w:val="nil"/>
            </w:tcBorders>
            <w:vAlign w:val="center"/>
          </w:tcPr>
          <w:p>
            <w:pPr>
              <w:jc w:val="center"/>
              <w:rPr>
                <w:rFonts w:ascii="Times New Roman" w:eastAsia="宋体"/>
                <w:color w:val="auto"/>
                <w:kern w:val="2"/>
                <w:sz w:val="21"/>
                <w:szCs w:val="21"/>
              </w:rPr>
            </w:pPr>
          </w:p>
        </w:tc>
        <w:tc>
          <w:tcPr>
            <w:tcW w:w="307" w:type="pct"/>
            <w:vMerge w:val="continue"/>
            <w:tcBorders>
              <w:tl2br w:val="nil"/>
              <w:tr2bl w:val="nil"/>
            </w:tcBorders>
            <w:vAlign w:val="center"/>
          </w:tcPr>
          <w:p>
            <w:pPr>
              <w:jc w:val="center"/>
              <w:rPr>
                <w:rFonts w:ascii="Times New Roman" w:eastAsia="宋体"/>
                <w:color w:val="auto"/>
                <w:kern w:val="2"/>
                <w:sz w:val="21"/>
                <w:szCs w:val="21"/>
              </w:rPr>
            </w:pPr>
          </w:p>
        </w:tc>
        <w:tc>
          <w:tcPr>
            <w:tcW w:w="381"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H</w:t>
            </w:r>
            <w:r>
              <w:rPr>
                <w:rFonts w:ascii="Times New Roman" w:eastAsia="宋体"/>
                <w:color w:val="auto"/>
                <w:kern w:val="2"/>
                <w:sz w:val="21"/>
                <w:szCs w:val="21"/>
                <w:vertAlign w:val="subscript"/>
              </w:rPr>
              <w:t>2</w:t>
            </w:r>
            <w:r>
              <w:rPr>
                <w:rFonts w:ascii="Times New Roman" w:eastAsia="宋体"/>
                <w:color w:val="auto"/>
                <w:kern w:val="2"/>
                <w:sz w:val="21"/>
                <w:szCs w:val="21"/>
              </w:rPr>
              <w:t>S</w:t>
            </w:r>
          </w:p>
        </w:tc>
        <w:tc>
          <w:tcPr>
            <w:tcW w:w="1750" w:type="pct"/>
            <w:vMerge w:val="continue"/>
            <w:tcBorders>
              <w:tl2br w:val="nil"/>
              <w:tr2bl w:val="nil"/>
            </w:tcBorders>
            <w:vAlign w:val="center"/>
          </w:tcPr>
          <w:p>
            <w:pPr>
              <w:jc w:val="center"/>
              <w:rPr>
                <w:rFonts w:ascii="Times New Roman" w:eastAsia="宋体"/>
                <w:color w:val="auto"/>
                <w:kern w:val="2"/>
                <w:sz w:val="21"/>
                <w:szCs w:val="21"/>
              </w:rPr>
            </w:pPr>
          </w:p>
        </w:tc>
        <w:tc>
          <w:tcPr>
            <w:tcW w:w="621" w:type="pct"/>
            <w:vMerge w:val="continue"/>
            <w:tcBorders>
              <w:tl2br w:val="nil"/>
              <w:tr2bl w:val="nil"/>
            </w:tcBorders>
            <w:vAlign w:val="center"/>
          </w:tcPr>
          <w:p>
            <w:pPr>
              <w:jc w:val="center"/>
              <w:rPr>
                <w:rFonts w:ascii="Times New Roman" w:eastAsia="宋体"/>
                <w:color w:val="auto"/>
                <w:kern w:val="2"/>
                <w:sz w:val="21"/>
                <w:szCs w:val="21"/>
              </w:rPr>
            </w:pPr>
          </w:p>
        </w:tc>
        <w:tc>
          <w:tcPr>
            <w:tcW w:w="608" w:type="pct"/>
            <w:tcBorders>
              <w:tl2br w:val="nil"/>
              <w:tr2bl w:val="nil"/>
            </w:tcBorders>
            <w:vAlign w:val="center"/>
          </w:tcPr>
          <w:p>
            <w:pPr>
              <w:pStyle w:val="373"/>
              <w:rPr>
                <w:color w:val="auto"/>
              </w:rPr>
            </w:pPr>
            <w:r>
              <w:rPr>
                <w:color w:val="auto"/>
              </w:rPr>
              <w:t>0.06</w:t>
            </w:r>
          </w:p>
        </w:tc>
        <w:tc>
          <w:tcPr>
            <w:tcW w:w="522" w:type="pct"/>
            <w:tcBorders>
              <w:tl2br w:val="nil"/>
              <w:tr2bl w:val="nil"/>
            </w:tcBorders>
            <w:vAlign w:val="center"/>
          </w:tcPr>
          <w:p>
            <w:pPr>
              <w:adjustRightInd w:val="0"/>
              <w:snapToGrid w:val="0"/>
              <w:jc w:val="center"/>
              <w:rPr>
                <w:rFonts w:ascii="Times New Roman" w:eastAsia="宋体"/>
                <w:color w:val="auto"/>
                <w:kern w:val="2"/>
                <w:sz w:val="21"/>
                <w:szCs w:val="21"/>
                <w:highlight w:val="yellow"/>
              </w:rPr>
            </w:pPr>
            <w:r>
              <w:rPr>
                <w:rFonts w:ascii="Times New Roman" w:eastAsia="宋体"/>
                <w:bCs/>
                <w:color w:val="auto"/>
                <w:sz w:val="21"/>
                <w:szCs w:val="21"/>
              </w:rPr>
              <w:t>0.00</w:t>
            </w:r>
            <w:r>
              <w:rPr>
                <w:rFonts w:hint="eastAsia" w:ascii="Times New Roman" w:eastAsia="宋体"/>
                <w:bCs/>
                <w:color w:val="auto"/>
                <w:sz w:val="21"/>
                <w:szCs w:val="21"/>
              </w:rPr>
              <w:t>076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223" w:type="pct"/>
            <w:vMerge w:val="restart"/>
            <w:tcBorders>
              <w:tl2br w:val="nil"/>
              <w:tr2bl w:val="nil"/>
            </w:tcBorders>
            <w:vAlign w:val="center"/>
          </w:tcPr>
          <w:p>
            <w:pPr>
              <w:jc w:val="center"/>
              <w:rPr>
                <w:rFonts w:hint="eastAsia"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3</w:t>
            </w:r>
          </w:p>
        </w:tc>
        <w:tc>
          <w:tcPr>
            <w:tcW w:w="583" w:type="pct"/>
            <w:vMerge w:val="restar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备用发电机</w:t>
            </w:r>
          </w:p>
        </w:tc>
        <w:tc>
          <w:tcPr>
            <w:tcW w:w="307" w:type="pct"/>
            <w:vMerge w:val="restart"/>
            <w:tcBorders>
              <w:tl2br w:val="nil"/>
              <w:tr2bl w:val="nil"/>
            </w:tcBorders>
            <w:vAlign w:val="center"/>
          </w:tcPr>
          <w:p>
            <w:pPr>
              <w:jc w:val="center"/>
              <w:rPr>
                <w:rFonts w:hint="default" w:ascii="Times New Roman" w:eastAsia="宋体"/>
                <w:color w:val="auto"/>
                <w:kern w:val="2"/>
                <w:sz w:val="21"/>
                <w:szCs w:val="21"/>
                <w:lang w:val="en-US" w:eastAsia="zh-CN"/>
              </w:rPr>
            </w:pPr>
            <w:r>
              <w:rPr>
                <w:rFonts w:hint="eastAsia" w:ascii="Times New Roman" w:eastAsia="宋体"/>
                <w:color w:val="auto"/>
                <w:kern w:val="2"/>
                <w:sz w:val="21"/>
                <w:szCs w:val="21"/>
                <w:lang w:val="en-US" w:eastAsia="zh-CN"/>
              </w:rPr>
              <w:t>停电时</w:t>
            </w:r>
          </w:p>
        </w:tc>
        <w:tc>
          <w:tcPr>
            <w:tcW w:w="381" w:type="pct"/>
            <w:tcBorders>
              <w:tl2br w:val="nil"/>
              <w:tr2bl w:val="nil"/>
            </w:tcBorders>
            <w:vAlign w:val="center"/>
          </w:tcPr>
          <w:p>
            <w:pPr>
              <w:pStyle w:val="23"/>
              <w:rPr>
                <w:rFonts w:ascii="Times New Roman" w:eastAsia="宋体"/>
                <w:color w:val="auto"/>
                <w:kern w:val="2"/>
                <w:sz w:val="21"/>
                <w:szCs w:val="21"/>
              </w:rPr>
            </w:pPr>
            <w:r>
              <w:rPr>
                <w:rFonts w:hint="eastAsia" w:ascii="Times New Roman" w:eastAsia="宋体"/>
                <w:color w:val="auto"/>
                <w:sz w:val="21"/>
                <w:szCs w:val="21"/>
              </w:rPr>
              <w:t>SO</w:t>
            </w:r>
            <w:r>
              <w:rPr>
                <w:rFonts w:hint="eastAsia" w:ascii="Times New Roman" w:eastAsia="宋体"/>
                <w:color w:val="auto"/>
                <w:sz w:val="21"/>
                <w:szCs w:val="21"/>
                <w:vertAlign w:val="subscript"/>
              </w:rPr>
              <w:t>2</w:t>
            </w:r>
          </w:p>
        </w:tc>
        <w:tc>
          <w:tcPr>
            <w:tcW w:w="1750" w:type="pct"/>
            <w:vMerge w:val="restart"/>
            <w:tcBorders>
              <w:tl2br w:val="nil"/>
              <w:tr2bl w:val="nil"/>
            </w:tcBorders>
            <w:vAlign w:val="center"/>
          </w:tcPr>
          <w:p>
            <w:pPr>
              <w:jc w:val="center"/>
              <w:rPr>
                <w:rFonts w:hint="default" w:ascii="Times New Roman" w:eastAsia="宋体"/>
                <w:color w:val="auto"/>
                <w:kern w:val="2"/>
                <w:sz w:val="21"/>
                <w:szCs w:val="21"/>
                <w:lang w:val="en-US" w:eastAsia="zh-CN"/>
              </w:rPr>
            </w:pPr>
            <w:r>
              <w:rPr>
                <w:rFonts w:hint="default" w:ascii="Times New Roman" w:eastAsia="宋体"/>
                <w:color w:val="auto"/>
                <w:kern w:val="2"/>
                <w:sz w:val="21"/>
                <w:szCs w:val="21"/>
                <w:lang w:val="en-US" w:eastAsia="zh-CN"/>
              </w:rPr>
              <w:t>当外电源停电时</w:t>
            </w:r>
            <w:r>
              <w:rPr>
                <w:rFonts w:hint="eastAsia" w:ascii="Times New Roman" w:eastAsia="宋体"/>
                <w:color w:val="auto"/>
                <w:kern w:val="2"/>
                <w:sz w:val="21"/>
                <w:szCs w:val="21"/>
                <w:lang w:val="en-US" w:eastAsia="zh-CN"/>
              </w:rPr>
              <w:t>方可启用，废气经收集后屋顶排放</w:t>
            </w:r>
          </w:p>
        </w:tc>
        <w:tc>
          <w:tcPr>
            <w:tcW w:w="621" w:type="pct"/>
            <w:vMerge w:val="restart"/>
            <w:tcBorders>
              <w:tl2br w:val="nil"/>
              <w:tr2bl w:val="nil"/>
            </w:tcBorders>
            <w:vAlign w:val="center"/>
          </w:tcPr>
          <w:p>
            <w:pPr>
              <w:jc w:val="left"/>
              <w:rPr>
                <w:rFonts w:ascii="Times New Roman" w:eastAsia="宋体"/>
                <w:color w:val="auto"/>
                <w:kern w:val="2"/>
                <w:sz w:val="21"/>
                <w:szCs w:val="21"/>
              </w:rPr>
            </w:pPr>
            <w:r>
              <w:rPr>
                <w:rFonts w:hint="eastAsia" w:ascii="Times New Roman" w:eastAsia="宋体"/>
                <w:color w:val="auto"/>
                <w:kern w:val="2"/>
                <w:sz w:val="21"/>
                <w:szCs w:val="21"/>
              </w:rPr>
              <w:t xml:space="preserve">《大气污染物综合排放限值》（GB16297-1996）表2 </w:t>
            </w:r>
          </w:p>
        </w:tc>
        <w:tc>
          <w:tcPr>
            <w:tcW w:w="608" w:type="pct"/>
            <w:tcBorders>
              <w:tl2br w:val="nil"/>
              <w:tr2bl w:val="nil"/>
            </w:tcBorders>
            <w:vAlign w:val="center"/>
          </w:tcPr>
          <w:p>
            <w:pPr>
              <w:pStyle w:val="373"/>
              <w:rPr>
                <w:color w:val="auto"/>
              </w:rPr>
            </w:pPr>
            <w:r>
              <w:rPr>
                <w:rFonts w:hint="eastAsia"/>
                <w:color w:val="auto"/>
              </w:rPr>
              <w:t>550</w:t>
            </w:r>
          </w:p>
        </w:tc>
        <w:tc>
          <w:tcPr>
            <w:tcW w:w="522" w:type="pct"/>
            <w:tcBorders>
              <w:tl2br w:val="nil"/>
              <w:tr2bl w:val="nil"/>
            </w:tcBorders>
            <w:vAlign w:val="center"/>
          </w:tcPr>
          <w:p>
            <w:pPr>
              <w:pStyle w:val="373"/>
              <w:rPr>
                <w:rFonts w:hint="default"/>
                <w:color w:val="auto"/>
                <w:lang w:val="en-US" w:eastAsia="zh-CN"/>
              </w:rPr>
            </w:pPr>
            <w:r>
              <w:rPr>
                <w:rFonts w:hint="eastAsia"/>
                <w:color w:val="auto"/>
                <w:lang w:val="en-US" w:eastAsia="zh-CN"/>
              </w:rPr>
              <w:t>0.004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223"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583"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307"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381" w:type="pct"/>
            <w:tcBorders>
              <w:tl2br w:val="nil"/>
              <w:tr2bl w:val="nil"/>
            </w:tcBorders>
            <w:vAlign w:val="center"/>
          </w:tcPr>
          <w:p>
            <w:pPr>
              <w:pStyle w:val="23"/>
              <w:rPr>
                <w:rFonts w:ascii="Times New Roman" w:eastAsia="宋体"/>
                <w:color w:val="auto"/>
                <w:kern w:val="2"/>
                <w:sz w:val="21"/>
                <w:szCs w:val="21"/>
              </w:rPr>
            </w:pPr>
            <w:r>
              <w:rPr>
                <w:rFonts w:hint="eastAsia" w:ascii="Times New Roman" w:eastAsia="宋体"/>
                <w:color w:val="auto"/>
                <w:sz w:val="21"/>
                <w:szCs w:val="21"/>
              </w:rPr>
              <w:t>NOx</w:t>
            </w:r>
          </w:p>
        </w:tc>
        <w:tc>
          <w:tcPr>
            <w:tcW w:w="1750" w:type="pct"/>
            <w:vMerge w:val="continue"/>
            <w:tcBorders>
              <w:tl2br w:val="nil"/>
              <w:tr2bl w:val="nil"/>
            </w:tcBorders>
            <w:vAlign w:val="center"/>
          </w:tcPr>
          <w:p>
            <w:pPr>
              <w:jc w:val="center"/>
              <w:rPr>
                <w:rFonts w:ascii="Times New Roman" w:eastAsia="宋体"/>
                <w:color w:val="auto"/>
                <w:kern w:val="2"/>
                <w:sz w:val="21"/>
                <w:szCs w:val="21"/>
              </w:rPr>
            </w:pPr>
          </w:p>
        </w:tc>
        <w:tc>
          <w:tcPr>
            <w:tcW w:w="621" w:type="pct"/>
            <w:vMerge w:val="continue"/>
            <w:tcBorders>
              <w:tl2br w:val="nil"/>
              <w:tr2bl w:val="nil"/>
            </w:tcBorders>
            <w:vAlign w:val="center"/>
          </w:tcPr>
          <w:p>
            <w:pPr>
              <w:jc w:val="center"/>
              <w:rPr>
                <w:rFonts w:ascii="Times New Roman" w:eastAsia="宋体"/>
                <w:color w:val="auto"/>
                <w:kern w:val="2"/>
                <w:sz w:val="21"/>
                <w:szCs w:val="21"/>
              </w:rPr>
            </w:pPr>
          </w:p>
        </w:tc>
        <w:tc>
          <w:tcPr>
            <w:tcW w:w="608" w:type="pct"/>
            <w:tcBorders>
              <w:tl2br w:val="nil"/>
              <w:tr2bl w:val="nil"/>
            </w:tcBorders>
            <w:vAlign w:val="center"/>
          </w:tcPr>
          <w:p>
            <w:pPr>
              <w:pStyle w:val="373"/>
              <w:rPr>
                <w:color w:val="auto"/>
              </w:rPr>
            </w:pPr>
            <w:r>
              <w:rPr>
                <w:rFonts w:hint="eastAsia"/>
                <w:color w:val="auto"/>
              </w:rPr>
              <w:t>240</w:t>
            </w:r>
          </w:p>
        </w:tc>
        <w:tc>
          <w:tcPr>
            <w:tcW w:w="522" w:type="pct"/>
            <w:tcBorders>
              <w:tl2br w:val="nil"/>
              <w:tr2bl w:val="nil"/>
            </w:tcBorders>
            <w:vAlign w:val="center"/>
          </w:tcPr>
          <w:p>
            <w:pPr>
              <w:pStyle w:val="373"/>
              <w:rPr>
                <w:rFonts w:hint="default"/>
                <w:color w:val="auto"/>
                <w:lang w:val="en-US" w:eastAsia="zh-CN"/>
              </w:rPr>
            </w:pPr>
            <w:r>
              <w:rPr>
                <w:rFonts w:hint="eastAsia"/>
                <w:color w:val="auto"/>
                <w:lang w:val="en-US" w:eastAsia="zh-CN"/>
              </w:rPr>
              <w:t>0.072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223"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583"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307"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381" w:type="pct"/>
            <w:tcBorders>
              <w:tl2br w:val="nil"/>
              <w:tr2bl w:val="nil"/>
            </w:tcBorders>
            <w:vAlign w:val="center"/>
          </w:tcPr>
          <w:p>
            <w:pPr>
              <w:pStyle w:val="23"/>
              <w:rPr>
                <w:rFonts w:ascii="Times New Roman" w:eastAsia="宋体"/>
                <w:color w:val="auto"/>
                <w:kern w:val="2"/>
                <w:sz w:val="21"/>
                <w:szCs w:val="21"/>
              </w:rPr>
            </w:pPr>
            <w:r>
              <w:rPr>
                <w:rFonts w:hint="eastAsia" w:hAnsi="宋体" w:eastAsia="宋体" w:cs="宋体"/>
                <w:color w:val="auto"/>
                <w:sz w:val="21"/>
                <w:szCs w:val="16"/>
              </w:rPr>
              <w:t>颗粒物</w:t>
            </w:r>
          </w:p>
        </w:tc>
        <w:tc>
          <w:tcPr>
            <w:tcW w:w="1750" w:type="pct"/>
            <w:vMerge w:val="continue"/>
            <w:tcBorders>
              <w:tl2br w:val="nil"/>
              <w:tr2bl w:val="nil"/>
            </w:tcBorders>
            <w:vAlign w:val="center"/>
          </w:tcPr>
          <w:p>
            <w:pPr>
              <w:jc w:val="center"/>
              <w:rPr>
                <w:rFonts w:ascii="Times New Roman" w:eastAsia="宋体"/>
                <w:color w:val="auto"/>
                <w:kern w:val="2"/>
                <w:sz w:val="21"/>
                <w:szCs w:val="21"/>
              </w:rPr>
            </w:pPr>
          </w:p>
        </w:tc>
        <w:tc>
          <w:tcPr>
            <w:tcW w:w="621" w:type="pct"/>
            <w:vMerge w:val="continue"/>
            <w:tcBorders>
              <w:tl2br w:val="nil"/>
              <w:tr2bl w:val="nil"/>
            </w:tcBorders>
            <w:vAlign w:val="center"/>
          </w:tcPr>
          <w:p>
            <w:pPr>
              <w:jc w:val="center"/>
              <w:rPr>
                <w:rFonts w:ascii="Times New Roman" w:eastAsia="宋体"/>
                <w:color w:val="auto"/>
                <w:kern w:val="2"/>
                <w:sz w:val="21"/>
                <w:szCs w:val="21"/>
              </w:rPr>
            </w:pPr>
          </w:p>
        </w:tc>
        <w:tc>
          <w:tcPr>
            <w:tcW w:w="608" w:type="pct"/>
            <w:tcBorders>
              <w:tl2br w:val="nil"/>
              <w:tr2bl w:val="nil"/>
            </w:tcBorders>
            <w:vAlign w:val="center"/>
          </w:tcPr>
          <w:p>
            <w:pPr>
              <w:pStyle w:val="373"/>
              <w:rPr>
                <w:color w:val="auto"/>
              </w:rPr>
            </w:pPr>
            <w:r>
              <w:rPr>
                <w:rFonts w:hint="eastAsia"/>
                <w:color w:val="auto"/>
              </w:rPr>
              <w:t>120</w:t>
            </w:r>
          </w:p>
        </w:tc>
        <w:tc>
          <w:tcPr>
            <w:tcW w:w="522" w:type="pct"/>
            <w:tcBorders>
              <w:tl2br w:val="nil"/>
              <w:tr2bl w:val="nil"/>
            </w:tcBorders>
            <w:vAlign w:val="center"/>
          </w:tcPr>
          <w:p>
            <w:pPr>
              <w:pStyle w:val="373"/>
              <w:rPr>
                <w:rFonts w:hint="default"/>
                <w:color w:val="auto"/>
                <w:lang w:val="en-US" w:eastAsia="zh-CN"/>
              </w:rPr>
            </w:pPr>
            <w:r>
              <w:rPr>
                <w:rFonts w:hint="eastAsia"/>
                <w:color w:val="auto"/>
                <w:lang w:val="en-US" w:eastAsia="zh-CN"/>
              </w:rPr>
              <w:t>0.0062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223"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583"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307" w:type="pct"/>
            <w:vMerge w:val="continue"/>
            <w:tcBorders>
              <w:tl2br w:val="nil"/>
              <w:tr2bl w:val="nil"/>
            </w:tcBorders>
            <w:vAlign w:val="center"/>
          </w:tcPr>
          <w:p>
            <w:pPr>
              <w:jc w:val="center"/>
              <w:rPr>
                <w:rFonts w:hint="eastAsia" w:ascii="Times New Roman" w:eastAsia="宋体"/>
                <w:color w:val="auto"/>
                <w:kern w:val="2"/>
                <w:sz w:val="21"/>
                <w:szCs w:val="21"/>
                <w:lang w:val="en-US" w:eastAsia="zh-CN"/>
              </w:rPr>
            </w:pPr>
          </w:p>
        </w:tc>
        <w:tc>
          <w:tcPr>
            <w:tcW w:w="381" w:type="pct"/>
            <w:tcBorders>
              <w:tl2br w:val="nil"/>
              <w:tr2bl w:val="nil"/>
            </w:tcBorders>
            <w:vAlign w:val="center"/>
          </w:tcPr>
          <w:p>
            <w:pPr>
              <w:pStyle w:val="23"/>
              <w:rPr>
                <w:rFonts w:ascii="Times New Roman" w:eastAsia="宋体"/>
                <w:color w:val="auto"/>
                <w:kern w:val="2"/>
                <w:sz w:val="21"/>
                <w:szCs w:val="21"/>
              </w:rPr>
            </w:pPr>
            <w:r>
              <w:rPr>
                <w:rFonts w:hint="eastAsia" w:hAnsi="宋体" w:eastAsia="宋体" w:cs="宋体"/>
                <w:color w:val="auto"/>
                <w:sz w:val="21"/>
                <w:szCs w:val="16"/>
              </w:rPr>
              <w:t>烟气黑度</w:t>
            </w:r>
          </w:p>
        </w:tc>
        <w:tc>
          <w:tcPr>
            <w:tcW w:w="1750" w:type="pct"/>
            <w:vMerge w:val="continue"/>
            <w:tcBorders>
              <w:tl2br w:val="nil"/>
              <w:tr2bl w:val="nil"/>
            </w:tcBorders>
            <w:vAlign w:val="center"/>
          </w:tcPr>
          <w:p>
            <w:pPr>
              <w:jc w:val="center"/>
              <w:rPr>
                <w:rFonts w:ascii="Times New Roman" w:eastAsia="宋体"/>
                <w:color w:val="auto"/>
                <w:kern w:val="2"/>
                <w:sz w:val="21"/>
                <w:szCs w:val="21"/>
              </w:rPr>
            </w:pPr>
          </w:p>
        </w:tc>
        <w:tc>
          <w:tcPr>
            <w:tcW w:w="621" w:type="pct"/>
            <w:vMerge w:val="continue"/>
            <w:tcBorders>
              <w:tl2br w:val="nil"/>
              <w:tr2bl w:val="nil"/>
            </w:tcBorders>
            <w:vAlign w:val="center"/>
          </w:tcPr>
          <w:p>
            <w:pPr>
              <w:jc w:val="center"/>
              <w:rPr>
                <w:rFonts w:ascii="Times New Roman" w:eastAsia="宋体"/>
                <w:color w:val="auto"/>
                <w:kern w:val="2"/>
                <w:sz w:val="21"/>
                <w:szCs w:val="21"/>
              </w:rPr>
            </w:pPr>
          </w:p>
        </w:tc>
        <w:tc>
          <w:tcPr>
            <w:tcW w:w="608" w:type="pct"/>
            <w:tcBorders>
              <w:tl2br w:val="nil"/>
              <w:tr2bl w:val="nil"/>
            </w:tcBorders>
            <w:vAlign w:val="center"/>
          </w:tcPr>
          <w:p>
            <w:pPr>
              <w:pStyle w:val="373"/>
              <w:rPr>
                <w:color w:val="auto"/>
              </w:rPr>
            </w:pPr>
            <w:r>
              <w:rPr>
                <w:rFonts w:hint="eastAsia"/>
                <w:color w:val="auto"/>
              </w:rPr>
              <w:t>＜1 级</w:t>
            </w:r>
          </w:p>
        </w:tc>
        <w:tc>
          <w:tcPr>
            <w:tcW w:w="522" w:type="pct"/>
            <w:tcBorders>
              <w:tl2br w:val="nil"/>
              <w:tr2bl w:val="nil"/>
            </w:tcBorders>
            <w:vAlign w:val="center"/>
          </w:tcPr>
          <w:p>
            <w:pPr>
              <w:pStyle w:val="373"/>
              <w:rPr>
                <w:rFonts w:hint="eastAsia"/>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07" w:hRule="atLeast"/>
          <w:jc w:val="center"/>
        </w:trPr>
        <w:tc>
          <w:tcPr>
            <w:tcW w:w="5000" w:type="pct"/>
            <w:gridSpan w:val="8"/>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无组织排放总计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34" w:hRule="atLeast"/>
          <w:jc w:val="center"/>
        </w:trPr>
        <w:tc>
          <w:tcPr>
            <w:tcW w:w="1496" w:type="pct"/>
            <w:gridSpan w:val="4"/>
            <w:vMerge w:val="restar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无组织排放总计</w:t>
            </w:r>
          </w:p>
        </w:tc>
        <w:tc>
          <w:tcPr>
            <w:tcW w:w="2371" w:type="pct"/>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NH</w:t>
            </w:r>
            <w:r>
              <w:rPr>
                <w:rFonts w:ascii="Times New Roman" w:eastAsia="宋体"/>
                <w:color w:val="auto"/>
                <w:kern w:val="2"/>
                <w:sz w:val="21"/>
                <w:szCs w:val="21"/>
                <w:vertAlign w:val="subscript"/>
              </w:rPr>
              <w:t>3</w:t>
            </w:r>
            <w:r>
              <w:rPr>
                <w:rFonts w:hint="eastAsia" w:ascii="Times New Roman" w:eastAsia="宋体"/>
                <w:color w:val="auto"/>
                <w:kern w:val="2"/>
                <w:sz w:val="21"/>
                <w:szCs w:val="21"/>
              </w:rPr>
              <w:t>（t/a）</w:t>
            </w:r>
          </w:p>
        </w:tc>
        <w:tc>
          <w:tcPr>
            <w:tcW w:w="1131" w:type="pct"/>
            <w:gridSpan w:val="2"/>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0.17728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99" w:hRule="atLeast"/>
          <w:jc w:val="center"/>
        </w:trPr>
        <w:tc>
          <w:tcPr>
            <w:tcW w:w="1496" w:type="pct"/>
            <w:gridSpan w:val="4"/>
            <w:vMerge w:val="continue"/>
            <w:tcBorders>
              <w:tl2br w:val="nil"/>
              <w:tr2bl w:val="nil"/>
            </w:tcBorders>
            <w:vAlign w:val="center"/>
          </w:tcPr>
          <w:p>
            <w:pPr>
              <w:jc w:val="center"/>
              <w:rPr>
                <w:rFonts w:ascii="Times New Roman" w:eastAsia="宋体"/>
                <w:color w:val="auto"/>
                <w:kern w:val="2"/>
                <w:sz w:val="21"/>
                <w:szCs w:val="21"/>
              </w:rPr>
            </w:pPr>
          </w:p>
        </w:tc>
        <w:tc>
          <w:tcPr>
            <w:tcW w:w="2371" w:type="pct"/>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H</w:t>
            </w:r>
            <w:r>
              <w:rPr>
                <w:rFonts w:ascii="Times New Roman" w:eastAsia="宋体"/>
                <w:color w:val="auto"/>
                <w:kern w:val="2"/>
                <w:sz w:val="21"/>
                <w:szCs w:val="21"/>
                <w:vertAlign w:val="subscript"/>
              </w:rPr>
              <w:t>2</w:t>
            </w:r>
            <w:r>
              <w:rPr>
                <w:rFonts w:ascii="Times New Roman" w:eastAsia="宋体"/>
                <w:color w:val="auto"/>
                <w:kern w:val="2"/>
                <w:sz w:val="21"/>
                <w:szCs w:val="21"/>
              </w:rPr>
              <w:t>S</w:t>
            </w:r>
            <w:r>
              <w:rPr>
                <w:rFonts w:hint="eastAsia" w:ascii="Times New Roman" w:eastAsia="宋体"/>
                <w:color w:val="auto"/>
                <w:kern w:val="2"/>
                <w:sz w:val="21"/>
                <w:szCs w:val="21"/>
              </w:rPr>
              <w:t>（t/a）</w:t>
            </w:r>
          </w:p>
        </w:tc>
        <w:tc>
          <w:tcPr>
            <w:tcW w:w="1131" w:type="pct"/>
            <w:gridSpan w:val="2"/>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0.01726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99" w:hRule="atLeast"/>
          <w:jc w:val="center"/>
        </w:trPr>
        <w:tc>
          <w:tcPr>
            <w:tcW w:w="1496" w:type="pct"/>
            <w:gridSpan w:val="4"/>
            <w:vMerge w:val="continue"/>
            <w:tcBorders>
              <w:tl2br w:val="nil"/>
              <w:tr2bl w:val="nil"/>
            </w:tcBorders>
            <w:vAlign w:val="center"/>
          </w:tcPr>
          <w:p>
            <w:pPr>
              <w:jc w:val="center"/>
              <w:rPr>
                <w:rFonts w:ascii="Times New Roman" w:eastAsia="宋体"/>
                <w:color w:val="auto"/>
                <w:kern w:val="2"/>
                <w:sz w:val="21"/>
                <w:szCs w:val="21"/>
              </w:rPr>
            </w:pPr>
          </w:p>
        </w:tc>
        <w:tc>
          <w:tcPr>
            <w:tcW w:w="4030" w:type="dxa"/>
            <w:gridSpan w:val="2"/>
            <w:tcBorders>
              <w:tl2br w:val="nil"/>
              <w:tr2bl w:val="nil"/>
            </w:tcBorders>
            <w:vAlign w:val="center"/>
          </w:tcPr>
          <w:p>
            <w:pPr>
              <w:pStyle w:val="23"/>
              <w:jc w:val="center"/>
              <w:rPr>
                <w:rFonts w:ascii="Times New Roman" w:eastAsia="宋体"/>
                <w:color w:val="auto"/>
                <w:kern w:val="2"/>
                <w:sz w:val="21"/>
                <w:szCs w:val="21"/>
              </w:rPr>
            </w:pPr>
            <w:r>
              <w:rPr>
                <w:rFonts w:hint="eastAsia" w:ascii="Times New Roman" w:eastAsia="宋体"/>
                <w:color w:val="auto"/>
                <w:sz w:val="21"/>
                <w:szCs w:val="21"/>
              </w:rPr>
              <w:t>SO</w:t>
            </w:r>
            <w:r>
              <w:rPr>
                <w:rFonts w:hint="eastAsia" w:ascii="Times New Roman" w:eastAsia="宋体"/>
                <w:color w:val="auto"/>
                <w:sz w:val="21"/>
                <w:szCs w:val="21"/>
                <w:vertAlign w:val="subscript"/>
              </w:rPr>
              <w:t>2</w:t>
            </w:r>
            <w:r>
              <w:rPr>
                <w:rFonts w:hint="eastAsia" w:ascii="Times New Roman" w:eastAsia="宋体"/>
                <w:color w:val="auto"/>
                <w:kern w:val="2"/>
                <w:sz w:val="21"/>
                <w:szCs w:val="21"/>
              </w:rPr>
              <w:t>（t/a）</w:t>
            </w:r>
          </w:p>
        </w:tc>
        <w:tc>
          <w:tcPr>
            <w:tcW w:w="1922" w:type="dxa"/>
            <w:gridSpan w:val="2"/>
            <w:tcBorders>
              <w:tl2br w:val="nil"/>
              <w:tr2bl w:val="nil"/>
            </w:tcBorders>
            <w:vAlign w:val="center"/>
          </w:tcPr>
          <w:p>
            <w:pPr>
              <w:pStyle w:val="373"/>
              <w:rPr>
                <w:rFonts w:hint="eastAsia" w:ascii="Times New Roman" w:eastAsia="宋体"/>
                <w:color w:val="auto"/>
                <w:kern w:val="2"/>
                <w:sz w:val="21"/>
                <w:szCs w:val="21"/>
              </w:rPr>
            </w:pPr>
            <w:r>
              <w:rPr>
                <w:rFonts w:hint="eastAsia"/>
                <w:color w:val="auto"/>
                <w:lang w:val="en-US" w:eastAsia="zh-CN"/>
              </w:rPr>
              <w:t>0.004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99" w:hRule="atLeast"/>
          <w:jc w:val="center"/>
        </w:trPr>
        <w:tc>
          <w:tcPr>
            <w:tcW w:w="1496" w:type="pct"/>
            <w:gridSpan w:val="4"/>
            <w:vMerge w:val="continue"/>
            <w:tcBorders>
              <w:tl2br w:val="nil"/>
              <w:tr2bl w:val="nil"/>
            </w:tcBorders>
            <w:vAlign w:val="center"/>
          </w:tcPr>
          <w:p>
            <w:pPr>
              <w:jc w:val="center"/>
              <w:rPr>
                <w:rFonts w:ascii="Times New Roman" w:eastAsia="宋体"/>
                <w:color w:val="auto"/>
                <w:kern w:val="2"/>
                <w:sz w:val="21"/>
                <w:szCs w:val="21"/>
              </w:rPr>
            </w:pPr>
          </w:p>
        </w:tc>
        <w:tc>
          <w:tcPr>
            <w:tcW w:w="4030" w:type="dxa"/>
            <w:gridSpan w:val="2"/>
            <w:tcBorders>
              <w:tl2br w:val="nil"/>
              <w:tr2bl w:val="nil"/>
            </w:tcBorders>
            <w:vAlign w:val="center"/>
          </w:tcPr>
          <w:p>
            <w:pPr>
              <w:pStyle w:val="23"/>
              <w:jc w:val="center"/>
              <w:rPr>
                <w:rFonts w:ascii="Times New Roman" w:eastAsia="宋体"/>
                <w:color w:val="auto"/>
                <w:kern w:val="2"/>
                <w:sz w:val="21"/>
                <w:szCs w:val="21"/>
              </w:rPr>
            </w:pPr>
            <w:r>
              <w:rPr>
                <w:rFonts w:hint="eastAsia" w:ascii="Times New Roman" w:eastAsia="宋体"/>
                <w:color w:val="auto"/>
                <w:sz w:val="21"/>
                <w:szCs w:val="21"/>
              </w:rPr>
              <w:t>NOx</w:t>
            </w:r>
            <w:r>
              <w:rPr>
                <w:rFonts w:hint="eastAsia" w:ascii="Times New Roman" w:eastAsia="宋体"/>
                <w:color w:val="auto"/>
                <w:kern w:val="2"/>
                <w:sz w:val="21"/>
                <w:szCs w:val="21"/>
              </w:rPr>
              <w:t>（t/a）</w:t>
            </w:r>
          </w:p>
        </w:tc>
        <w:tc>
          <w:tcPr>
            <w:tcW w:w="1922" w:type="dxa"/>
            <w:gridSpan w:val="2"/>
            <w:tcBorders>
              <w:tl2br w:val="nil"/>
              <w:tr2bl w:val="nil"/>
            </w:tcBorders>
            <w:vAlign w:val="center"/>
          </w:tcPr>
          <w:p>
            <w:pPr>
              <w:pStyle w:val="373"/>
              <w:rPr>
                <w:rFonts w:hint="eastAsia" w:ascii="Times New Roman" w:eastAsia="宋体"/>
                <w:color w:val="auto"/>
                <w:kern w:val="2"/>
                <w:sz w:val="21"/>
                <w:szCs w:val="21"/>
              </w:rPr>
            </w:pPr>
            <w:r>
              <w:rPr>
                <w:rFonts w:hint="eastAsia"/>
                <w:color w:val="auto"/>
                <w:lang w:val="en-US" w:eastAsia="zh-CN"/>
              </w:rPr>
              <w:t>0.072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99" w:hRule="atLeast"/>
          <w:jc w:val="center"/>
        </w:trPr>
        <w:tc>
          <w:tcPr>
            <w:tcW w:w="1496" w:type="pct"/>
            <w:gridSpan w:val="4"/>
            <w:vMerge w:val="continue"/>
            <w:tcBorders>
              <w:tl2br w:val="nil"/>
              <w:tr2bl w:val="nil"/>
            </w:tcBorders>
            <w:vAlign w:val="center"/>
          </w:tcPr>
          <w:p>
            <w:pPr>
              <w:jc w:val="center"/>
              <w:rPr>
                <w:rFonts w:ascii="Times New Roman" w:eastAsia="宋体"/>
                <w:color w:val="auto"/>
                <w:kern w:val="2"/>
                <w:sz w:val="21"/>
                <w:szCs w:val="21"/>
              </w:rPr>
            </w:pPr>
          </w:p>
        </w:tc>
        <w:tc>
          <w:tcPr>
            <w:tcW w:w="4030" w:type="dxa"/>
            <w:gridSpan w:val="2"/>
            <w:tcBorders>
              <w:tl2br w:val="nil"/>
              <w:tr2bl w:val="nil"/>
            </w:tcBorders>
            <w:vAlign w:val="center"/>
          </w:tcPr>
          <w:p>
            <w:pPr>
              <w:pStyle w:val="23"/>
              <w:jc w:val="center"/>
              <w:rPr>
                <w:rFonts w:ascii="Times New Roman" w:eastAsia="宋体"/>
                <w:color w:val="auto"/>
                <w:kern w:val="2"/>
                <w:sz w:val="21"/>
                <w:szCs w:val="21"/>
              </w:rPr>
            </w:pPr>
            <w:r>
              <w:rPr>
                <w:rFonts w:hint="eastAsia" w:hAnsi="宋体" w:eastAsia="宋体" w:cs="宋体"/>
                <w:color w:val="auto"/>
                <w:sz w:val="21"/>
                <w:szCs w:val="16"/>
              </w:rPr>
              <w:t>颗粒物</w:t>
            </w:r>
            <w:r>
              <w:rPr>
                <w:rFonts w:hint="eastAsia" w:ascii="Times New Roman" w:eastAsia="宋体"/>
                <w:color w:val="auto"/>
                <w:kern w:val="2"/>
                <w:sz w:val="21"/>
                <w:szCs w:val="21"/>
              </w:rPr>
              <w:t>（t/a）</w:t>
            </w:r>
          </w:p>
        </w:tc>
        <w:tc>
          <w:tcPr>
            <w:tcW w:w="1922" w:type="dxa"/>
            <w:gridSpan w:val="2"/>
            <w:tcBorders>
              <w:tl2br w:val="nil"/>
              <w:tr2bl w:val="nil"/>
            </w:tcBorders>
            <w:vAlign w:val="center"/>
          </w:tcPr>
          <w:p>
            <w:pPr>
              <w:pStyle w:val="373"/>
              <w:rPr>
                <w:rFonts w:hint="eastAsia" w:ascii="Times New Roman" w:eastAsia="宋体"/>
                <w:color w:val="auto"/>
                <w:kern w:val="2"/>
                <w:sz w:val="21"/>
                <w:szCs w:val="21"/>
              </w:rPr>
            </w:pPr>
            <w:r>
              <w:rPr>
                <w:rFonts w:hint="eastAsia"/>
                <w:color w:val="auto"/>
                <w:lang w:val="en-US" w:eastAsia="zh-CN"/>
              </w:rPr>
              <w:t>0.0062</w:t>
            </w:r>
          </w:p>
        </w:tc>
      </w:tr>
    </w:tbl>
    <w:p>
      <w:pPr>
        <w:keepNext/>
        <w:keepLines/>
        <w:spacing w:before="160" w:after="170" w:line="360" w:lineRule="auto"/>
        <w:outlineLvl w:val="3"/>
        <w:rPr>
          <w:rFonts w:ascii="Times New Roman" w:eastAsia="宋体"/>
          <w:b/>
          <w:bCs/>
          <w:color w:val="auto"/>
          <w:kern w:val="2"/>
          <w:szCs w:val="28"/>
        </w:rPr>
      </w:pPr>
      <w:r>
        <w:rPr>
          <w:rFonts w:ascii="Times New Roman" w:eastAsia="宋体"/>
          <w:b/>
          <w:bCs/>
          <w:color w:val="auto"/>
          <w:kern w:val="2"/>
          <w:szCs w:val="28"/>
        </w:rPr>
        <w:t>5.2.1.5全厂大气污染物排放总量核算</w:t>
      </w:r>
    </w:p>
    <w:p>
      <w:pPr>
        <w:spacing w:line="360" w:lineRule="auto"/>
        <w:ind w:firstLine="496" w:firstLineChars="200"/>
        <w:rPr>
          <w:rFonts w:ascii="Times New Roman" w:eastAsia="宋体"/>
          <w:color w:val="auto"/>
          <w:szCs w:val="22"/>
          <w:highlight w:val="yellow"/>
        </w:rPr>
      </w:pPr>
      <w:r>
        <w:rPr>
          <w:rFonts w:ascii="Times New Roman" w:eastAsia="宋体"/>
          <w:color w:val="auto"/>
          <w:szCs w:val="22"/>
        </w:rPr>
        <w:t>项目全厂大气污染物年排放量核算见表</w:t>
      </w:r>
      <w:r>
        <w:rPr>
          <w:rFonts w:ascii="Times New Roman" w:eastAsia="宋体"/>
          <w:bCs/>
          <w:color w:val="auto"/>
          <w:szCs w:val="24"/>
        </w:rPr>
        <w:t>5.2-</w:t>
      </w:r>
      <w:r>
        <w:rPr>
          <w:rFonts w:hint="eastAsia" w:ascii="Times New Roman" w:eastAsia="宋体"/>
          <w:bCs/>
          <w:color w:val="auto"/>
          <w:szCs w:val="24"/>
        </w:rPr>
        <w:t>9</w:t>
      </w:r>
      <w:r>
        <w:rPr>
          <w:rFonts w:ascii="Times New Roman" w:eastAsia="宋体"/>
          <w:color w:val="auto"/>
          <w:szCs w:val="22"/>
        </w:rPr>
        <w:t>。</w:t>
      </w:r>
    </w:p>
    <w:p>
      <w:pPr>
        <w:jc w:val="center"/>
        <w:rPr>
          <w:rFonts w:ascii="Times New Roman" w:eastAsia="宋体"/>
          <w:b/>
          <w:color w:val="auto"/>
          <w:sz w:val="21"/>
        </w:rPr>
      </w:pPr>
      <w:r>
        <w:rPr>
          <w:rFonts w:ascii="Times New Roman" w:eastAsia="宋体"/>
          <w:b/>
          <w:color w:val="auto"/>
          <w:sz w:val="21"/>
        </w:rPr>
        <w:t>表5.2-</w:t>
      </w:r>
      <w:r>
        <w:rPr>
          <w:rFonts w:hint="eastAsia" w:ascii="Times New Roman" w:eastAsia="宋体"/>
          <w:b/>
          <w:color w:val="auto"/>
          <w:sz w:val="21"/>
        </w:rPr>
        <w:t>9</w:t>
      </w:r>
      <w:r>
        <w:rPr>
          <w:rFonts w:ascii="Times New Roman" w:eastAsia="宋体"/>
          <w:b/>
          <w:color w:val="auto"/>
          <w:sz w:val="21"/>
        </w:rPr>
        <w:t>大气污染物年排放量核算表</w:t>
      </w:r>
    </w:p>
    <w:tbl>
      <w:tblPr>
        <w:tblStyle w:val="47"/>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74"/>
        <w:gridCol w:w="3612"/>
        <w:gridCol w:w="36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序号</w:t>
            </w:r>
          </w:p>
        </w:tc>
        <w:tc>
          <w:tcPr>
            <w:tcW w:w="2120"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污染物</w:t>
            </w:r>
          </w:p>
        </w:tc>
        <w:tc>
          <w:tcPr>
            <w:tcW w:w="2131"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年排放量(t/a)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1</w:t>
            </w:r>
          </w:p>
        </w:tc>
        <w:tc>
          <w:tcPr>
            <w:tcW w:w="2120"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颗粒物</w:t>
            </w:r>
          </w:p>
        </w:tc>
        <w:tc>
          <w:tcPr>
            <w:tcW w:w="3630" w:type="dxa"/>
            <w:tcBorders>
              <w:tl2br w:val="nil"/>
              <w:tr2bl w:val="nil"/>
            </w:tcBorders>
            <w:vAlign w:val="center"/>
          </w:tcPr>
          <w:p>
            <w:pPr>
              <w:jc w:val="center"/>
              <w:rPr>
                <w:rFonts w:hint="default" w:ascii="Times New Roman" w:eastAsia="宋体"/>
                <w:color w:val="auto"/>
                <w:kern w:val="2"/>
                <w:sz w:val="21"/>
                <w:szCs w:val="21"/>
                <w:lang w:val="en-US"/>
              </w:rPr>
            </w:pPr>
            <w:r>
              <w:rPr>
                <w:rFonts w:hint="eastAsia" w:ascii="Times New Roman" w:eastAsia="宋体"/>
                <w:color w:val="auto"/>
                <w:kern w:val="2"/>
                <w:sz w:val="21"/>
                <w:szCs w:val="21"/>
                <w:lang w:val="en-US" w:eastAsia="zh-CN"/>
              </w:rPr>
              <w:t>0.024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74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2</w:t>
            </w:r>
          </w:p>
        </w:tc>
        <w:tc>
          <w:tcPr>
            <w:tcW w:w="2120"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SO</w:t>
            </w:r>
            <w:r>
              <w:rPr>
                <w:rFonts w:ascii="Times New Roman" w:eastAsia="宋体"/>
                <w:color w:val="auto"/>
                <w:kern w:val="2"/>
                <w:sz w:val="21"/>
                <w:szCs w:val="21"/>
                <w:vertAlign w:val="subscript"/>
              </w:rPr>
              <w:t>2</w:t>
            </w:r>
          </w:p>
        </w:tc>
        <w:tc>
          <w:tcPr>
            <w:tcW w:w="3630" w:type="dxa"/>
            <w:tcBorders>
              <w:tl2br w:val="nil"/>
              <w:tr2bl w:val="nil"/>
            </w:tcBorders>
            <w:vAlign w:val="center"/>
          </w:tcPr>
          <w:p>
            <w:pPr>
              <w:jc w:val="center"/>
              <w:rPr>
                <w:rFonts w:hint="eastAsia" w:ascii="Times New Roman" w:eastAsia="宋体"/>
                <w:color w:val="auto"/>
                <w:kern w:val="2"/>
                <w:sz w:val="21"/>
                <w:szCs w:val="21"/>
              </w:rPr>
            </w:pPr>
            <w:r>
              <w:rPr>
                <w:rFonts w:hint="eastAsia" w:ascii="Times New Roman" w:eastAsia="宋体"/>
                <w:color w:val="auto"/>
                <w:kern w:val="2"/>
                <w:sz w:val="21"/>
                <w:szCs w:val="21"/>
                <w:lang w:val="en-US" w:eastAsia="zh-CN"/>
              </w:rPr>
              <w:t>0.571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3</w:t>
            </w:r>
          </w:p>
        </w:tc>
        <w:tc>
          <w:tcPr>
            <w:tcW w:w="2120"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NOx</w:t>
            </w:r>
          </w:p>
        </w:tc>
        <w:tc>
          <w:tcPr>
            <w:tcW w:w="3630" w:type="dxa"/>
            <w:tcBorders>
              <w:tl2br w:val="nil"/>
              <w:tr2bl w:val="nil"/>
            </w:tcBorders>
            <w:vAlign w:val="center"/>
          </w:tcPr>
          <w:p>
            <w:pPr>
              <w:jc w:val="center"/>
              <w:rPr>
                <w:rFonts w:hint="default" w:ascii="Times New Roman" w:eastAsia="宋体"/>
                <w:color w:val="auto"/>
                <w:kern w:val="2"/>
                <w:sz w:val="21"/>
                <w:szCs w:val="21"/>
                <w:lang w:val="en-US"/>
              </w:rPr>
            </w:pPr>
            <w:r>
              <w:rPr>
                <w:rFonts w:hint="eastAsia" w:ascii="Times New Roman" w:eastAsia="宋体"/>
                <w:color w:val="auto"/>
                <w:kern w:val="2"/>
                <w:sz w:val="21"/>
                <w:szCs w:val="21"/>
                <w:lang w:val="en-US" w:eastAsia="zh-CN"/>
              </w:rPr>
              <w:t>0.490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4</w:t>
            </w:r>
          </w:p>
        </w:tc>
        <w:tc>
          <w:tcPr>
            <w:tcW w:w="2120"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NH</w:t>
            </w:r>
            <w:r>
              <w:rPr>
                <w:rFonts w:ascii="Times New Roman" w:eastAsia="宋体"/>
                <w:color w:val="auto"/>
                <w:kern w:val="2"/>
                <w:sz w:val="21"/>
                <w:szCs w:val="21"/>
                <w:vertAlign w:val="subscript"/>
              </w:rPr>
              <w:t>3</w:t>
            </w:r>
          </w:p>
        </w:tc>
        <w:tc>
          <w:tcPr>
            <w:tcW w:w="3630" w:type="dxa"/>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0.17728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5</w:t>
            </w:r>
          </w:p>
        </w:tc>
        <w:tc>
          <w:tcPr>
            <w:tcW w:w="2120"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H</w:t>
            </w:r>
            <w:r>
              <w:rPr>
                <w:rFonts w:ascii="Times New Roman" w:eastAsia="宋体"/>
                <w:color w:val="auto"/>
                <w:kern w:val="2"/>
                <w:sz w:val="21"/>
                <w:szCs w:val="21"/>
                <w:vertAlign w:val="subscript"/>
              </w:rPr>
              <w:t>2</w:t>
            </w:r>
            <w:r>
              <w:rPr>
                <w:rFonts w:ascii="Times New Roman" w:eastAsia="宋体"/>
                <w:color w:val="auto"/>
                <w:kern w:val="2"/>
                <w:sz w:val="21"/>
                <w:szCs w:val="21"/>
              </w:rPr>
              <w:t>S</w:t>
            </w:r>
          </w:p>
        </w:tc>
        <w:tc>
          <w:tcPr>
            <w:tcW w:w="3630" w:type="dxa"/>
            <w:tcBorders>
              <w:tl2br w:val="nil"/>
              <w:tr2bl w:val="nil"/>
            </w:tcBorders>
            <w:vAlign w:val="center"/>
          </w:tcPr>
          <w:p>
            <w:pPr>
              <w:jc w:val="center"/>
              <w:rPr>
                <w:rFonts w:ascii="Times New Roman" w:eastAsia="宋体"/>
                <w:color w:val="auto"/>
                <w:kern w:val="2"/>
                <w:sz w:val="21"/>
                <w:szCs w:val="21"/>
              </w:rPr>
            </w:pPr>
            <w:r>
              <w:rPr>
                <w:rFonts w:hint="eastAsia" w:ascii="Times New Roman" w:eastAsia="宋体"/>
                <w:color w:val="auto"/>
                <w:kern w:val="2"/>
                <w:sz w:val="21"/>
                <w:szCs w:val="21"/>
              </w:rPr>
              <w:t>0.01726</w:t>
            </w:r>
          </w:p>
        </w:tc>
      </w:tr>
    </w:tbl>
    <w:p>
      <w:pPr>
        <w:keepNext/>
        <w:keepLines/>
        <w:spacing w:before="160" w:after="163" w:line="360" w:lineRule="auto"/>
        <w:outlineLvl w:val="3"/>
        <w:rPr>
          <w:rFonts w:ascii="Times New Roman" w:eastAsia="宋体"/>
          <w:b/>
          <w:bCs/>
          <w:color w:val="auto"/>
          <w:kern w:val="2"/>
          <w:szCs w:val="28"/>
        </w:rPr>
      </w:pPr>
      <w:r>
        <w:rPr>
          <w:rFonts w:ascii="Times New Roman" w:eastAsia="宋体"/>
          <w:b/>
          <w:bCs/>
          <w:color w:val="auto"/>
          <w:kern w:val="2"/>
          <w:szCs w:val="28"/>
        </w:rPr>
        <w:t>5.2.1.6大气环境影响</w:t>
      </w:r>
      <w:r>
        <w:rPr>
          <w:rFonts w:hint="eastAsia" w:ascii="Times New Roman" w:eastAsia="宋体"/>
          <w:b/>
          <w:bCs/>
          <w:color w:val="auto"/>
          <w:kern w:val="2"/>
          <w:szCs w:val="28"/>
        </w:rPr>
        <w:t>分析</w:t>
      </w:r>
    </w:p>
    <w:p>
      <w:pPr>
        <w:spacing w:line="360" w:lineRule="auto"/>
        <w:ind w:firstLine="482"/>
        <w:rPr>
          <w:rFonts w:ascii="Times New Roman" w:eastAsia="宋体"/>
          <w:color w:val="auto"/>
          <w:lang w:val="zh-CN"/>
        </w:rPr>
      </w:pPr>
      <w:r>
        <w:rPr>
          <w:rFonts w:hint="eastAsia" w:ascii="Times New Roman" w:eastAsia="宋体"/>
          <w:color w:val="auto"/>
          <w:lang w:val="zh-CN"/>
        </w:rPr>
        <w:t>（1）生物质燃烧废气环境影响</w:t>
      </w:r>
      <w:r>
        <w:rPr>
          <w:rFonts w:hint="eastAsia" w:ascii="Times New Roman" w:eastAsia="宋体"/>
          <w:color w:val="auto"/>
        </w:rPr>
        <w:t>分析</w:t>
      </w:r>
    </w:p>
    <w:p>
      <w:pPr>
        <w:spacing w:line="360" w:lineRule="auto"/>
        <w:ind w:firstLine="496" w:firstLineChars="200"/>
        <w:rPr>
          <w:rFonts w:ascii="Times New Roman" w:eastAsia="宋体"/>
          <w:color w:val="auto"/>
          <w:szCs w:val="22"/>
        </w:rPr>
      </w:pPr>
      <w:r>
        <w:rPr>
          <w:rFonts w:ascii="Times New Roman" w:eastAsia="宋体"/>
          <w:color w:val="auto"/>
          <w:szCs w:val="22"/>
        </w:rPr>
        <w:t>本项目共2台生物质锅炉，主要用于鸡舍供暖。生物质锅炉产生的烟气经各自的布袋除尘器处理后，</w:t>
      </w:r>
      <w:r>
        <w:rPr>
          <w:rFonts w:hint="eastAsia" w:ascii="Times New Roman" w:eastAsia="宋体"/>
          <w:color w:val="auto"/>
          <w:szCs w:val="22"/>
        </w:rPr>
        <w:t>共同</w:t>
      </w:r>
      <w:r>
        <w:rPr>
          <w:rFonts w:ascii="Times New Roman" w:eastAsia="宋体"/>
          <w:color w:val="auto"/>
          <w:szCs w:val="22"/>
        </w:rPr>
        <w:t>经</w:t>
      </w:r>
      <w:r>
        <w:rPr>
          <w:rFonts w:hint="eastAsia" w:ascii="Times New Roman" w:eastAsia="宋体"/>
          <w:color w:val="auto"/>
          <w:szCs w:val="22"/>
        </w:rPr>
        <w:t>一根</w:t>
      </w:r>
      <w:r>
        <w:rPr>
          <w:rFonts w:ascii="Times New Roman" w:eastAsia="宋体"/>
          <w:color w:val="auto"/>
          <w:szCs w:val="22"/>
        </w:rPr>
        <w:t>烟囱排放，根据</w:t>
      </w:r>
      <w:r>
        <w:rPr>
          <w:rFonts w:ascii="Times New Roman" w:eastAsia="宋体"/>
          <w:color w:val="auto"/>
          <w:szCs w:val="24"/>
        </w:rPr>
        <w:t>《排污许可证申请与核发技术规范锅炉》（HJ953-2018）中相关参数计算，处理后的烟气中颗粒物排放浓度为</w:t>
      </w:r>
      <w:r>
        <w:rPr>
          <w:rFonts w:hint="eastAsia" w:ascii="Times New Roman" w:eastAsia="宋体"/>
          <w:color w:val="auto"/>
          <w:szCs w:val="24"/>
          <w:lang w:val="en-US" w:eastAsia="zh-CN"/>
        </w:rPr>
        <w:t>3.9</w:t>
      </w:r>
      <w:r>
        <w:rPr>
          <w:rFonts w:ascii="Times New Roman" w:eastAsia="宋体"/>
          <w:color w:val="auto"/>
          <w:szCs w:val="24"/>
        </w:rPr>
        <w:t xml:space="preserve"> mg/m</w:t>
      </w:r>
      <w:r>
        <w:rPr>
          <w:rFonts w:ascii="Times New Roman" w:eastAsia="宋体"/>
          <w:color w:val="auto"/>
          <w:szCs w:val="24"/>
          <w:vertAlign w:val="superscript"/>
        </w:rPr>
        <w:t>3</w:t>
      </w:r>
      <w:r>
        <w:rPr>
          <w:rFonts w:ascii="Times New Roman" w:eastAsia="宋体"/>
          <w:color w:val="auto"/>
          <w:szCs w:val="24"/>
        </w:rPr>
        <w:t>，SO</w:t>
      </w:r>
      <w:r>
        <w:rPr>
          <w:rFonts w:ascii="Times New Roman" w:eastAsia="宋体"/>
          <w:color w:val="auto"/>
          <w:szCs w:val="24"/>
          <w:vertAlign w:val="subscript"/>
        </w:rPr>
        <w:t>2</w:t>
      </w:r>
      <w:r>
        <w:rPr>
          <w:rFonts w:ascii="Times New Roman" w:eastAsia="宋体"/>
          <w:color w:val="auto"/>
          <w:szCs w:val="24"/>
        </w:rPr>
        <w:t>排放浓度为</w:t>
      </w:r>
      <w:r>
        <w:rPr>
          <w:rFonts w:hint="eastAsia" w:ascii="Times New Roman" w:eastAsia="宋体"/>
          <w:bCs/>
          <w:snapToGrid w:val="0"/>
          <w:color w:val="auto"/>
          <w:szCs w:val="24"/>
          <w:lang w:val="en-US" w:eastAsia="zh-CN"/>
        </w:rPr>
        <w:t>76.9</w:t>
      </w:r>
      <w:r>
        <w:rPr>
          <w:rFonts w:ascii="Times New Roman" w:eastAsia="宋体"/>
          <w:bCs/>
          <w:snapToGrid w:val="0"/>
          <w:color w:val="auto"/>
          <w:szCs w:val="24"/>
        </w:rPr>
        <w:t>mg/m</w:t>
      </w:r>
      <w:r>
        <w:rPr>
          <w:rFonts w:ascii="Times New Roman" w:eastAsia="宋体"/>
          <w:bCs/>
          <w:snapToGrid w:val="0"/>
          <w:color w:val="auto"/>
          <w:szCs w:val="24"/>
          <w:vertAlign w:val="superscript"/>
        </w:rPr>
        <w:t>3</w:t>
      </w:r>
      <w:r>
        <w:rPr>
          <w:rFonts w:ascii="Times New Roman" w:eastAsia="宋体"/>
          <w:color w:val="auto"/>
          <w:szCs w:val="24"/>
        </w:rPr>
        <w:t>，</w:t>
      </w:r>
      <w:r>
        <w:rPr>
          <w:rFonts w:ascii="Times New Roman" w:eastAsia="宋体"/>
          <w:bCs/>
          <w:snapToGrid w:val="0"/>
          <w:color w:val="auto"/>
          <w:szCs w:val="24"/>
        </w:rPr>
        <w:t>NO</w:t>
      </w:r>
      <w:r>
        <w:rPr>
          <w:rFonts w:ascii="Times New Roman" w:eastAsia="宋体"/>
          <w:bCs/>
          <w:snapToGrid w:val="0"/>
          <w:color w:val="auto"/>
          <w:szCs w:val="24"/>
          <w:vertAlign w:val="subscript"/>
        </w:rPr>
        <w:t>x</w:t>
      </w:r>
      <w:r>
        <w:rPr>
          <w:rFonts w:ascii="Times New Roman" w:eastAsia="宋体"/>
          <w:color w:val="auto"/>
          <w:szCs w:val="24"/>
        </w:rPr>
        <w:t>排放浓度为</w:t>
      </w:r>
      <w:r>
        <w:rPr>
          <w:rFonts w:hint="eastAsia" w:ascii="Times New Roman" w:eastAsia="宋体"/>
          <w:bCs/>
          <w:snapToGrid w:val="0"/>
          <w:color w:val="auto"/>
          <w:szCs w:val="24"/>
          <w:lang w:val="en-US" w:eastAsia="zh-CN"/>
        </w:rPr>
        <w:t>65.8</w:t>
      </w:r>
      <w:r>
        <w:rPr>
          <w:rFonts w:ascii="Times New Roman" w:eastAsia="宋体"/>
          <w:bCs/>
          <w:snapToGrid w:val="0"/>
          <w:color w:val="auto"/>
          <w:szCs w:val="24"/>
        </w:rPr>
        <w:t>mg/m</w:t>
      </w:r>
      <w:r>
        <w:rPr>
          <w:rFonts w:ascii="Times New Roman" w:eastAsia="宋体"/>
          <w:bCs/>
          <w:snapToGrid w:val="0"/>
          <w:color w:val="auto"/>
          <w:szCs w:val="24"/>
          <w:vertAlign w:val="superscript"/>
        </w:rPr>
        <w:t>3</w:t>
      </w:r>
      <w:r>
        <w:rPr>
          <w:rFonts w:ascii="Times New Roman" w:eastAsia="宋体"/>
          <w:color w:val="auto"/>
          <w:szCs w:val="24"/>
        </w:rPr>
        <w:t>，锅炉烟气的排放符合《锅炉大气污染物排放标准》（GB13271-2014）中特别排放限值要求。</w:t>
      </w:r>
    </w:p>
    <w:p>
      <w:pPr>
        <w:spacing w:line="360" w:lineRule="auto"/>
        <w:ind w:firstLine="482"/>
        <w:rPr>
          <w:rFonts w:ascii="Times New Roman" w:eastAsia="宋体"/>
          <w:color w:val="auto"/>
        </w:rPr>
      </w:pPr>
      <w:r>
        <w:rPr>
          <w:rFonts w:hint="eastAsia" w:ascii="Times New Roman" w:eastAsia="宋体"/>
          <w:color w:val="auto"/>
          <w:lang w:val="zh-CN"/>
        </w:rPr>
        <w:t>（2）恶臭</w:t>
      </w:r>
      <w:r>
        <w:rPr>
          <w:rFonts w:hint="eastAsia" w:ascii="Times New Roman" w:eastAsia="宋体"/>
          <w:color w:val="auto"/>
        </w:rPr>
        <w:t>影响分析</w:t>
      </w:r>
    </w:p>
    <w:p>
      <w:pPr>
        <w:spacing w:line="360" w:lineRule="auto"/>
        <w:ind w:firstLine="496" w:firstLineChars="200"/>
        <w:rPr>
          <w:rFonts w:ascii="Times New Roman" w:eastAsia="宋体"/>
          <w:color w:val="auto"/>
          <w:szCs w:val="22"/>
        </w:rPr>
      </w:pPr>
      <w:r>
        <w:rPr>
          <w:rFonts w:ascii="Times New Roman" w:eastAsia="宋体"/>
          <w:color w:val="auto"/>
          <w:szCs w:val="22"/>
        </w:rPr>
        <w:t>建设项目场地周围为</w:t>
      </w:r>
      <w:r>
        <w:rPr>
          <w:rFonts w:hint="eastAsia" w:ascii="Times New Roman" w:eastAsia="宋体"/>
          <w:color w:val="auto"/>
          <w:szCs w:val="22"/>
        </w:rPr>
        <w:t>林地和耕地</w:t>
      </w:r>
      <w:r>
        <w:rPr>
          <w:rFonts w:ascii="Times New Roman" w:eastAsia="宋体"/>
          <w:color w:val="auto"/>
          <w:szCs w:val="22"/>
        </w:rPr>
        <w:t>，</w:t>
      </w:r>
      <w:r>
        <w:rPr>
          <w:rFonts w:hint="eastAsia" w:ascii="Times New Roman" w:eastAsia="宋体"/>
          <w:color w:val="auto"/>
          <w:szCs w:val="22"/>
        </w:rPr>
        <w:t>与周边</w:t>
      </w:r>
      <w:r>
        <w:rPr>
          <w:rFonts w:ascii="Times New Roman" w:eastAsia="宋体"/>
          <w:color w:val="auto"/>
          <w:szCs w:val="22"/>
        </w:rPr>
        <w:t>村庄居住区较远</w:t>
      </w:r>
      <w:r>
        <w:rPr>
          <w:rFonts w:hint="eastAsia" w:ascii="Times New Roman" w:eastAsia="宋体"/>
          <w:color w:val="auto"/>
          <w:szCs w:val="22"/>
        </w:rPr>
        <w:t>，且有乔木阻隔</w:t>
      </w:r>
      <w:r>
        <w:rPr>
          <w:rFonts w:ascii="Times New Roman" w:eastAsia="宋体"/>
          <w:color w:val="auto"/>
          <w:szCs w:val="22"/>
        </w:rPr>
        <w:t>，地形开阔，通风条件好，偏于臭气浓度扩散和衰减。</w:t>
      </w:r>
    </w:p>
    <w:p>
      <w:pPr>
        <w:spacing w:line="360" w:lineRule="auto"/>
        <w:ind w:firstLine="496" w:firstLineChars="200"/>
        <w:rPr>
          <w:rFonts w:ascii="Times New Roman" w:eastAsia="宋体"/>
          <w:color w:val="auto"/>
          <w:szCs w:val="22"/>
        </w:rPr>
      </w:pPr>
      <w:r>
        <w:rPr>
          <w:rFonts w:ascii="Times New Roman" w:eastAsia="宋体"/>
          <w:color w:val="auto"/>
          <w:szCs w:val="22"/>
        </w:rPr>
        <w:t>鸡舍产生NH</w:t>
      </w:r>
      <w:r>
        <w:rPr>
          <w:rFonts w:ascii="Times New Roman" w:eastAsia="宋体"/>
          <w:color w:val="auto"/>
          <w:szCs w:val="22"/>
          <w:vertAlign w:val="subscript"/>
        </w:rPr>
        <w:t>3</w:t>
      </w:r>
      <w:r>
        <w:rPr>
          <w:rFonts w:ascii="Times New Roman" w:eastAsia="宋体"/>
          <w:color w:val="auto"/>
          <w:szCs w:val="22"/>
        </w:rPr>
        <w:t>及H</w:t>
      </w:r>
      <w:r>
        <w:rPr>
          <w:rFonts w:ascii="Times New Roman" w:eastAsia="宋体"/>
          <w:color w:val="auto"/>
          <w:szCs w:val="22"/>
          <w:vertAlign w:val="subscript"/>
        </w:rPr>
        <w:t>2</w:t>
      </w:r>
      <w:r>
        <w:rPr>
          <w:rFonts w:ascii="Times New Roman" w:eastAsia="宋体"/>
          <w:color w:val="auto"/>
          <w:szCs w:val="22"/>
        </w:rPr>
        <w:t>S</w:t>
      </w:r>
      <w:r>
        <w:rPr>
          <w:rFonts w:hint="eastAsia" w:ascii="Times New Roman" w:eastAsia="宋体"/>
          <w:color w:val="auto"/>
          <w:szCs w:val="22"/>
        </w:rPr>
        <w:t>的恶臭气体</w:t>
      </w:r>
      <w:r>
        <w:rPr>
          <w:rFonts w:ascii="Times New Roman" w:eastAsia="宋体"/>
          <w:color w:val="auto"/>
          <w:szCs w:val="22"/>
        </w:rPr>
        <w:t>，</w:t>
      </w:r>
      <w:r>
        <w:rPr>
          <w:rFonts w:hint="eastAsia" w:ascii="Times New Roman" w:eastAsia="宋体"/>
          <w:color w:val="auto"/>
          <w:szCs w:val="22"/>
        </w:rPr>
        <w:t>经收集后进行水幕喷淋吸收后屋顶排放；同时</w:t>
      </w:r>
      <w:r>
        <w:rPr>
          <w:rFonts w:ascii="Times New Roman" w:eastAsia="宋体"/>
          <w:color w:val="auto"/>
          <w:szCs w:val="22"/>
        </w:rPr>
        <w:t>定期在鸡舍内喷洒除臭剂，喷洒位置主要位于鸡舍中及周边，喷洒周期为4-5天，鸡舍经以上除臭处理后，除臭效率可达</w:t>
      </w:r>
      <w:r>
        <w:rPr>
          <w:rFonts w:hint="eastAsia" w:ascii="Times New Roman" w:eastAsia="宋体"/>
          <w:color w:val="auto"/>
          <w:szCs w:val="22"/>
        </w:rPr>
        <w:t>80</w:t>
      </w:r>
      <w:r>
        <w:rPr>
          <w:rFonts w:ascii="Times New Roman" w:eastAsia="宋体"/>
          <w:color w:val="auto"/>
          <w:szCs w:val="22"/>
        </w:rPr>
        <w:t>%。</w:t>
      </w:r>
    </w:p>
    <w:p>
      <w:pPr>
        <w:spacing w:line="360" w:lineRule="auto"/>
        <w:ind w:firstLine="496" w:firstLineChars="200"/>
        <w:rPr>
          <w:rFonts w:ascii="Times New Roman" w:eastAsia="宋体"/>
          <w:color w:val="auto"/>
          <w:szCs w:val="22"/>
        </w:rPr>
      </w:pPr>
      <w:r>
        <w:rPr>
          <w:rFonts w:ascii="Times New Roman" w:eastAsia="宋体"/>
          <w:color w:val="auto"/>
          <w:szCs w:val="22"/>
        </w:rPr>
        <w:t>本项目每年出栏</w:t>
      </w:r>
      <w:r>
        <w:rPr>
          <w:rFonts w:hint="eastAsia" w:ascii="Times New Roman" w:eastAsia="宋体"/>
          <w:color w:val="auto"/>
          <w:szCs w:val="22"/>
        </w:rPr>
        <w:t>100</w:t>
      </w:r>
      <w:r>
        <w:rPr>
          <w:rFonts w:ascii="Times New Roman" w:eastAsia="宋体"/>
          <w:color w:val="auto"/>
          <w:szCs w:val="22"/>
        </w:rPr>
        <w:t>万只肉鸡，每批存栏时间在</w:t>
      </w:r>
      <w:r>
        <w:rPr>
          <w:rFonts w:hint="eastAsia" w:ascii="Times New Roman" w:eastAsia="宋体"/>
          <w:color w:val="auto"/>
          <w:szCs w:val="22"/>
        </w:rPr>
        <w:t>60</w:t>
      </w:r>
      <w:r>
        <w:rPr>
          <w:rFonts w:ascii="Times New Roman" w:eastAsia="宋体"/>
          <w:color w:val="auto"/>
          <w:szCs w:val="22"/>
        </w:rPr>
        <w:t>d，做好鸡舍日常清理、</w:t>
      </w:r>
      <w:r>
        <w:rPr>
          <w:rFonts w:hint="eastAsia" w:ascii="Times New Roman" w:eastAsia="宋体"/>
          <w:color w:val="auto"/>
          <w:szCs w:val="22"/>
        </w:rPr>
        <w:t>除臭水帘吸收、</w:t>
      </w:r>
      <w:r>
        <w:rPr>
          <w:rFonts w:ascii="Times New Roman" w:eastAsia="宋体"/>
          <w:color w:val="auto"/>
          <w:szCs w:val="22"/>
        </w:rPr>
        <w:t>定期喷洒除臭剂及保证通风的情况下，排放恶臭气体量较小，对周边大气环境影响较小。</w:t>
      </w:r>
    </w:p>
    <w:p>
      <w:pPr>
        <w:spacing w:line="360" w:lineRule="auto"/>
        <w:ind w:firstLine="496" w:firstLineChars="200"/>
        <w:rPr>
          <w:rFonts w:ascii="Times New Roman" w:eastAsia="宋体"/>
          <w:color w:val="auto"/>
          <w:szCs w:val="22"/>
        </w:rPr>
      </w:pPr>
      <w:r>
        <w:rPr>
          <w:rFonts w:ascii="Times New Roman" w:eastAsia="宋体"/>
          <w:color w:val="auto"/>
          <w:szCs w:val="22"/>
        </w:rPr>
        <w:t>本项目污水池</w:t>
      </w:r>
      <w:r>
        <w:rPr>
          <w:rFonts w:hint="eastAsia" w:ascii="Times New Roman" w:eastAsia="宋体"/>
          <w:color w:val="auto"/>
          <w:szCs w:val="22"/>
        </w:rPr>
        <w:t>仅对废水进行收集沉淀，不在本场进行污水处置</w:t>
      </w:r>
      <w:r>
        <w:rPr>
          <w:rFonts w:ascii="Times New Roman" w:eastAsia="宋体"/>
          <w:color w:val="auto"/>
          <w:szCs w:val="22"/>
        </w:rPr>
        <w:t>，</w:t>
      </w:r>
      <w:r>
        <w:rPr>
          <w:rFonts w:hint="eastAsia" w:ascii="Times New Roman" w:eastAsia="宋体"/>
          <w:color w:val="auto"/>
          <w:szCs w:val="22"/>
        </w:rPr>
        <w:t>沉淀</w:t>
      </w:r>
      <w:r>
        <w:rPr>
          <w:rFonts w:ascii="Times New Roman" w:eastAsia="宋体"/>
          <w:color w:val="auto"/>
          <w:szCs w:val="22"/>
        </w:rPr>
        <w:t>过程产生</w:t>
      </w:r>
      <w:r>
        <w:rPr>
          <w:rFonts w:hint="eastAsia" w:ascii="Times New Roman" w:eastAsia="宋体"/>
          <w:color w:val="auto"/>
          <w:szCs w:val="22"/>
        </w:rPr>
        <w:t>少量</w:t>
      </w:r>
      <w:r>
        <w:rPr>
          <w:rFonts w:ascii="Times New Roman" w:eastAsia="宋体"/>
          <w:color w:val="auto"/>
          <w:szCs w:val="22"/>
        </w:rPr>
        <w:t>的恶臭气体</w:t>
      </w:r>
      <w:r>
        <w:rPr>
          <w:rFonts w:hint="eastAsia" w:ascii="Times New Roman" w:eastAsia="宋体"/>
          <w:color w:val="auto"/>
          <w:szCs w:val="22"/>
          <w:lang w:eastAsia="zh-CN"/>
        </w:rPr>
        <w:t>。</w:t>
      </w:r>
      <w:r>
        <w:rPr>
          <w:rFonts w:ascii="Times New Roman" w:eastAsia="宋体"/>
          <w:color w:val="auto"/>
          <w:szCs w:val="22"/>
        </w:rPr>
        <w:t>污水池</w:t>
      </w:r>
      <w:r>
        <w:rPr>
          <w:rFonts w:hint="eastAsia" w:ascii="Times New Roman" w:eastAsia="宋体"/>
          <w:color w:val="auto"/>
          <w:szCs w:val="22"/>
          <w:lang w:val="en-US" w:eastAsia="zh-CN"/>
        </w:rPr>
        <w:t>为地下设施，并加盖密封，</w:t>
      </w:r>
      <w:r>
        <w:rPr>
          <w:rFonts w:ascii="Times New Roman" w:eastAsia="宋体"/>
          <w:color w:val="auto"/>
          <w:szCs w:val="22"/>
        </w:rPr>
        <w:t>密闭状态时恶臭气体逸出量较小，仅在清掏污泥时有一定量恶臭气体逸出。因此，相比较于鸡舍恶臭，其产生量较小，对区域环境影响较小。</w:t>
      </w:r>
    </w:p>
    <w:p>
      <w:pPr>
        <w:pStyle w:val="4"/>
        <w:spacing w:before="0" w:after="0" w:line="360" w:lineRule="auto"/>
        <w:rPr>
          <w:rFonts w:hint="eastAsia" w:ascii="Times New Roman" w:eastAsia="宋体"/>
          <w:b/>
          <w:bCs/>
          <w:color w:val="auto"/>
          <w:sz w:val="24"/>
        </w:rPr>
      </w:pPr>
      <w:bookmarkStart w:id="389" w:name="_Toc17429"/>
      <w:bookmarkStart w:id="390" w:name="_Toc12665"/>
      <w:bookmarkStart w:id="391" w:name="_Toc27425"/>
      <w:bookmarkStart w:id="392" w:name="_Toc21114"/>
      <w:r>
        <w:rPr>
          <w:rFonts w:hint="eastAsia" w:ascii="Times New Roman" w:eastAsia="宋体"/>
          <w:b/>
          <w:bCs/>
          <w:color w:val="auto"/>
          <w:sz w:val="24"/>
        </w:rPr>
        <w:t>5.2.2地表水环境影响预测与评价</w:t>
      </w:r>
      <w:bookmarkEnd w:id="389"/>
      <w:bookmarkEnd w:id="390"/>
      <w:bookmarkEnd w:id="391"/>
      <w:bookmarkEnd w:id="392"/>
    </w:p>
    <w:bookmarkEnd w:id="385"/>
    <w:p>
      <w:pPr>
        <w:spacing w:line="360" w:lineRule="auto"/>
        <w:ind w:firstLine="496" w:firstLineChars="200"/>
        <w:rPr>
          <w:rFonts w:ascii="Times New Roman" w:eastAsia="宋体"/>
          <w:color w:val="auto"/>
          <w:szCs w:val="24"/>
        </w:rPr>
      </w:pPr>
      <w:r>
        <w:rPr>
          <w:rFonts w:ascii="Times New Roman" w:eastAsia="宋体"/>
          <w:color w:val="auto"/>
          <w:szCs w:val="24"/>
        </w:rPr>
        <w:t>本项目产生的污水主要为清舍废水、锅炉排水、生活污水等，主要污染物为</w:t>
      </w:r>
      <w:r>
        <w:rPr>
          <w:rFonts w:hint="eastAsia" w:ascii="Times New Roman" w:eastAsia="宋体"/>
          <w:color w:val="auto"/>
          <w:szCs w:val="24"/>
          <w:lang w:val="en-US" w:eastAsia="zh-CN"/>
        </w:rPr>
        <w:t>pH、</w:t>
      </w:r>
      <w:r>
        <w:rPr>
          <w:rFonts w:ascii="Times New Roman" w:eastAsia="宋体"/>
          <w:color w:val="auto"/>
          <w:szCs w:val="24"/>
        </w:rPr>
        <w:t>COD、BOD5、NH3-N、TP、TN、SS。其中清舍废水</w:t>
      </w:r>
      <w:r>
        <w:rPr>
          <w:rFonts w:hint="eastAsia" w:ascii="Times New Roman" w:eastAsia="宋体"/>
          <w:color w:val="auto"/>
          <w:szCs w:val="24"/>
        </w:rPr>
        <w:t>和除臭废水</w:t>
      </w:r>
      <w:r>
        <w:rPr>
          <w:rFonts w:ascii="Times New Roman" w:eastAsia="宋体"/>
          <w:color w:val="auto"/>
          <w:szCs w:val="24"/>
        </w:rPr>
        <w:t>经鸡舍地下管道收集进入污水沉淀池</w:t>
      </w:r>
      <w:r>
        <w:rPr>
          <w:rFonts w:hint="eastAsia" w:ascii="Times New Roman" w:eastAsia="宋体"/>
          <w:color w:val="auto"/>
          <w:szCs w:val="24"/>
        </w:rPr>
        <w:t>，生活污水经化粪池处理后经地下管道收集进入污水沉淀池，后均有密闭槽罐车运至新华养殖厂污水处理站</w:t>
      </w:r>
      <w:r>
        <w:rPr>
          <w:rFonts w:ascii="Times New Roman" w:eastAsia="宋体"/>
          <w:color w:val="auto"/>
          <w:szCs w:val="24"/>
        </w:rPr>
        <w:t>；锅炉排水收集后用于场区抑尘。根据《环境影响评价技术导则地表水环境》（HJ 2.3-2018）表1有关水污染影响型建设项目评价等级判定，确定本评价地表水环境评价工作等级为三级B。水污染影响型三级 B 评价可不进行水环境影响预测，主要对水污染控制和水环境影响减缓措施的有效性进行评价。</w:t>
      </w:r>
    </w:p>
    <w:p>
      <w:pPr>
        <w:pStyle w:val="4"/>
        <w:spacing w:before="0" w:after="0" w:line="360" w:lineRule="auto"/>
        <w:rPr>
          <w:rFonts w:hint="eastAsia" w:ascii="Times New Roman" w:eastAsia="宋体"/>
          <w:b/>
          <w:bCs/>
          <w:color w:val="auto"/>
          <w:sz w:val="24"/>
        </w:rPr>
      </w:pPr>
      <w:bookmarkStart w:id="393" w:name="_Toc14271"/>
      <w:bookmarkStart w:id="394" w:name="_Toc8658"/>
      <w:bookmarkStart w:id="395" w:name="_Toc498"/>
      <w:r>
        <w:rPr>
          <w:rFonts w:hint="eastAsia" w:ascii="Times New Roman" w:eastAsia="宋体"/>
          <w:b/>
          <w:bCs/>
          <w:color w:val="auto"/>
          <w:sz w:val="24"/>
        </w:rPr>
        <w:t>5.2.3地下水环境影响分析</w:t>
      </w:r>
      <w:bookmarkEnd w:id="393"/>
      <w:bookmarkEnd w:id="394"/>
      <w:bookmarkEnd w:id="395"/>
    </w:p>
    <w:p>
      <w:pPr>
        <w:pStyle w:val="5"/>
        <w:numPr>
          <w:ilvl w:val="0"/>
          <w:numId w:val="0"/>
        </w:numPr>
        <w:tabs>
          <w:tab w:val="clear" w:pos="864"/>
        </w:tabs>
        <w:spacing w:before="0" w:after="0" w:line="360" w:lineRule="auto"/>
        <w:rPr>
          <w:rFonts w:ascii="Times New Roman" w:hAnsi="Times New Roman" w:eastAsia="宋体"/>
          <w:color w:val="auto"/>
        </w:rPr>
      </w:pPr>
      <w:bookmarkStart w:id="396" w:name="_Toc8088"/>
      <w:bookmarkStart w:id="397" w:name="_Toc25863"/>
      <w:bookmarkStart w:id="398" w:name="_Toc43151886"/>
      <w:r>
        <w:rPr>
          <w:rFonts w:hint="eastAsia" w:ascii="Times New Roman" w:hAnsi="Times New Roman" w:eastAsia="宋体"/>
          <w:color w:val="auto"/>
        </w:rPr>
        <w:t>5.2.3</w:t>
      </w:r>
      <w:r>
        <w:rPr>
          <w:rFonts w:ascii="Times New Roman" w:hAnsi="Times New Roman" w:eastAsia="宋体"/>
          <w:color w:val="auto"/>
        </w:rPr>
        <w:t>.1地下水环境影响评价等级</w:t>
      </w:r>
      <w:bookmarkEnd w:id="396"/>
      <w:bookmarkEnd w:id="397"/>
      <w:bookmarkEnd w:id="398"/>
    </w:p>
    <w:p>
      <w:pPr>
        <w:spacing w:line="360" w:lineRule="auto"/>
        <w:ind w:firstLine="496" w:firstLineChars="200"/>
        <w:rPr>
          <w:rFonts w:ascii="Times New Roman" w:eastAsia="宋体"/>
          <w:color w:val="auto"/>
          <w:szCs w:val="24"/>
        </w:rPr>
      </w:pPr>
      <w:r>
        <w:rPr>
          <w:rFonts w:ascii="Times New Roman" w:eastAsia="宋体"/>
          <w:color w:val="auto"/>
          <w:szCs w:val="24"/>
        </w:rPr>
        <w:t>根据《环境影响评价技术导则—地下水环境》（HJ610-2016），本项目地下水影响评价等级为三级。</w:t>
      </w:r>
      <w:bookmarkStart w:id="399" w:name="_Toc43151887"/>
      <w:bookmarkStart w:id="400" w:name="_Toc6781"/>
      <w:bookmarkStart w:id="401" w:name="_Toc25249"/>
    </w:p>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5.2.3</w:t>
      </w:r>
      <w:r>
        <w:rPr>
          <w:rFonts w:ascii="Times New Roman" w:hAnsi="Times New Roman" w:eastAsia="宋体"/>
          <w:color w:val="auto"/>
        </w:rPr>
        <w:t>.2区域水文地质条件</w:t>
      </w:r>
      <w:bookmarkEnd w:id="399"/>
      <w:bookmarkEnd w:id="400"/>
      <w:bookmarkEnd w:id="401"/>
    </w:p>
    <w:p>
      <w:pPr>
        <w:spacing w:line="360" w:lineRule="auto"/>
        <w:ind w:firstLine="482"/>
        <w:rPr>
          <w:rFonts w:ascii="Times New Roman" w:eastAsia="宋体"/>
          <w:color w:val="auto"/>
        </w:rPr>
      </w:pPr>
      <w:bookmarkStart w:id="402" w:name="_Toc11892"/>
      <w:bookmarkStart w:id="403" w:name="_Toc24867"/>
      <w:bookmarkStart w:id="404" w:name="_Toc43151888"/>
      <w:bookmarkStart w:id="405" w:name="_Toc189559174"/>
      <w:bookmarkStart w:id="406" w:name="_Toc205170869"/>
      <w:r>
        <w:rPr>
          <w:rFonts w:hint="eastAsia" w:ascii="Times New Roman" w:eastAsia="宋体"/>
          <w:color w:val="auto"/>
        </w:rPr>
        <w:t>（1）</w:t>
      </w:r>
      <w:r>
        <w:rPr>
          <w:rFonts w:ascii="Times New Roman" w:eastAsia="宋体"/>
          <w:color w:val="auto"/>
        </w:rPr>
        <w:t>地质概况</w:t>
      </w:r>
    </w:p>
    <w:p>
      <w:pPr>
        <w:spacing w:line="360" w:lineRule="auto"/>
        <w:ind w:firstLine="482"/>
        <w:rPr>
          <w:rFonts w:ascii="Times New Roman" w:eastAsia="宋体"/>
          <w:color w:val="auto"/>
        </w:rPr>
      </w:pPr>
      <w:r>
        <w:rPr>
          <w:rFonts w:hint="eastAsia" w:ascii="Times New Roman" w:eastAsia="宋体"/>
          <w:color w:val="auto"/>
        </w:rPr>
        <w:tab/>
      </w:r>
      <w:r>
        <w:rPr>
          <w:rFonts w:ascii="Times New Roman" w:eastAsia="宋体"/>
          <w:color w:val="auto"/>
        </w:rPr>
        <w:t>项目所在地地貌属第四系海陆交互相沉积平原，场地内地基土主要由第四系工填土、第四系海陆交互相沉积层组成，基岩为燕山期花岗岩层。</w:t>
      </w:r>
    </w:p>
    <w:p>
      <w:pPr>
        <w:spacing w:line="360" w:lineRule="auto"/>
        <w:ind w:firstLine="482"/>
        <w:rPr>
          <w:rFonts w:ascii="Times New Roman" w:eastAsia="宋体"/>
          <w:color w:val="auto"/>
        </w:rPr>
      </w:pPr>
      <w:r>
        <w:rPr>
          <w:rFonts w:hint="eastAsia" w:ascii="Times New Roman" w:eastAsia="宋体"/>
          <w:color w:val="auto"/>
        </w:rPr>
        <w:t>（2）</w:t>
      </w:r>
      <w:r>
        <w:rPr>
          <w:rFonts w:ascii="Times New Roman" w:eastAsia="宋体"/>
          <w:color w:val="auto"/>
        </w:rPr>
        <w:t>地下水概况</w:t>
      </w:r>
    </w:p>
    <w:p>
      <w:pPr>
        <w:spacing w:line="360" w:lineRule="auto"/>
        <w:ind w:firstLine="482"/>
        <w:rPr>
          <w:rFonts w:ascii="Times New Roman" w:eastAsia="宋体"/>
          <w:color w:val="auto"/>
        </w:rPr>
      </w:pPr>
      <w:r>
        <w:rPr>
          <w:rFonts w:ascii="Times New Roman" w:eastAsia="宋体"/>
          <w:color w:val="auto"/>
        </w:rPr>
        <w:t>项目所在地地下水主要时存于海陆交互相沉积层细砂的孔限中和花岩风化带裂隙中，均为微承压水。场地地下水径流补给不明显，补、排条件一般，水流水平径流交作用慢，补给量不丰富，排泄方式以潜流方式排泄为主，其次以蒸发方式垂直排泄。</w:t>
      </w:r>
    </w:p>
    <w:p>
      <w:pPr>
        <w:spacing w:line="360" w:lineRule="auto"/>
        <w:ind w:firstLine="482"/>
        <w:rPr>
          <w:rFonts w:ascii="Times New Roman" w:eastAsia="宋体"/>
          <w:color w:val="auto"/>
        </w:rPr>
      </w:pPr>
      <w:r>
        <w:rPr>
          <w:rFonts w:hint="eastAsia" w:ascii="Times New Roman" w:eastAsia="宋体"/>
          <w:color w:val="auto"/>
        </w:rPr>
        <w:t>（3）</w:t>
      </w:r>
      <w:r>
        <w:rPr>
          <w:rFonts w:ascii="Times New Roman" w:eastAsia="宋体"/>
          <w:color w:val="auto"/>
        </w:rPr>
        <w:t>包气带及深层地下水上覆地层防污性能</w:t>
      </w:r>
    </w:p>
    <w:p>
      <w:pPr>
        <w:spacing w:line="360" w:lineRule="auto"/>
        <w:ind w:firstLine="420"/>
        <w:jc w:val="left"/>
        <w:rPr>
          <w:rFonts w:ascii="Times New Roman" w:eastAsia="宋体"/>
          <w:color w:val="auto"/>
          <w:szCs w:val="24"/>
        </w:rPr>
      </w:pPr>
      <w:r>
        <w:rPr>
          <w:rFonts w:ascii="Times New Roman" w:eastAsia="宋体"/>
          <w:color w:val="auto"/>
          <w:szCs w:val="24"/>
        </w:rPr>
        <w:t>包气带即地表与潜水面之间的地带，是地下含水层的天然保护层，是地表污染物进入含水层的主要垂直过渡带。污染物质进入包气带便与周围介质发生物理化学生物化学等作用，其作用时间越长越充分，包气带净化能力越强。</w:t>
      </w:r>
    </w:p>
    <w:p>
      <w:pPr>
        <w:spacing w:line="360" w:lineRule="auto"/>
        <w:ind w:firstLine="420"/>
        <w:jc w:val="left"/>
        <w:rPr>
          <w:rFonts w:ascii="Times New Roman" w:eastAsia="宋体"/>
          <w:color w:val="auto"/>
          <w:szCs w:val="24"/>
        </w:rPr>
      </w:pPr>
      <w:r>
        <w:rPr>
          <w:rFonts w:ascii="Times New Roman" w:eastAsia="宋体"/>
          <w:color w:val="auto"/>
          <w:szCs w:val="24"/>
        </w:rPr>
        <w:t>项目场地内地基士土主要由第四系人工填土、第四系海陆交互相沉积层组成，基岩为燕山期花岗岩层，其中第四系海陆交互相沉积层防污性能较强，层厚≥1.0m，透系系数为1</w:t>
      </w:r>
      <w:r>
        <w:rPr>
          <w:rFonts w:hint="eastAsia" w:ascii="Times New Roman" w:eastAsia="宋体"/>
          <w:color w:val="auto"/>
          <w:szCs w:val="24"/>
        </w:rPr>
        <w:t>×</w:t>
      </w:r>
      <w:r>
        <w:rPr>
          <w:rFonts w:ascii="Times New Roman" w:eastAsia="宋体"/>
          <w:color w:val="auto"/>
          <w:szCs w:val="24"/>
        </w:rPr>
        <w:t>10-6~2</w:t>
      </w:r>
      <w:r>
        <w:rPr>
          <w:rFonts w:hint="eastAsia" w:ascii="Times New Roman" w:eastAsia="宋体"/>
          <w:color w:val="auto"/>
          <w:szCs w:val="24"/>
        </w:rPr>
        <w:t>×</w:t>
      </w:r>
      <w:r>
        <w:rPr>
          <w:rFonts w:ascii="Times New Roman" w:eastAsia="宋体"/>
          <w:color w:val="auto"/>
          <w:szCs w:val="24"/>
        </w:rPr>
        <w:t>10</w:t>
      </w:r>
      <w:r>
        <w:rPr>
          <w:rFonts w:ascii="Times New Roman" w:eastAsia="宋体"/>
          <w:color w:val="auto"/>
          <w:szCs w:val="24"/>
          <w:vertAlign w:val="superscript"/>
        </w:rPr>
        <w:t>-5</w:t>
      </w:r>
      <w:r>
        <w:rPr>
          <w:rFonts w:ascii="Times New Roman" w:eastAsia="宋体"/>
          <w:color w:val="auto"/>
          <w:szCs w:val="24"/>
        </w:rPr>
        <w:t>cm/s，且分布连续、稳定，属防污性能等级中等。</w:t>
      </w:r>
    </w:p>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5.2.3</w:t>
      </w:r>
      <w:r>
        <w:rPr>
          <w:rFonts w:ascii="Times New Roman" w:hAnsi="Times New Roman" w:eastAsia="宋体"/>
          <w:color w:val="auto"/>
        </w:rPr>
        <w:t>.</w:t>
      </w:r>
      <w:r>
        <w:rPr>
          <w:rFonts w:hint="eastAsia" w:ascii="Times New Roman" w:hAnsi="Times New Roman" w:eastAsia="宋体"/>
          <w:color w:val="auto"/>
        </w:rPr>
        <w:t>3</w:t>
      </w:r>
      <w:r>
        <w:rPr>
          <w:rFonts w:ascii="Times New Roman" w:hAnsi="Times New Roman" w:eastAsia="宋体"/>
          <w:color w:val="auto"/>
        </w:rPr>
        <w:t>地下水污染途径分析</w:t>
      </w:r>
    </w:p>
    <w:p>
      <w:pPr>
        <w:spacing w:line="360" w:lineRule="auto"/>
        <w:ind w:firstLine="420"/>
        <w:jc w:val="left"/>
        <w:rPr>
          <w:rFonts w:ascii="Times New Roman" w:eastAsia="宋体"/>
          <w:color w:val="auto"/>
          <w:szCs w:val="24"/>
        </w:rPr>
      </w:pPr>
      <w:r>
        <w:rPr>
          <w:rFonts w:ascii="Times New Roman" w:eastAsia="宋体"/>
          <w:color w:val="auto"/>
          <w:szCs w:val="24"/>
        </w:rPr>
        <w:t>污染物对地下水的影响主要是由于降雨或废水排放等通过垂直渗透进入包气带，进入包气带的污染物在物理、化学和生物作用下经吸附、转化、迁移和分解后输入地下水。因此，包气带是连接地面污染物与地下含水层的主要通道和过渡带，既是污染物媒介体，又是污染物的净化场所和防护层。一般来说，土壤粒细而紧密，渗透性差，则污染慢；反之，颗粒大松散，渗透性能良好则污染重。</w:t>
      </w:r>
    </w:p>
    <w:p>
      <w:pPr>
        <w:spacing w:line="360" w:lineRule="auto"/>
        <w:ind w:firstLine="420"/>
        <w:jc w:val="left"/>
        <w:rPr>
          <w:rFonts w:ascii="Times New Roman" w:eastAsia="宋体"/>
          <w:color w:val="auto"/>
          <w:szCs w:val="24"/>
        </w:rPr>
      </w:pPr>
      <w:r>
        <w:rPr>
          <w:rFonts w:ascii="Times New Roman" w:eastAsia="宋体"/>
          <w:color w:val="auto"/>
          <w:szCs w:val="24"/>
        </w:rPr>
        <w:t>对地下水的污染主要是由于污染物迁移穿过包气带进入含水层造成。项目场地为粉质粘土层，包气带防污性能为中级，说明浅层地下水不太容易受到污染。若废水发生渗漏，污染物不会很快穿过包气带进入浅层地下水，对浅层地下水的污染很小。</w:t>
      </w:r>
    </w:p>
    <w:p>
      <w:pPr>
        <w:spacing w:line="360" w:lineRule="auto"/>
        <w:ind w:firstLine="420"/>
        <w:jc w:val="left"/>
        <w:rPr>
          <w:rFonts w:ascii="Times New Roman" w:eastAsia="宋体"/>
          <w:color w:val="auto"/>
          <w:szCs w:val="24"/>
        </w:rPr>
      </w:pPr>
      <w:r>
        <w:rPr>
          <w:rFonts w:ascii="Times New Roman" w:eastAsia="宋体"/>
          <w:color w:val="auto"/>
          <w:szCs w:val="24"/>
        </w:rPr>
        <w:t>判断深层地下水是否会受到污染影响，通常分析深层地下水含水组上覆地层的防污性能和有无与浅层地下水的水利联系。通过水文地质条件分析，区内粘土隔水层垂直渗入补给条件较差，与浅层地下水水利联系不密切。因此，深层地下水不会受到项目下渗污水的污染影响。</w:t>
      </w:r>
    </w:p>
    <w:p>
      <w:pPr>
        <w:spacing w:line="360" w:lineRule="auto"/>
        <w:ind w:firstLine="420"/>
        <w:jc w:val="left"/>
        <w:rPr>
          <w:rFonts w:ascii="Times New Roman" w:eastAsia="宋体"/>
          <w:color w:val="auto"/>
          <w:szCs w:val="24"/>
        </w:rPr>
      </w:pPr>
      <w:r>
        <w:rPr>
          <w:rFonts w:ascii="Times New Roman" w:eastAsia="宋体"/>
          <w:color w:val="auto"/>
          <w:szCs w:val="24"/>
        </w:rPr>
        <w:t>项目</w:t>
      </w:r>
      <w:r>
        <w:rPr>
          <w:rFonts w:hint="eastAsia" w:ascii="Times New Roman" w:eastAsia="宋体"/>
          <w:color w:val="auto"/>
          <w:szCs w:val="24"/>
        </w:rPr>
        <w:t>养殖</w:t>
      </w:r>
      <w:r>
        <w:rPr>
          <w:rFonts w:ascii="Times New Roman" w:eastAsia="宋体"/>
          <w:color w:val="auto"/>
          <w:szCs w:val="24"/>
        </w:rPr>
        <w:t>废水</w:t>
      </w:r>
      <w:r>
        <w:rPr>
          <w:rFonts w:hint="eastAsia" w:ascii="Times New Roman" w:eastAsia="宋体"/>
          <w:color w:val="auto"/>
          <w:szCs w:val="24"/>
        </w:rPr>
        <w:t>经收集后外运至新华养殖厂处理，处理达标后用于周边</w:t>
      </w:r>
      <w:r>
        <w:rPr>
          <w:rFonts w:hint="eastAsia" w:ascii="Times New Roman" w:eastAsia="宋体"/>
          <w:color w:val="auto"/>
          <w:szCs w:val="24"/>
          <w:lang w:eastAsia="zh-CN"/>
        </w:rPr>
        <w:t>农林施肥</w:t>
      </w:r>
      <w:r>
        <w:rPr>
          <w:rFonts w:ascii="Times New Roman" w:eastAsia="宋体"/>
          <w:color w:val="auto"/>
          <w:szCs w:val="24"/>
        </w:rPr>
        <w:t>，不外排。本项目所在区域无地面沉降、地裂缝、湿地退化、土地荒漠化等环境问题，没有出现土地盐渍化、沼泽化迹象。</w:t>
      </w:r>
      <w:bookmarkEnd w:id="402"/>
      <w:bookmarkEnd w:id="403"/>
      <w:bookmarkEnd w:id="404"/>
    </w:p>
    <w:bookmarkEnd w:id="405"/>
    <w:bookmarkEnd w:id="406"/>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5.2.3</w:t>
      </w:r>
      <w:r>
        <w:rPr>
          <w:rFonts w:ascii="Times New Roman" w:hAnsi="Times New Roman" w:eastAsia="宋体"/>
          <w:color w:val="auto"/>
        </w:rPr>
        <w:t>.3地下水的污染途径</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bookmarkStart w:id="407" w:name="_Toc23521"/>
      <w:bookmarkStart w:id="408" w:name="_Toc30081"/>
      <w:bookmarkStart w:id="409" w:name="_Toc43151889"/>
      <w:r>
        <w:rPr>
          <w:rFonts w:hint="eastAsia" w:ascii="宋体" w:hAnsi="宋体" w:eastAsia="宋体" w:cs="宋体"/>
          <w:color w:val="auto"/>
          <w:kern w:val="2"/>
          <w:szCs w:val="24"/>
        </w:rPr>
        <w:t>污染物对地下水的影响主要是由于降雨或废水排放等通过垂直渗透进入包气带，进入包气带的污染物在物理、化学和生物作用下经吸附、转化、迁移和分解后输入地下水。因此，包气带是连接地面污染物与地下含水层的主要通道和过度带，既是污染物媒介体，又是污染物的净化场所和防护层。一般来说，土壤粒细而紧密，渗透性差，则污染慢；反之，颗粒大松散，渗透性能良好则污染重。</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对地下水的污染主要是由于污染物迁移穿过包气带进入含水层造成。项目场地为粉质粘土层，包气带防污性能为中级，说明浅层地下水不太容易受到污染。若废水发生渗漏，污染物不会很快穿过包气带进入浅层地下水，对浅层地下水的污染很小。</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判断深层地下水是否会受到污染影响，通常分析深层地下水含水组上覆地层的防污性能和有无与浅层地下水的水利联系。通过水文地质条件分析，区内粘土隔水层垂直渗入补给条件较差，与浅层地下水水利联系不密切。因此，深层地下水不会受到项目下渗污水的污染影响。</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本项目所在区域无地面沉降、地裂缝、湿地退化、土地荒漠化等环境问题，没有出现土地盐渍化、沼泽化迹象。</w:t>
      </w:r>
    </w:p>
    <w:p>
      <w:pPr>
        <w:pStyle w:val="173"/>
        <w:ind w:firstLine="497"/>
        <w:rPr>
          <w:rFonts w:ascii="Times New Roman" w:eastAsia="宋体"/>
          <w:color w:val="auto"/>
        </w:rPr>
      </w:pPr>
      <w:bookmarkStart w:id="410" w:name="_Toc3791"/>
      <w:r>
        <w:rPr>
          <w:rFonts w:ascii="Times New Roman" w:eastAsia="宋体"/>
          <w:color w:val="auto"/>
        </w:rPr>
        <w:t>1</w:t>
      </w:r>
      <w:r>
        <w:rPr>
          <w:rFonts w:hint="eastAsia" w:ascii="Times New Roman" w:eastAsia="宋体"/>
          <w:color w:val="auto"/>
        </w:rPr>
        <w:t>、正常工况环境影响途径分析</w:t>
      </w:r>
      <w:bookmarkEnd w:id="410"/>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场内排水采用雨污分流制。污水收集采取严格的防渗、防溢流等措施，正常工况下污水不会进入地下水造成污染源。鸡舍、污水沉淀池等均采取防渗、防溢流等措施，项目产生固废不会对地下水产生污染。</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通过上述分析可以看出，拟建项目在正常情况下，不会对地下水环境质量造成显著影响。</w:t>
      </w:r>
    </w:p>
    <w:p>
      <w:pPr>
        <w:pStyle w:val="173"/>
        <w:ind w:firstLine="497"/>
        <w:rPr>
          <w:rFonts w:ascii="Times New Roman" w:eastAsia="宋体"/>
          <w:color w:val="auto"/>
        </w:rPr>
      </w:pPr>
      <w:bookmarkStart w:id="411" w:name="_Toc332"/>
      <w:r>
        <w:rPr>
          <w:rFonts w:ascii="Times New Roman" w:eastAsia="宋体"/>
          <w:color w:val="auto"/>
        </w:rPr>
        <w:t>2</w:t>
      </w:r>
      <w:r>
        <w:rPr>
          <w:rFonts w:hint="eastAsia" w:ascii="Times New Roman" w:eastAsia="宋体"/>
          <w:color w:val="auto"/>
        </w:rPr>
        <w:t>、非正常工况环境影响途径分析</w:t>
      </w:r>
      <w:bookmarkEnd w:id="411"/>
    </w:p>
    <w:p>
      <w:pPr>
        <w:spacing w:line="360" w:lineRule="auto"/>
        <w:ind w:firstLine="482"/>
        <w:rPr>
          <w:rFonts w:ascii="Times New Roman" w:eastAsia="宋体"/>
          <w:color w:val="auto"/>
          <w:lang w:val="zh-CN"/>
        </w:rPr>
      </w:pPr>
      <w:bookmarkStart w:id="412" w:name="_Toc2345"/>
      <w:r>
        <w:rPr>
          <w:rFonts w:hint="eastAsia" w:ascii="Times New Roman" w:eastAsia="宋体"/>
          <w:color w:val="auto"/>
        </w:rPr>
        <w:t>（1）影响途径</w:t>
      </w:r>
      <w:bookmarkEnd w:id="412"/>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在非正常工况或事故情况下，建设项目可能对区域地下水造成影响。非正常情况或事故情况下对地下水的可能影响途径包括：</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ascii="Times New Roman" w:hAnsi="Times New Roman" w:eastAsia="宋体" w:cs="Times New Roman"/>
          <w:color w:val="auto"/>
          <w:kern w:val="2"/>
          <w:szCs w:val="24"/>
        </w:rPr>
        <w:t>①</w:t>
      </w:r>
      <w:r>
        <w:rPr>
          <w:rFonts w:hint="eastAsia" w:ascii="宋体" w:hAnsi="宋体" w:eastAsia="宋体" w:cs="宋体"/>
          <w:color w:val="auto"/>
          <w:kern w:val="2"/>
          <w:szCs w:val="24"/>
        </w:rPr>
        <w:t>鸡舍饲养过程出现粪尿泄露，渗入地下造成地下水污染源；</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ascii="Times New Roman" w:hAnsi="Times New Roman" w:eastAsia="宋体" w:cs="Times New Roman"/>
          <w:color w:val="auto"/>
          <w:kern w:val="2"/>
          <w:szCs w:val="24"/>
        </w:rPr>
        <w:t>②</w:t>
      </w:r>
      <w:r>
        <w:rPr>
          <w:rFonts w:hint="eastAsia" w:ascii="宋体" w:hAnsi="宋体" w:eastAsia="宋体" w:cs="宋体"/>
          <w:color w:val="auto"/>
          <w:kern w:val="2"/>
          <w:szCs w:val="24"/>
        </w:rPr>
        <w:t>项目沉淀池出现裂缝，而造成在使用过程中废水下渗污染地下水；</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ascii="Times New Roman" w:hAnsi="Times New Roman" w:eastAsia="宋体" w:cs="Times New Roman"/>
          <w:color w:val="auto"/>
          <w:kern w:val="2"/>
          <w:szCs w:val="24"/>
        </w:rPr>
        <w:t>③</w:t>
      </w:r>
      <w:r>
        <w:rPr>
          <w:rFonts w:hint="eastAsia" w:ascii="宋体" w:hAnsi="宋体" w:eastAsia="宋体" w:cs="宋体"/>
          <w:color w:val="auto"/>
          <w:kern w:val="2"/>
          <w:szCs w:val="24"/>
        </w:rPr>
        <w:t>污水收集管道破裂，从而造成废水泄露，渗入地下造成地下水污染源。</w:t>
      </w:r>
    </w:p>
    <w:p>
      <w:pPr>
        <w:pStyle w:val="43"/>
        <w:widowControl w:val="0"/>
        <w:adjustRightIn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ascii="Times New Roman" w:hAnsi="Times New Roman" w:eastAsia="宋体" w:cs="Times New Roman"/>
          <w:color w:val="auto"/>
          <w:kern w:val="2"/>
          <w:szCs w:val="24"/>
        </w:rPr>
        <w:t>④</w:t>
      </w:r>
      <w:r>
        <w:rPr>
          <w:rFonts w:hint="eastAsia" w:ascii="宋体" w:hAnsi="宋体" w:eastAsia="宋体" w:cs="宋体"/>
          <w:color w:val="auto"/>
          <w:kern w:val="2"/>
          <w:szCs w:val="24"/>
        </w:rPr>
        <w:t>危废临时存放区等泄露由于地面防渗措施不足，而造成渗漏污染地下水。</w:t>
      </w:r>
    </w:p>
    <w:p>
      <w:pPr>
        <w:spacing w:line="360" w:lineRule="auto"/>
        <w:ind w:firstLine="482"/>
        <w:rPr>
          <w:rFonts w:ascii="Times New Roman" w:eastAsia="宋体"/>
          <w:color w:val="auto"/>
          <w:lang w:val="zh-CN"/>
        </w:rPr>
      </w:pPr>
      <w:bookmarkStart w:id="413" w:name="_Toc8452"/>
      <w:r>
        <w:rPr>
          <w:rFonts w:hint="eastAsia" w:ascii="Times New Roman" w:eastAsia="宋体"/>
          <w:color w:val="auto"/>
        </w:rPr>
        <w:t>（2）预测因子</w:t>
      </w:r>
      <w:bookmarkEnd w:id="413"/>
      <w:r>
        <w:rPr>
          <w:rFonts w:hint="eastAsia" w:ascii="Times New Roman" w:eastAsia="宋体"/>
          <w:color w:val="auto"/>
        </w:rPr>
        <w:t xml:space="preserve"> </w:t>
      </w:r>
    </w:p>
    <w:p>
      <w:pPr>
        <w:spacing w:line="360" w:lineRule="auto"/>
        <w:ind w:firstLine="482"/>
        <w:rPr>
          <w:rFonts w:ascii="Times New Roman" w:eastAsia="宋体"/>
          <w:color w:val="auto"/>
          <w:lang w:val="zh-CN"/>
        </w:rPr>
      </w:pPr>
      <w:r>
        <w:rPr>
          <w:rFonts w:hint="eastAsia" w:ascii="Times New Roman" w:eastAsia="宋体"/>
          <w:color w:val="auto"/>
        </w:rPr>
        <w:t>根据项目产污特点，选取COD、</w:t>
      </w:r>
      <w:r>
        <w:rPr>
          <w:rFonts w:ascii="Times New Roman" w:eastAsia="宋体"/>
          <w:color w:val="auto"/>
        </w:rPr>
        <w:t>NH</w:t>
      </w:r>
      <w:r>
        <w:rPr>
          <w:rFonts w:hint="eastAsia" w:ascii="Times New Roman" w:eastAsia="宋体"/>
          <w:color w:val="auto"/>
          <w:vertAlign w:val="subscript"/>
        </w:rPr>
        <w:t>3</w:t>
      </w:r>
      <w:r>
        <w:rPr>
          <w:rFonts w:hint="eastAsia" w:ascii="Times New Roman" w:eastAsia="宋体"/>
          <w:color w:val="auto"/>
        </w:rPr>
        <w:t>-N为预测因子。</w:t>
      </w:r>
    </w:p>
    <w:p>
      <w:pPr>
        <w:spacing w:line="360" w:lineRule="auto"/>
        <w:ind w:firstLine="482"/>
        <w:rPr>
          <w:rFonts w:ascii="Times New Roman" w:eastAsia="宋体"/>
          <w:color w:val="auto"/>
          <w:lang w:val="zh-CN"/>
        </w:rPr>
      </w:pPr>
      <w:bookmarkStart w:id="414" w:name="_Toc8908"/>
      <w:r>
        <w:rPr>
          <w:rFonts w:hint="eastAsia" w:ascii="Times New Roman" w:eastAsia="宋体"/>
          <w:color w:val="auto"/>
        </w:rPr>
        <w:t>（3）预测范围</w:t>
      </w:r>
      <w:bookmarkEnd w:id="414"/>
    </w:p>
    <w:p>
      <w:pPr>
        <w:spacing w:line="360" w:lineRule="auto"/>
        <w:ind w:firstLine="482"/>
        <w:rPr>
          <w:rFonts w:ascii="Times New Roman" w:eastAsia="宋体"/>
          <w:color w:val="auto"/>
        </w:rPr>
      </w:pPr>
      <w:r>
        <w:rPr>
          <w:rFonts w:hint="eastAsia" w:ascii="Times New Roman" w:eastAsia="宋体"/>
          <w:color w:val="auto"/>
        </w:rPr>
        <w:t>本次预测范围包括养殖场及相应的水文地质单元</w:t>
      </w:r>
    </w:p>
    <w:p>
      <w:pPr>
        <w:spacing w:line="360" w:lineRule="auto"/>
        <w:ind w:firstLine="482"/>
        <w:rPr>
          <w:rFonts w:ascii="Times New Roman" w:eastAsia="宋体"/>
          <w:color w:val="auto"/>
          <w:lang w:val="zh-CN"/>
        </w:rPr>
      </w:pPr>
      <w:bookmarkStart w:id="415" w:name="_Toc31320"/>
      <w:r>
        <w:rPr>
          <w:rFonts w:hint="eastAsia" w:ascii="Times New Roman" w:eastAsia="宋体"/>
          <w:color w:val="auto"/>
        </w:rPr>
        <w:t>（4）预测时段</w:t>
      </w:r>
      <w:bookmarkEnd w:id="415"/>
    </w:p>
    <w:p>
      <w:pPr>
        <w:spacing w:line="360" w:lineRule="auto"/>
        <w:ind w:firstLine="482"/>
        <w:rPr>
          <w:rFonts w:ascii="Times New Roman" w:eastAsia="宋体"/>
          <w:color w:val="auto"/>
          <w:lang w:val="zh-CN"/>
        </w:rPr>
      </w:pPr>
      <w:r>
        <w:rPr>
          <w:rFonts w:hint="eastAsia" w:ascii="Times New Roman" w:eastAsia="宋体"/>
          <w:color w:val="auto"/>
        </w:rPr>
        <w:t>地下水水质影响预测时段为污染物泄露后的1d、</w:t>
      </w:r>
      <w:r>
        <w:rPr>
          <w:rFonts w:ascii="Times New Roman" w:eastAsia="宋体"/>
          <w:color w:val="auto"/>
        </w:rPr>
        <w:t>10d</w:t>
      </w:r>
      <w:r>
        <w:rPr>
          <w:rFonts w:hint="eastAsia" w:ascii="Times New Roman" w:eastAsia="宋体"/>
          <w:color w:val="auto"/>
        </w:rPr>
        <w:t>、</w:t>
      </w:r>
      <w:r>
        <w:rPr>
          <w:rFonts w:ascii="Times New Roman" w:eastAsia="宋体"/>
          <w:color w:val="auto"/>
        </w:rPr>
        <w:t>100d</w:t>
      </w:r>
      <w:r>
        <w:rPr>
          <w:rFonts w:hint="eastAsia" w:ascii="Times New Roman" w:eastAsia="宋体"/>
          <w:color w:val="auto"/>
        </w:rPr>
        <w:t>、</w:t>
      </w:r>
      <w:r>
        <w:rPr>
          <w:rFonts w:ascii="Times New Roman" w:eastAsia="宋体"/>
          <w:color w:val="auto"/>
        </w:rPr>
        <w:t>1000d</w:t>
      </w:r>
      <w:r>
        <w:rPr>
          <w:rFonts w:hint="eastAsia" w:ascii="Times New Roman" w:eastAsia="宋体"/>
          <w:color w:val="auto"/>
        </w:rPr>
        <w:t>等进行预测。</w:t>
      </w:r>
    </w:p>
    <w:p>
      <w:pPr>
        <w:spacing w:line="360" w:lineRule="auto"/>
        <w:ind w:firstLine="482"/>
        <w:rPr>
          <w:rFonts w:ascii="Times New Roman" w:eastAsia="宋体"/>
          <w:color w:val="auto"/>
          <w:lang w:val="zh-CN"/>
        </w:rPr>
      </w:pPr>
      <w:bookmarkStart w:id="416" w:name="_Toc29242"/>
      <w:r>
        <w:rPr>
          <w:rFonts w:hint="eastAsia" w:ascii="Times New Roman" w:eastAsia="宋体"/>
          <w:color w:val="auto"/>
        </w:rPr>
        <w:t>（5）预测模型</w:t>
      </w:r>
      <w:bookmarkEnd w:id="416"/>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宋体" w:hAnsi="宋体" w:eastAsia="宋体" w:cs="宋体"/>
          <w:color w:val="auto"/>
          <w:kern w:val="2"/>
          <w:szCs w:val="24"/>
        </w:rPr>
        <w:t>根据《环境影响评价技术导则地下水环境》（</w:t>
      </w:r>
      <w:r>
        <w:rPr>
          <w:rFonts w:hint="eastAsia" w:ascii="Times New Roman" w:hAnsi="Times New Roman" w:eastAsia="宋体" w:cs="Times New Roman"/>
          <w:color w:val="auto"/>
          <w:kern w:val="2"/>
          <w:szCs w:val="24"/>
        </w:rPr>
        <w:t>HJ610-2016</w:t>
      </w:r>
      <w:r>
        <w:rPr>
          <w:rFonts w:hint="eastAsia" w:ascii="宋体" w:hAnsi="宋体" w:eastAsia="宋体" w:cs="宋体"/>
          <w:color w:val="auto"/>
          <w:kern w:val="2"/>
          <w:szCs w:val="24"/>
        </w:rPr>
        <w:t xml:space="preserve">）进行判定，本项目地下水环境评价工作等级为三级，可采用解析法或类比法进行地下水影响分析与评价。场区地下水流向整体上呈一维流动，地下水位动态稳定，因此污染物在浅层含水层中的迁移，可概化为瞬时注入示踪剂（平面连续点源）的一维稳定流动二维水流动力弥散问题，当取平行地下水流动的方向为 </w:t>
      </w:r>
      <w:r>
        <w:rPr>
          <w:rFonts w:ascii="Times New Roman" w:hAnsi="Times New Roman" w:eastAsia="宋体" w:cs="Times New Roman"/>
          <w:color w:val="auto"/>
          <w:kern w:val="2"/>
          <w:szCs w:val="24"/>
        </w:rPr>
        <w:t xml:space="preserve">x </w:t>
      </w:r>
      <w:r>
        <w:rPr>
          <w:rFonts w:hint="eastAsia" w:ascii="宋体" w:hAnsi="宋体" w:eastAsia="宋体" w:cs="宋体"/>
          <w:color w:val="auto"/>
          <w:kern w:val="2"/>
          <w:szCs w:val="24"/>
        </w:rPr>
        <w:t>轴正方向时，则污染物浓度分布模型如下：</w:t>
      </w:r>
    </w:p>
    <w:p>
      <w:pPr>
        <w:pStyle w:val="43"/>
        <w:widowControl w:val="0"/>
        <w:adjustRightInd w:val="0"/>
        <w:snapToGrid w:val="0"/>
        <w:spacing w:before="0" w:beforeAutospacing="0" w:after="0" w:afterAutospacing="0" w:line="360" w:lineRule="auto"/>
        <w:jc w:val="both"/>
        <w:rPr>
          <w:rFonts w:ascii="Times New Roman" w:hAnsi="Times New Roman" w:eastAsia="宋体" w:cs="Times New Roman"/>
          <w:color w:val="auto"/>
          <w:kern w:val="2"/>
          <w:szCs w:val="24"/>
          <w:u w:val="single"/>
        </w:rPr>
      </w:pPr>
      <w:r>
        <w:rPr>
          <w:rFonts w:hint="eastAsia" w:ascii="宋体" w:hAnsi="宋体" w:eastAsia="宋体" w:cs="宋体"/>
          <w:color w:val="auto"/>
          <w:kern w:val="2"/>
          <w:szCs w:val="24"/>
        </w:rPr>
        <w:drawing>
          <wp:inline distT="0" distB="0" distL="114300" distR="114300">
            <wp:extent cx="5286375" cy="3076575"/>
            <wp:effectExtent l="0" t="0" r="9525" b="9525"/>
            <wp:docPr id="8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4" descr="IMG_256"/>
                    <pic:cNvPicPr>
                      <a:picLocks noChangeAspect="1"/>
                    </pic:cNvPicPr>
                  </pic:nvPicPr>
                  <pic:blipFill>
                    <a:blip r:embed="rId39"/>
                    <a:stretch>
                      <a:fillRect/>
                    </a:stretch>
                  </pic:blipFill>
                  <pic:spPr>
                    <a:xfrm>
                      <a:off x="0" y="0"/>
                      <a:ext cx="5286375" cy="3076575"/>
                    </a:xfrm>
                    <a:prstGeom prst="rect">
                      <a:avLst/>
                    </a:prstGeom>
                    <a:noFill/>
                    <a:ln w="9525">
                      <a:noFill/>
                    </a:ln>
                  </pic:spPr>
                </pic:pic>
              </a:graphicData>
            </a:graphic>
          </wp:inline>
        </w:drawing>
      </w:r>
    </w:p>
    <w:p>
      <w:pPr>
        <w:spacing w:line="360" w:lineRule="auto"/>
        <w:ind w:firstLine="482"/>
        <w:rPr>
          <w:rFonts w:ascii="Times New Roman" w:eastAsia="宋体"/>
          <w:color w:val="auto"/>
          <w:lang w:val="zh-CN"/>
        </w:rPr>
      </w:pPr>
      <w:bookmarkStart w:id="417" w:name="_Toc3956"/>
      <w:r>
        <w:rPr>
          <w:rFonts w:hint="eastAsia" w:ascii="Times New Roman" w:eastAsia="宋体"/>
          <w:color w:val="auto"/>
        </w:rPr>
        <w:t>（6）预测模型参数</w:t>
      </w:r>
      <w:bookmarkEnd w:id="417"/>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模型需要的参数有：外泄污染物质量</w:t>
      </w:r>
      <w:r>
        <w:rPr>
          <w:rFonts w:hint="eastAsia" w:ascii="Times New Roman" w:hAnsi="Times New Roman" w:eastAsia="宋体" w:cs="Times New Roman"/>
          <w:color w:val="auto"/>
          <w:kern w:val="2"/>
          <w:szCs w:val="24"/>
        </w:rPr>
        <w:t>m</w:t>
      </w:r>
      <w:r>
        <w:rPr>
          <w:rFonts w:hint="eastAsia" w:ascii="宋体" w:hAnsi="宋体" w:eastAsia="宋体" w:cs="宋体"/>
          <w:color w:val="auto"/>
          <w:kern w:val="2"/>
          <w:szCs w:val="24"/>
        </w:rPr>
        <w:t>；含水层厚度</w:t>
      </w:r>
      <w:r>
        <w:rPr>
          <w:rFonts w:ascii="Times New Roman" w:hAnsi="Times New Roman" w:eastAsia="宋体" w:cs="Times New Roman"/>
          <w:color w:val="auto"/>
          <w:kern w:val="2"/>
          <w:szCs w:val="24"/>
        </w:rPr>
        <w:t>M</w:t>
      </w:r>
      <w:r>
        <w:rPr>
          <w:rFonts w:hint="eastAsia" w:ascii="宋体" w:hAnsi="宋体" w:eastAsia="宋体" w:cs="宋体"/>
          <w:color w:val="auto"/>
          <w:kern w:val="2"/>
          <w:szCs w:val="24"/>
        </w:rPr>
        <w:t>；土层的有效孔隙度</w:t>
      </w:r>
      <w:r>
        <w:rPr>
          <w:rFonts w:ascii="Times New Roman" w:hAnsi="Times New Roman" w:eastAsia="宋体" w:cs="Times New Roman"/>
          <w:color w:val="auto"/>
          <w:kern w:val="2"/>
          <w:szCs w:val="24"/>
        </w:rPr>
        <w:t>n</w:t>
      </w:r>
      <w:r>
        <w:rPr>
          <w:rFonts w:hint="eastAsia" w:ascii="宋体" w:hAnsi="宋体" w:eastAsia="宋体" w:cs="宋体"/>
          <w:color w:val="auto"/>
          <w:kern w:val="2"/>
          <w:szCs w:val="24"/>
        </w:rPr>
        <w:t>；水流速度</w:t>
      </w:r>
      <w:r>
        <w:rPr>
          <w:rFonts w:ascii="Times New Roman" w:hAnsi="Times New Roman" w:eastAsia="宋体" w:cs="Times New Roman"/>
          <w:color w:val="auto"/>
          <w:kern w:val="2"/>
          <w:szCs w:val="24"/>
        </w:rPr>
        <w:t>u</w:t>
      </w:r>
      <w:r>
        <w:rPr>
          <w:rFonts w:hint="eastAsia" w:ascii="宋体" w:hAnsi="宋体" w:eastAsia="宋体" w:cs="宋体"/>
          <w:color w:val="auto"/>
          <w:kern w:val="2"/>
          <w:szCs w:val="24"/>
        </w:rPr>
        <w:t>；污染物在土层中的纵向弥散系数</w:t>
      </w:r>
      <w:r>
        <w:rPr>
          <w:rFonts w:ascii="Times New Roman" w:hAnsi="Times New Roman" w:eastAsia="宋体" w:cs="Times New Roman"/>
          <w:color w:val="auto"/>
          <w:kern w:val="2"/>
          <w:szCs w:val="24"/>
        </w:rPr>
        <w:t>DL</w:t>
      </w:r>
      <w:r>
        <w:rPr>
          <w:rFonts w:hint="eastAsia" w:ascii="宋体" w:hAnsi="宋体" w:eastAsia="宋体" w:cs="宋体"/>
          <w:color w:val="auto"/>
          <w:kern w:val="2"/>
          <w:szCs w:val="24"/>
        </w:rPr>
        <w:t>。这些参数主要类比相同土层的成果资料。</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A.</w:t>
      </w:r>
      <w:r>
        <w:rPr>
          <w:rFonts w:hint="eastAsia" w:ascii="宋体" w:hAnsi="宋体" w:eastAsia="宋体" w:cs="宋体"/>
          <w:color w:val="auto"/>
          <w:kern w:val="2"/>
          <w:szCs w:val="24"/>
        </w:rPr>
        <w:t>源强</w:t>
      </w:r>
      <w:r>
        <w:rPr>
          <w:rFonts w:ascii="Times New Roman" w:hAnsi="Times New Roman" w:eastAsia="宋体" w:cs="Times New Roman"/>
          <w:color w:val="auto"/>
          <w:kern w:val="2"/>
          <w:szCs w:val="24"/>
        </w:rPr>
        <w:t>m</w:t>
      </w:r>
      <w:r>
        <w:rPr>
          <w:rFonts w:hint="eastAsia" w:ascii="Times New Roman" w:hAnsi="Times New Roman" w:eastAsia="宋体" w:cs="Times New Roman"/>
          <w:color w:val="auto"/>
          <w:kern w:val="2"/>
          <w:szCs w:val="24"/>
          <w:vertAlign w:val="subscript"/>
        </w:rPr>
        <w:t>M</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宋体" w:hAnsi="宋体" w:eastAsia="宋体" w:cs="宋体"/>
          <w:color w:val="auto"/>
          <w:kern w:val="2"/>
          <w:szCs w:val="24"/>
        </w:rPr>
        <w:t>参照《给水排水构筑物工程施工及验收规范》（</w:t>
      </w:r>
      <w:r>
        <w:rPr>
          <w:rFonts w:hint="eastAsia" w:ascii="Times New Roman" w:hAnsi="Times New Roman" w:eastAsia="宋体" w:cs="Times New Roman"/>
          <w:color w:val="auto"/>
          <w:kern w:val="2"/>
          <w:szCs w:val="24"/>
        </w:rPr>
        <w:t>GB50141</w:t>
      </w:r>
      <w:r>
        <w:rPr>
          <w:rFonts w:hint="eastAsia" w:ascii="宋体" w:hAnsi="宋体" w:eastAsia="宋体" w:cs="宋体"/>
          <w:color w:val="auto"/>
          <w:kern w:val="2"/>
          <w:szCs w:val="24"/>
        </w:rPr>
        <w:t>）中钢筋混凝土结构渗漏强度、渗漏量计算公式，确定本项目预测源强。正常状况渗漏强度为</w:t>
      </w:r>
      <w:r>
        <w:rPr>
          <w:rFonts w:ascii="Times New Roman" w:hAnsi="Times New Roman" w:eastAsia="宋体" w:cs="Times New Roman"/>
          <w:color w:val="auto"/>
          <w:kern w:val="2"/>
          <w:szCs w:val="24"/>
        </w:rPr>
        <w:t>2L/</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m</w:t>
      </w:r>
      <w:r>
        <w:rPr>
          <w:rFonts w:hint="eastAsia" w:ascii="Times New Roman" w:hAnsi="Times New Roman" w:eastAsia="宋体" w:cs="Times New Roman"/>
          <w:color w:val="auto"/>
          <w:kern w:val="2"/>
          <w:szCs w:val="24"/>
          <w:vertAlign w:val="superscript"/>
        </w:rPr>
        <w:t>2</w:t>
      </w:r>
      <w:r>
        <w:rPr>
          <w:rFonts w:hint="eastAsia" w:ascii="Times New Roman" w:hAnsi="Times New Roman" w:eastAsia="宋体" w:cs="Times New Roman"/>
          <w:color w:val="auto"/>
          <w:kern w:val="2"/>
          <w:szCs w:val="24"/>
        </w:rPr>
        <w:t>·</w:t>
      </w:r>
      <w:r>
        <w:rPr>
          <w:rFonts w:ascii="Times New Roman" w:hAnsi="Times New Roman" w:eastAsia="宋体" w:cs="Times New Roman"/>
          <w:color w:val="auto"/>
          <w:kern w:val="2"/>
          <w:szCs w:val="24"/>
        </w:rPr>
        <w:t>d</w:t>
      </w:r>
      <w:r>
        <w:rPr>
          <w:rFonts w:hint="eastAsia" w:ascii="宋体" w:hAnsi="宋体" w:eastAsia="宋体" w:cs="宋体"/>
          <w:color w:val="auto"/>
          <w:kern w:val="2"/>
          <w:szCs w:val="24"/>
        </w:rPr>
        <w:t>），非正常状况下泄露强度按照正常状况下泄露源强的</w:t>
      </w:r>
      <w:r>
        <w:rPr>
          <w:rFonts w:hint="eastAsia" w:ascii="Times New Roman" w:hAnsi="Times New Roman" w:eastAsia="宋体" w:cs="Times New Roman"/>
          <w:color w:val="auto"/>
          <w:kern w:val="2"/>
          <w:szCs w:val="24"/>
        </w:rPr>
        <w:t>10</w:t>
      </w:r>
      <w:r>
        <w:rPr>
          <w:rFonts w:hint="eastAsia" w:ascii="宋体" w:hAnsi="宋体" w:eastAsia="宋体" w:cs="宋体"/>
          <w:color w:val="auto"/>
          <w:kern w:val="2"/>
          <w:szCs w:val="24"/>
        </w:rPr>
        <w:t>倍计，渗漏量（</w:t>
      </w:r>
      <w:r>
        <w:rPr>
          <w:rFonts w:ascii="Times New Roman" w:hAnsi="Times New Roman" w:eastAsia="宋体" w:cs="Times New Roman"/>
          <w:color w:val="auto"/>
          <w:kern w:val="2"/>
          <w:szCs w:val="24"/>
        </w:rPr>
        <w:t>L/d</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w:t>
      </w:r>
      <w:r>
        <w:rPr>
          <w:rFonts w:hint="eastAsia" w:ascii="宋体" w:hAnsi="宋体" w:eastAsia="宋体" w:cs="宋体"/>
          <w:color w:val="auto"/>
          <w:kern w:val="2"/>
          <w:szCs w:val="24"/>
        </w:rPr>
        <w:t>渗漏面积（池底面积</w:t>
      </w:r>
      <w:r>
        <w:rPr>
          <w:rFonts w:ascii="Times New Roman" w:hAnsi="Times New Roman" w:eastAsia="宋体" w:cs="Times New Roman"/>
          <w:color w:val="auto"/>
          <w:kern w:val="2"/>
          <w:szCs w:val="24"/>
        </w:rPr>
        <w:t>+</w:t>
      </w:r>
      <w:r>
        <w:rPr>
          <w:rFonts w:hint="eastAsia" w:ascii="宋体" w:hAnsi="宋体" w:eastAsia="宋体" w:cs="宋体"/>
          <w:color w:val="auto"/>
          <w:kern w:val="2"/>
          <w:szCs w:val="24"/>
        </w:rPr>
        <w:t>池壁面积）×渗漏强度。假设沉淀池内壁局部破损产生裂痕，导致废水渗漏并通过包气带进入含水层，渗漏液将以面源向下渗透。将可能发生渗漏的面积定为沉淀池有效内表面积的</w:t>
      </w:r>
      <w:r>
        <w:rPr>
          <w:rFonts w:ascii="Times New Roman" w:hAnsi="Times New Roman" w:eastAsia="宋体" w:cs="Times New Roman"/>
          <w:color w:val="auto"/>
          <w:kern w:val="2"/>
          <w:szCs w:val="24"/>
        </w:rPr>
        <w:t>5%</w:t>
      </w:r>
      <w:r>
        <w:rPr>
          <w:rFonts w:hint="eastAsia" w:ascii="宋体" w:hAnsi="宋体" w:eastAsia="宋体" w:cs="宋体"/>
          <w:color w:val="auto"/>
          <w:kern w:val="2"/>
          <w:szCs w:val="24"/>
        </w:rPr>
        <w:t>，即渗漏面积约</w:t>
      </w:r>
      <w:r>
        <w:rPr>
          <w:rFonts w:hint="eastAsia" w:ascii="Times New Roman" w:hAnsi="Times New Roman" w:eastAsia="宋体" w:cs="Times New Roman"/>
          <w:color w:val="auto"/>
          <w:kern w:val="2"/>
          <w:szCs w:val="24"/>
        </w:rPr>
        <w:t>13</w:t>
      </w:r>
      <w:r>
        <w:rPr>
          <w:rFonts w:ascii="Times New Roman" w:hAnsi="Times New Roman" w:eastAsia="宋体" w:cs="Times New Roman"/>
          <w:color w:val="auto"/>
          <w:kern w:val="2"/>
          <w:szCs w:val="24"/>
        </w:rPr>
        <w:t>m</w:t>
      </w:r>
      <w:r>
        <w:rPr>
          <w:rFonts w:hint="eastAsia" w:ascii="Times New Roman" w:hAnsi="Times New Roman" w:eastAsia="宋体" w:cs="Times New Roman"/>
          <w:color w:val="auto"/>
          <w:kern w:val="2"/>
          <w:szCs w:val="24"/>
          <w:vertAlign w:val="superscript"/>
        </w:rPr>
        <w:t>2</w:t>
      </w:r>
      <w:r>
        <w:rPr>
          <w:rFonts w:hint="eastAsia" w:ascii="宋体" w:hAnsi="宋体" w:eastAsia="宋体" w:cs="宋体"/>
          <w:color w:val="auto"/>
          <w:kern w:val="2"/>
          <w:szCs w:val="24"/>
        </w:rPr>
        <w:t>。经计算废水渗漏量约为</w:t>
      </w:r>
      <w:r>
        <w:rPr>
          <w:rFonts w:hint="eastAsia" w:ascii="Times New Roman" w:hAnsi="Times New Roman" w:eastAsia="宋体" w:cs="Times New Roman"/>
          <w:color w:val="auto"/>
          <w:kern w:val="2"/>
          <w:szCs w:val="24"/>
        </w:rPr>
        <w:t>0.03m</w:t>
      </w:r>
      <w:r>
        <w:rPr>
          <w:rFonts w:hint="eastAsia" w:ascii="Times New Roman" w:hAnsi="Times New Roman" w:eastAsia="宋体" w:cs="Times New Roman"/>
          <w:color w:val="auto"/>
          <w:kern w:val="2"/>
          <w:szCs w:val="24"/>
          <w:vertAlign w:val="superscript"/>
        </w:rPr>
        <w:t>3</w:t>
      </w:r>
      <w:r>
        <w:rPr>
          <w:rFonts w:hint="eastAsia" w:ascii="Times New Roman" w:hAnsi="Times New Roman" w:eastAsia="宋体" w:cs="Times New Roman"/>
          <w:color w:val="auto"/>
          <w:kern w:val="2"/>
          <w:szCs w:val="24"/>
        </w:rPr>
        <w:t>/d</w:t>
      </w:r>
      <w:r>
        <w:rPr>
          <w:rFonts w:hint="eastAsia" w:ascii="宋体" w:hAnsi="宋体" w:eastAsia="宋体" w:cs="宋体"/>
          <w:color w:val="auto"/>
          <w:kern w:val="2"/>
          <w:szCs w:val="24"/>
        </w:rPr>
        <w:t>，非正常工况下</w:t>
      </w:r>
      <w:r>
        <w:rPr>
          <w:rFonts w:ascii="Times New Roman" w:hAnsi="Times New Roman" w:eastAsia="宋体" w:cs="Times New Roman"/>
          <w:color w:val="auto"/>
          <w:kern w:val="2"/>
          <w:szCs w:val="24"/>
        </w:rPr>
        <w:t>COD</w:t>
      </w:r>
      <w:r>
        <w:rPr>
          <w:rFonts w:hint="eastAsia" w:ascii="宋体" w:hAnsi="宋体" w:eastAsia="宋体" w:cs="宋体"/>
          <w:color w:val="auto"/>
          <w:kern w:val="2"/>
          <w:szCs w:val="24"/>
        </w:rPr>
        <w:t>浓度为</w:t>
      </w:r>
      <w:r>
        <w:rPr>
          <w:rFonts w:hint="eastAsia" w:ascii="Times New Roman" w:hAnsi="Times New Roman" w:eastAsia="宋体" w:cs="Times New Roman"/>
          <w:color w:val="auto"/>
          <w:kern w:val="2"/>
          <w:szCs w:val="24"/>
        </w:rPr>
        <w:t>1552.0</w:t>
      </w:r>
      <w:r>
        <w:rPr>
          <w:rFonts w:ascii="Times New Roman" w:hAnsi="Times New Roman" w:eastAsia="宋体" w:cs="Times New Roman"/>
          <w:color w:val="auto"/>
          <w:kern w:val="2"/>
          <w:szCs w:val="24"/>
        </w:rPr>
        <w:t>mg/L</w:t>
      </w:r>
      <w:r>
        <w:rPr>
          <w:rFonts w:hint="eastAsia" w:ascii="宋体" w:hAnsi="宋体" w:eastAsia="宋体" w:cs="宋体"/>
          <w:color w:val="auto"/>
          <w:kern w:val="2"/>
          <w:szCs w:val="24"/>
        </w:rPr>
        <w:t>，氨氮浓度为</w:t>
      </w:r>
      <w:r>
        <w:rPr>
          <w:rFonts w:hint="eastAsia" w:ascii="Times New Roman" w:hAnsi="Times New Roman" w:eastAsia="宋体" w:cs="Times New Roman"/>
          <w:color w:val="auto"/>
          <w:kern w:val="2"/>
          <w:szCs w:val="24"/>
        </w:rPr>
        <w:t>83.3</w:t>
      </w:r>
      <w:r>
        <w:rPr>
          <w:rFonts w:ascii="Times New Roman" w:hAnsi="Times New Roman" w:eastAsia="宋体" w:cs="Times New Roman"/>
          <w:color w:val="auto"/>
          <w:kern w:val="2"/>
          <w:szCs w:val="24"/>
        </w:rPr>
        <w:t>mg/L</w:t>
      </w:r>
      <w:r>
        <w:rPr>
          <w:rFonts w:hint="eastAsia" w:ascii="宋体" w:hAnsi="宋体" w:eastAsia="宋体" w:cs="宋体"/>
          <w:color w:val="auto"/>
          <w:kern w:val="2"/>
          <w:szCs w:val="24"/>
        </w:rPr>
        <w:t>，则</w:t>
      </w:r>
      <w:r>
        <w:rPr>
          <w:rFonts w:ascii="Times New Roman" w:hAnsi="Times New Roman" w:eastAsia="宋体" w:cs="Times New Roman"/>
          <w:color w:val="auto"/>
          <w:kern w:val="2"/>
          <w:szCs w:val="24"/>
        </w:rPr>
        <w:t>COD</w:t>
      </w:r>
      <w:r>
        <w:rPr>
          <w:rFonts w:hint="eastAsia" w:ascii="宋体" w:hAnsi="宋体" w:eastAsia="宋体" w:cs="宋体"/>
          <w:color w:val="auto"/>
          <w:kern w:val="2"/>
          <w:szCs w:val="24"/>
        </w:rPr>
        <w:t>的泄漏量为</w:t>
      </w:r>
      <w:r>
        <w:rPr>
          <w:rFonts w:hint="eastAsia" w:ascii="Times New Roman" w:hAnsi="Times New Roman" w:eastAsia="宋体" w:cs="Times New Roman"/>
          <w:color w:val="auto"/>
          <w:kern w:val="2"/>
          <w:szCs w:val="24"/>
        </w:rPr>
        <w:t>40.35</w:t>
      </w:r>
      <w:r>
        <w:rPr>
          <w:rFonts w:ascii="Times New Roman" w:hAnsi="Times New Roman" w:eastAsia="宋体" w:cs="Times New Roman"/>
          <w:color w:val="auto"/>
          <w:kern w:val="2"/>
          <w:szCs w:val="24"/>
        </w:rPr>
        <w:t>g/d</w:t>
      </w:r>
      <w:r>
        <w:rPr>
          <w:rFonts w:hint="eastAsia" w:ascii="宋体" w:hAnsi="宋体" w:eastAsia="宋体" w:cs="宋体"/>
          <w:color w:val="auto"/>
          <w:kern w:val="2"/>
          <w:szCs w:val="24"/>
        </w:rPr>
        <w:t>，氨氮泄漏量</w:t>
      </w:r>
      <w:r>
        <w:rPr>
          <w:rFonts w:hint="eastAsia" w:ascii="Times New Roman" w:hAnsi="Times New Roman" w:eastAsia="宋体" w:cs="Times New Roman"/>
          <w:color w:val="auto"/>
          <w:kern w:val="2"/>
          <w:szCs w:val="24"/>
        </w:rPr>
        <w:t>为2.50</w:t>
      </w:r>
      <w:r>
        <w:rPr>
          <w:rFonts w:ascii="Times New Roman" w:hAnsi="Times New Roman" w:eastAsia="宋体" w:cs="Times New Roman"/>
          <w:color w:val="auto"/>
          <w:kern w:val="2"/>
          <w:szCs w:val="24"/>
        </w:rPr>
        <w:t>g/d</w:t>
      </w:r>
      <w:r>
        <w:rPr>
          <w:rFonts w:hint="eastAsia" w:ascii="Times New Roman" w:hAnsi="Times New Roman" w:eastAsia="宋体" w:cs="Times New Roman"/>
          <w:color w:val="auto"/>
          <w:kern w:val="2"/>
          <w:szCs w:val="24"/>
        </w:rPr>
        <w:t>。</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B.</w:t>
      </w:r>
      <w:r>
        <w:rPr>
          <w:rFonts w:hint="eastAsia" w:ascii="宋体" w:hAnsi="宋体" w:eastAsia="宋体" w:cs="宋体"/>
          <w:color w:val="auto"/>
          <w:kern w:val="2"/>
          <w:szCs w:val="24"/>
        </w:rPr>
        <w:t>含水层的厚度</w:t>
      </w:r>
      <w:r>
        <w:rPr>
          <w:rFonts w:ascii="Times New Roman" w:hAnsi="Times New Roman" w:eastAsia="宋体" w:cs="Times New Roman"/>
          <w:color w:val="auto"/>
          <w:kern w:val="2"/>
          <w:szCs w:val="24"/>
        </w:rPr>
        <w:t>M</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宋体" w:hAnsi="宋体" w:eastAsia="宋体" w:cs="宋体"/>
          <w:color w:val="auto"/>
          <w:kern w:val="2"/>
          <w:szCs w:val="24"/>
        </w:rPr>
        <w:t>参照区域类似地质结构的项目，本次与猜测含水层厚度为</w:t>
      </w:r>
      <w:r>
        <w:rPr>
          <w:rFonts w:hint="eastAsia" w:ascii="Times New Roman" w:hAnsi="Times New Roman" w:eastAsia="宋体" w:cs="Times New Roman"/>
          <w:color w:val="auto"/>
          <w:kern w:val="2"/>
          <w:szCs w:val="24"/>
        </w:rPr>
        <w:t>20m</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C.</w:t>
      </w:r>
      <w:r>
        <w:rPr>
          <w:rFonts w:hint="eastAsia" w:ascii="宋体" w:hAnsi="宋体" w:eastAsia="宋体" w:cs="宋体"/>
          <w:color w:val="auto"/>
          <w:kern w:val="2"/>
          <w:szCs w:val="24"/>
        </w:rPr>
        <w:t>地下水流速</w:t>
      </w:r>
      <w:r>
        <w:rPr>
          <w:rFonts w:ascii="Times New Roman" w:hAnsi="Times New Roman" w:eastAsia="宋体" w:cs="Times New Roman"/>
          <w:color w:val="auto"/>
          <w:kern w:val="2"/>
          <w:szCs w:val="24"/>
        </w:rPr>
        <w:t>u</w:t>
      </w:r>
    </w:p>
    <w:p>
      <w:pPr>
        <w:pStyle w:val="43"/>
        <w:widowControl w:val="0"/>
        <w:adjustRightInd w:val="0"/>
        <w:snapToGrid w:val="0"/>
        <w:spacing w:before="0" w:beforeAutospacing="0" w:after="0" w:afterAutospacing="0" w:line="360" w:lineRule="auto"/>
        <w:ind w:firstLine="496" w:firstLineChars="200"/>
        <w:rPr>
          <w:rFonts w:ascii="Times New Roman" w:hAnsi="Times New Roman" w:eastAsia="宋体" w:cs="Times New Roman"/>
          <w:color w:val="auto"/>
          <w:kern w:val="2"/>
          <w:szCs w:val="24"/>
        </w:rPr>
      </w:pPr>
      <w:r>
        <w:rPr>
          <w:rFonts w:hint="eastAsia" w:ascii="宋体" w:hAnsi="宋体" w:eastAsia="宋体" w:cs="宋体"/>
          <w:color w:val="auto"/>
          <w:kern w:val="2"/>
          <w:szCs w:val="24"/>
        </w:rPr>
        <w:t>孔隙潜水含水层渗透系数取</w:t>
      </w:r>
      <w:r>
        <w:rPr>
          <w:rFonts w:hint="eastAsia" w:ascii="Times New Roman" w:hAnsi="Times New Roman" w:eastAsia="宋体" w:cs="Times New Roman"/>
          <w:color w:val="auto"/>
          <w:kern w:val="2"/>
          <w:szCs w:val="24"/>
        </w:rPr>
        <w:t>4.62</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10</w:t>
      </w:r>
      <w:r>
        <w:rPr>
          <w:rFonts w:hint="eastAsia" w:ascii="Times New Roman" w:hAnsi="Times New Roman" w:eastAsia="宋体" w:cs="Times New Roman"/>
          <w:color w:val="auto"/>
          <w:kern w:val="2"/>
          <w:szCs w:val="24"/>
          <w:vertAlign w:val="superscript"/>
        </w:rPr>
        <w:t>-5</w:t>
      </w:r>
      <w:r>
        <w:rPr>
          <w:rFonts w:hint="eastAsia" w:ascii="Times New Roman" w:hAnsi="Times New Roman" w:eastAsia="宋体" w:cs="Times New Roman"/>
          <w:color w:val="auto"/>
          <w:kern w:val="2"/>
          <w:szCs w:val="24"/>
        </w:rPr>
        <w:t>cm/s~3.31</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10</w:t>
      </w:r>
      <w:r>
        <w:rPr>
          <w:rFonts w:hint="eastAsia" w:ascii="Times New Roman" w:hAnsi="Times New Roman" w:eastAsia="宋体" w:cs="Times New Roman"/>
          <w:color w:val="auto"/>
          <w:kern w:val="2"/>
          <w:szCs w:val="24"/>
          <w:vertAlign w:val="superscript"/>
        </w:rPr>
        <w:t>-4</w:t>
      </w:r>
      <w:r>
        <w:rPr>
          <w:rFonts w:hint="eastAsia" w:ascii="Times New Roman" w:hAnsi="Times New Roman" w:eastAsia="宋体" w:cs="Times New Roman"/>
          <w:color w:val="auto"/>
          <w:kern w:val="2"/>
          <w:szCs w:val="24"/>
        </w:rPr>
        <w:t>cm/s</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0.0399~0.286m/d</w:t>
      </w:r>
      <w:r>
        <w:rPr>
          <w:rFonts w:hint="eastAsia" w:ascii="宋体" w:hAnsi="宋体" w:eastAsia="宋体" w:cs="宋体"/>
          <w:color w:val="auto"/>
          <w:kern w:val="2"/>
          <w:szCs w:val="24"/>
        </w:rPr>
        <w:t>），本项目取</w:t>
      </w:r>
      <w:r>
        <w:rPr>
          <w:rFonts w:ascii="Times New Roman" w:hAnsi="Times New Roman" w:eastAsia="宋体" w:cs="Times New Roman"/>
          <w:color w:val="auto"/>
          <w:kern w:val="2"/>
          <w:szCs w:val="24"/>
        </w:rPr>
        <w:t>0.28m/d</w:t>
      </w:r>
      <w:r>
        <w:rPr>
          <w:rFonts w:hint="eastAsia" w:ascii="宋体" w:hAnsi="宋体" w:eastAsia="宋体" w:cs="宋体"/>
          <w:color w:val="auto"/>
          <w:kern w:val="2"/>
          <w:szCs w:val="24"/>
        </w:rPr>
        <w:t>，地下水水力坡度根据本次地下水水位等值线取平均值为</w:t>
      </w:r>
      <w:r>
        <w:rPr>
          <w:rFonts w:ascii="Times New Roman" w:hAnsi="Times New Roman" w:eastAsia="宋体" w:cs="Times New Roman"/>
          <w:color w:val="auto"/>
          <w:kern w:val="2"/>
          <w:szCs w:val="24"/>
        </w:rPr>
        <w:t>I=0.012</w:t>
      </w:r>
      <w:r>
        <w:rPr>
          <w:rFonts w:hint="eastAsia" w:ascii="宋体" w:hAnsi="宋体" w:eastAsia="宋体" w:cs="宋体"/>
          <w:color w:val="auto"/>
          <w:kern w:val="2"/>
          <w:szCs w:val="24"/>
        </w:rPr>
        <w:t>，则地下水的实际渗透速度：</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u=KI/n</w:t>
      </w:r>
      <w:r>
        <w:rPr>
          <w:rFonts w:hint="eastAsia" w:ascii="Times New Roman" w:hAnsi="Times New Roman" w:eastAsia="宋体" w:cs="Times New Roman"/>
          <w:color w:val="auto"/>
          <w:kern w:val="2"/>
          <w:szCs w:val="24"/>
          <w:vertAlign w:val="subscript"/>
        </w:rPr>
        <w:t>e</w:t>
      </w:r>
      <w:r>
        <w:rPr>
          <w:rFonts w:hint="eastAsia" w:ascii="Times New Roman" w:hAnsi="Times New Roman" w:eastAsia="宋体" w:cs="Times New Roman"/>
          <w:color w:val="auto"/>
          <w:kern w:val="2"/>
          <w:szCs w:val="24"/>
        </w:rPr>
        <w:t>=0.28</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0.012/0.2=0.0168m/d</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宋体" w:hAnsi="宋体" w:eastAsia="宋体" w:cs="宋体"/>
          <w:color w:val="auto"/>
          <w:kern w:val="2"/>
          <w:szCs w:val="24"/>
        </w:rPr>
        <w:t>式中：</w:t>
      </w:r>
      <w:r>
        <w:rPr>
          <w:rFonts w:hint="eastAsia" w:ascii="Times New Roman" w:hAnsi="Times New Roman" w:eastAsia="宋体" w:cs="Times New Roman"/>
          <w:color w:val="auto"/>
          <w:kern w:val="2"/>
          <w:szCs w:val="24"/>
        </w:rPr>
        <w:t>u</w:t>
      </w:r>
      <w:r>
        <w:rPr>
          <w:rFonts w:hint="eastAsia" w:ascii="宋体" w:hAnsi="宋体" w:eastAsia="宋体" w:cs="宋体"/>
          <w:color w:val="auto"/>
          <w:kern w:val="2"/>
          <w:szCs w:val="24"/>
        </w:rPr>
        <w:t>—地下水水流速度，</w:t>
      </w:r>
      <w:r>
        <w:rPr>
          <w:rFonts w:ascii="Times New Roman" w:hAnsi="Times New Roman" w:eastAsia="宋体" w:cs="Times New Roman"/>
          <w:color w:val="auto"/>
          <w:kern w:val="2"/>
          <w:szCs w:val="24"/>
        </w:rPr>
        <w:t>m/d</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1240" w:firstLineChars="500"/>
        <w:jc w:val="both"/>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K</w:t>
      </w:r>
      <w:r>
        <w:rPr>
          <w:rFonts w:hint="eastAsia" w:ascii="宋体" w:hAnsi="宋体" w:eastAsia="宋体" w:cs="宋体"/>
          <w:color w:val="auto"/>
          <w:kern w:val="2"/>
          <w:szCs w:val="24"/>
        </w:rPr>
        <w:t>—渗透系数，</w:t>
      </w:r>
      <w:r>
        <w:rPr>
          <w:rFonts w:hint="eastAsia" w:ascii="Times New Roman" w:hAnsi="Times New Roman" w:eastAsia="宋体" w:cs="Times New Roman"/>
          <w:color w:val="auto"/>
          <w:kern w:val="2"/>
          <w:szCs w:val="24"/>
        </w:rPr>
        <w:t>m/d</w:t>
      </w:r>
      <w:r>
        <w:rPr>
          <w:rFonts w:hint="eastAsia" w:ascii="宋体" w:hAnsi="宋体" w:eastAsia="宋体" w:cs="宋体"/>
          <w:color w:val="auto"/>
          <w:kern w:val="2"/>
          <w:szCs w:val="24"/>
        </w:rPr>
        <w:t>，取</w:t>
      </w:r>
      <w:r>
        <w:rPr>
          <w:rFonts w:ascii="Times New Roman" w:hAnsi="Times New Roman" w:eastAsia="宋体" w:cs="Times New Roman"/>
          <w:color w:val="auto"/>
          <w:kern w:val="2"/>
          <w:szCs w:val="24"/>
        </w:rPr>
        <w:t>0.28</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1240" w:firstLineChars="500"/>
        <w:jc w:val="both"/>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I</w:t>
      </w:r>
      <w:r>
        <w:rPr>
          <w:rFonts w:hint="eastAsia" w:ascii="宋体" w:hAnsi="宋体" w:eastAsia="宋体" w:cs="宋体"/>
          <w:color w:val="auto"/>
          <w:kern w:val="2"/>
          <w:szCs w:val="24"/>
        </w:rPr>
        <w:t>—水力坡度，取</w:t>
      </w:r>
      <w:r>
        <w:rPr>
          <w:rFonts w:ascii="Times New Roman" w:hAnsi="Times New Roman" w:eastAsia="宋体" w:cs="Times New Roman"/>
          <w:color w:val="auto"/>
          <w:kern w:val="2"/>
          <w:szCs w:val="24"/>
        </w:rPr>
        <w:t>0.012</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1240" w:firstLineChars="500"/>
        <w:jc w:val="both"/>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n</w:t>
      </w:r>
      <w:r>
        <w:rPr>
          <w:rFonts w:hint="eastAsia" w:ascii="Times New Roman" w:hAnsi="Times New Roman" w:eastAsia="宋体" w:cs="Times New Roman"/>
          <w:color w:val="auto"/>
          <w:kern w:val="2"/>
          <w:szCs w:val="24"/>
          <w:vertAlign w:val="subscript"/>
        </w:rPr>
        <w:t>e</w:t>
      </w:r>
      <w:r>
        <w:rPr>
          <w:rFonts w:hint="eastAsia" w:ascii="Times New Roman" w:hAnsi="Times New Roman" w:eastAsia="宋体" w:cs="Times New Roman"/>
          <w:color w:val="auto"/>
          <w:kern w:val="2"/>
          <w:szCs w:val="24"/>
        </w:rPr>
        <w:t>—有效孔隙度，取</w:t>
      </w:r>
      <w:r>
        <w:rPr>
          <w:rFonts w:ascii="Times New Roman" w:hAnsi="Times New Roman" w:eastAsia="宋体" w:cs="Times New Roman"/>
          <w:color w:val="auto"/>
          <w:kern w:val="2"/>
          <w:szCs w:val="24"/>
        </w:rPr>
        <w:t>0.2</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D</w:t>
      </w:r>
      <w:r>
        <w:rPr>
          <w:rFonts w:hint="eastAsia" w:ascii="宋体" w:hAnsi="宋体" w:eastAsia="宋体" w:cs="宋体"/>
          <w:color w:val="auto"/>
          <w:kern w:val="2"/>
          <w:szCs w:val="24"/>
        </w:rPr>
        <w:t>、纵向弥散系数</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弥散系数是污染物溶质运移的关键参数，地质介质中溶质运移主要受渗透系数在空间上变化的制约，即地质介质的结构影响。在这一空间上变化影响到地下水流速，从而影响到溶质的对流与弥散。考虑到弥散系数的尺度效应问题，参考孔隙介质解析模型，结合本次评价的模型研究尺度大小，综合确定弥散度的取值应介于</w:t>
      </w:r>
      <w:r>
        <w:rPr>
          <w:rFonts w:hint="eastAsia" w:ascii="Times New Roman" w:hAnsi="Times New Roman" w:eastAsia="宋体" w:cs="Times New Roman"/>
          <w:color w:val="auto"/>
          <w:kern w:val="2"/>
          <w:szCs w:val="24"/>
        </w:rPr>
        <w:t>1~10</w:t>
      </w:r>
      <w:r>
        <w:rPr>
          <w:rFonts w:hint="eastAsia" w:ascii="宋体" w:hAnsi="宋体" w:eastAsia="宋体" w:cs="宋体"/>
          <w:color w:val="auto"/>
          <w:kern w:val="2"/>
          <w:szCs w:val="24"/>
        </w:rPr>
        <w:t>之间，本次</w:t>
      </w:r>
      <w:r>
        <w:rPr>
          <w:rFonts w:ascii="Times New Roman" w:hAnsi="Times New Roman" w:eastAsia="宋体" w:cs="Times New Roman"/>
          <w:color w:val="auto"/>
          <w:kern w:val="2"/>
          <w:szCs w:val="24"/>
        </w:rPr>
        <w:t>α</w:t>
      </w:r>
      <w:r>
        <w:rPr>
          <w:rFonts w:hint="eastAsia" w:ascii="Times New Roman" w:hAnsi="Times New Roman" w:eastAsia="宋体" w:cs="Times New Roman"/>
          <w:color w:val="auto"/>
          <w:kern w:val="2"/>
          <w:szCs w:val="24"/>
          <w:vertAlign w:val="subscript"/>
        </w:rPr>
        <w:t>L</w:t>
      </w:r>
      <w:r>
        <w:rPr>
          <w:rFonts w:hint="eastAsia" w:ascii="宋体" w:hAnsi="宋体" w:eastAsia="宋体" w:cs="宋体"/>
          <w:color w:val="auto"/>
          <w:kern w:val="2"/>
          <w:szCs w:val="24"/>
        </w:rPr>
        <w:t>取</w:t>
      </w:r>
      <w:r>
        <w:rPr>
          <w:rFonts w:hint="eastAsia" w:ascii="Times New Roman" w:hAnsi="Times New Roman" w:eastAsia="宋体" w:cs="Times New Roman"/>
          <w:color w:val="auto"/>
          <w:kern w:val="2"/>
          <w:szCs w:val="24"/>
        </w:rPr>
        <w:t>10m</w:t>
      </w:r>
      <w:r>
        <w:rPr>
          <w:rFonts w:hint="eastAsia" w:ascii="宋体" w:hAnsi="宋体" w:eastAsia="宋体" w:cs="宋体"/>
          <w:color w:val="auto"/>
          <w:kern w:val="2"/>
          <w:szCs w:val="24"/>
        </w:rPr>
        <w:t>。由此计算项目场地内的纵向弥散系数：</w:t>
      </w:r>
    </w:p>
    <w:p>
      <w:pPr>
        <w:pStyle w:val="43"/>
        <w:widowControl w:val="0"/>
        <w:adjustRightInd w:val="0"/>
        <w:snapToGrid w:val="0"/>
        <w:spacing w:before="0" w:beforeAutospacing="0" w:after="0" w:afterAutospacing="0" w:line="360" w:lineRule="auto"/>
        <w:ind w:firstLine="496" w:firstLineChars="200"/>
        <w:jc w:val="center"/>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D</w:t>
      </w:r>
      <w:r>
        <w:rPr>
          <w:rFonts w:hint="eastAsia" w:ascii="Times New Roman" w:hAnsi="Times New Roman" w:eastAsia="宋体" w:cs="Times New Roman"/>
          <w:color w:val="auto"/>
          <w:kern w:val="2"/>
          <w:szCs w:val="24"/>
          <w:vertAlign w:val="subscript"/>
        </w:rPr>
        <w:t>L</w:t>
      </w:r>
      <w:r>
        <w:rPr>
          <w:rFonts w:hint="eastAsia" w:ascii="Times New Roman" w:hAnsi="Times New Roman" w:eastAsia="宋体" w:cs="Times New Roman"/>
          <w:color w:val="auto"/>
          <w:kern w:val="2"/>
          <w:szCs w:val="24"/>
        </w:rPr>
        <w:t>=</w:t>
      </w:r>
      <w:r>
        <w:rPr>
          <w:rFonts w:ascii="Times New Roman" w:hAnsi="Times New Roman" w:eastAsia="宋体" w:cs="Times New Roman"/>
          <w:color w:val="auto"/>
          <w:kern w:val="2"/>
          <w:szCs w:val="24"/>
        </w:rPr>
        <w:t>α</w:t>
      </w:r>
      <w:r>
        <w:rPr>
          <w:rFonts w:hint="eastAsia" w:ascii="Times New Roman" w:hAnsi="Times New Roman" w:eastAsia="宋体" w:cs="Times New Roman"/>
          <w:color w:val="auto"/>
          <w:kern w:val="2"/>
          <w:szCs w:val="24"/>
          <w:vertAlign w:val="subscript"/>
        </w:rPr>
        <w:t>L</w:t>
      </w:r>
      <w:r>
        <w:rPr>
          <w:rFonts w:hint="eastAsia" w:ascii="Times New Roman" w:hAnsi="Times New Roman" w:eastAsia="宋体" w:cs="Times New Roman"/>
          <w:color w:val="auto"/>
          <w:kern w:val="2"/>
          <w:szCs w:val="24"/>
        </w:rPr>
        <w:t>×</w:t>
      </w:r>
      <w:r>
        <w:rPr>
          <w:rFonts w:ascii="Times New Roman" w:hAnsi="Times New Roman" w:eastAsia="宋体" w:cs="Times New Roman"/>
          <w:color w:val="auto"/>
          <w:kern w:val="2"/>
          <w:szCs w:val="24"/>
        </w:rPr>
        <w:t>u</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宋体" w:hAnsi="宋体" w:eastAsia="宋体" w:cs="宋体"/>
          <w:color w:val="auto"/>
          <w:kern w:val="2"/>
          <w:szCs w:val="24"/>
        </w:rPr>
        <w:t>式中：</w:t>
      </w:r>
      <w:r>
        <w:rPr>
          <w:rFonts w:hint="eastAsia" w:ascii="Times New Roman" w:hAnsi="Times New Roman" w:eastAsia="宋体" w:cs="Times New Roman"/>
          <w:color w:val="auto"/>
          <w:kern w:val="2"/>
          <w:szCs w:val="24"/>
        </w:rPr>
        <w:t>D</w:t>
      </w:r>
      <w:r>
        <w:rPr>
          <w:rFonts w:hint="eastAsia" w:ascii="Times New Roman" w:hAnsi="Times New Roman" w:eastAsia="宋体" w:cs="Times New Roman"/>
          <w:color w:val="auto"/>
          <w:kern w:val="2"/>
          <w:szCs w:val="24"/>
          <w:vertAlign w:val="subscript"/>
        </w:rPr>
        <w:t>L</w:t>
      </w:r>
      <w:r>
        <w:rPr>
          <w:rFonts w:hint="eastAsia" w:ascii="Times New Roman" w:hAnsi="Times New Roman" w:eastAsia="宋体" w:cs="Times New Roman"/>
          <w:color w:val="auto"/>
          <w:kern w:val="2"/>
          <w:szCs w:val="24"/>
        </w:rPr>
        <w:t>—土层中的弥散系数，</w:t>
      </w:r>
      <w:r>
        <w:rPr>
          <w:rFonts w:ascii="Times New Roman" w:hAnsi="Times New Roman" w:eastAsia="宋体" w:cs="Times New Roman"/>
          <w:color w:val="auto"/>
          <w:kern w:val="2"/>
          <w:szCs w:val="24"/>
        </w:rPr>
        <w:t>m</w:t>
      </w:r>
      <w:r>
        <w:rPr>
          <w:rFonts w:hint="eastAsia" w:ascii="Times New Roman" w:hAnsi="Times New Roman" w:eastAsia="宋体" w:cs="Times New Roman"/>
          <w:color w:val="auto"/>
          <w:kern w:val="2"/>
          <w:szCs w:val="24"/>
          <w:vertAlign w:val="superscript"/>
        </w:rPr>
        <w:t>2</w:t>
      </w:r>
      <w:r>
        <w:rPr>
          <w:rFonts w:hint="eastAsia" w:ascii="Times New Roman" w:hAnsi="Times New Roman" w:eastAsia="宋体" w:cs="Times New Roman"/>
          <w:color w:val="auto"/>
          <w:kern w:val="2"/>
          <w:szCs w:val="24"/>
        </w:rPr>
        <w:t>/d</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1240" w:firstLineChars="500"/>
        <w:jc w:val="both"/>
        <w:rPr>
          <w:rFonts w:ascii="Times New Roman" w:hAnsi="Times New Roman" w:eastAsia="宋体" w:cs="Times New Roman"/>
          <w:color w:val="auto"/>
          <w:kern w:val="2"/>
          <w:szCs w:val="24"/>
        </w:rPr>
      </w:pPr>
      <w:r>
        <w:rPr>
          <w:rFonts w:ascii="Times New Roman" w:hAnsi="Times New Roman" w:eastAsia="宋体" w:cs="Times New Roman"/>
          <w:color w:val="auto"/>
          <w:kern w:val="2"/>
          <w:szCs w:val="24"/>
        </w:rPr>
        <w:t>α</w:t>
      </w:r>
      <w:r>
        <w:rPr>
          <w:rFonts w:hint="eastAsia" w:ascii="Times New Roman" w:hAnsi="Times New Roman" w:eastAsia="宋体" w:cs="Times New Roman"/>
          <w:color w:val="auto"/>
          <w:kern w:val="2"/>
          <w:szCs w:val="24"/>
          <w:vertAlign w:val="subscript"/>
        </w:rPr>
        <w:t>L</w:t>
      </w:r>
      <w:r>
        <w:rPr>
          <w:rFonts w:hint="eastAsia" w:ascii="Times New Roman" w:hAnsi="Times New Roman" w:eastAsia="宋体" w:cs="Times New Roman"/>
          <w:color w:val="auto"/>
          <w:kern w:val="2"/>
          <w:szCs w:val="24"/>
        </w:rPr>
        <w:t>—土层中的弥散度，</w:t>
      </w:r>
      <w:r>
        <w:rPr>
          <w:rFonts w:ascii="Times New Roman" w:hAnsi="Times New Roman" w:eastAsia="宋体" w:cs="Times New Roman"/>
          <w:color w:val="auto"/>
          <w:kern w:val="2"/>
          <w:szCs w:val="24"/>
        </w:rPr>
        <w:t>m</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1240" w:firstLineChars="500"/>
        <w:jc w:val="both"/>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u</w:t>
      </w:r>
      <w:r>
        <w:rPr>
          <w:rFonts w:hint="eastAsia" w:ascii="宋体" w:hAnsi="宋体" w:eastAsia="宋体" w:cs="宋体"/>
          <w:color w:val="auto"/>
          <w:kern w:val="2"/>
          <w:szCs w:val="24"/>
        </w:rPr>
        <w:t>—地下水水流速度，</w:t>
      </w:r>
      <w:r>
        <w:rPr>
          <w:rFonts w:ascii="Times New Roman" w:hAnsi="Times New Roman" w:eastAsia="宋体" w:cs="Times New Roman"/>
          <w:color w:val="auto"/>
          <w:kern w:val="2"/>
          <w:szCs w:val="24"/>
        </w:rPr>
        <w:t>m/d</w:t>
      </w:r>
      <w:r>
        <w:rPr>
          <w:rFonts w:hint="eastAsia" w:ascii="宋体" w:hAnsi="宋体" w:eastAsia="宋体" w:cs="宋体"/>
          <w:color w:val="auto"/>
          <w:kern w:val="2"/>
          <w:szCs w:val="24"/>
        </w:rPr>
        <w:t>；</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则</w:t>
      </w:r>
      <w:r>
        <w:rPr>
          <w:rFonts w:hint="eastAsia" w:ascii="Times New Roman" w:hAnsi="Times New Roman" w:eastAsia="宋体" w:cs="Times New Roman"/>
          <w:color w:val="auto"/>
          <w:kern w:val="2"/>
          <w:szCs w:val="24"/>
        </w:rPr>
        <w:t>D</w:t>
      </w:r>
      <w:r>
        <w:rPr>
          <w:rFonts w:hint="eastAsia" w:ascii="Times New Roman" w:hAnsi="Times New Roman" w:eastAsia="宋体" w:cs="Times New Roman"/>
          <w:color w:val="auto"/>
          <w:kern w:val="2"/>
          <w:szCs w:val="24"/>
          <w:vertAlign w:val="subscript"/>
        </w:rPr>
        <w:t>L</w:t>
      </w:r>
      <w:r>
        <w:rPr>
          <w:rFonts w:hint="eastAsia" w:ascii="Times New Roman" w:hAnsi="Times New Roman" w:eastAsia="宋体" w:cs="Times New Roman"/>
          <w:color w:val="auto"/>
          <w:kern w:val="2"/>
          <w:szCs w:val="24"/>
        </w:rPr>
        <w:t>=0.168.</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Times New Roman" w:hAnsi="Times New Roman" w:eastAsia="宋体" w:cs="Times New Roman"/>
          <w:color w:val="auto"/>
          <w:kern w:val="2"/>
          <w:szCs w:val="24"/>
        </w:rPr>
        <w:t>E.</w:t>
      </w:r>
      <w:r>
        <w:rPr>
          <w:rFonts w:hint="eastAsia" w:ascii="宋体" w:hAnsi="宋体" w:eastAsia="宋体" w:cs="宋体"/>
          <w:color w:val="auto"/>
          <w:kern w:val="2"/>
          <w:szCs w:val="24"/>
        </w:rPr>
        <w:t>横向弥散系数</w:t>
      </w:r>
      <w:r>
        <w:rPr>
          <w:rFonts w:ascii="Times New Roman" w:hAnsi="Times New Roman" w:eastAsia="宋体" w:cs="Times New Roman"/>
          <w:color w:val="auto"/>
          <w:kern w:val="2"/>
          <w:szCs w:val="24"/>
        </w:rPr>
        <w:t>D</w:t>
      </w:r>
      <w:r>
        <w:rPr>
          <w:rFonts w:hint="eastAsia" w:ascii="Times New Roman" w:hAnsi="Times New Roman" w:eastAsia="宋体" w:cs="Times New Roman"/>
          <w:color w:val="auto"/>
          <w:kern w:val="2"/>
          <w:szCs w:val="24"/>
          <w:vertAlign w:val="subscript"/>
        </w:rPr>
        <w:t>T</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根据经验，横向弥散系数与纵向弥散系数的比值为</w:t>
      </w:r>
      <w:r>
        <w:rPr>
          <w:rFonts w:hint="eastAsia" w:ascii="Times New Roman" w:hAnsi="Times New Roman" w:eastAsia="宋体" w:cs="Times New Roman"/>
          <w:color w:val="auto"/>
          <w:kern w:val="2"/>
          <w:szCs w:val="24"/>
        </w:rPr>
        <w:t>0.1</w:t>
      </w:r>
      <w:r>
        <w:rPr>
          <w:rFonts w:hint="eastAsia" w:ascii="宋体" w:hAnsi="宋体" w:eastAsia="宋体" w:cs="宋体"/>
          <w:color w:val="auto"/>
          <w:kern w:val="2"/>
          <w:szCs w:val="24"/>
        </w:rPr>
        <w:t>，因此</w:t>
      </w:r>
      <w:r>
        <w:rPr>
          <w:rFonts w:ascii="Times New Roman" w:hAnsi="Times New Roman" w:eastAsia="宋体" w:cs="Times New Roman"/>
          <w:color w:val="auto"/>
          <w:kern w:val="2"/>
          <w:szCs w:val="24"/>
        </w:rPr>
        <w:t>D</w:t>
      </w:r>
      <w:r>
        <w:rPr>
          <w:rFonts w:hint="eastAsia" w:ascii="Times New Roman" w:hAnsi="Times New Roman" w:eastAsia="宋体" w:cs="Times New Roman"/>
          <w:color w:val="auto"/>
          <w:kern w:val="2"/>
          <w:szCs w:val="24"/>
          <w:vertAlign w:val="subscript"/>
        </w:rPr>
        <w:t>T</w:t>
      </w:r>
      <w:r>
        <w:rPr>
          <w:rFonts w:hint="eastAsia" w:ascii="Times New Roman" w:hAnsi="Times New Roman" w:eastAsia="宋体" w:cs="Times New Roman"/>
          <w:color w:val="auto"/>
          <w:kern w:val="2"/>
          <w:szCs w:val="24"/>
        </w:rPr>
        <w:t>=0.0168</w:t>
      </w:r>
    </w:p>
    <w:p>
      <w:pPr>
        <w:pStyle w:val="43"/>
        <w:widowControl w:val="0"/>
        <w:adjustRightInd w:val="0"/>
        <w:snapToGrid w:val="0"/>
        <w:spacing w:before="0" w:beforeAutospacing="0" w:after="0" w:afterAutospacing="0" w:line="360" w:lineRule="auto"/>
        <w:ind w:firstLine="436" w:firstLineChars="200"/>
        <w:jc w:val="center"/>
        <w:rPr>
          <w:rFonts w:ascii="Times New Roman" w:hAnsi="Times New Roman" w:eastAsia="宋体" w:cs="Times New Roman"/>
          <w:color w:val="auto"/>
          <w:kern w:val="2"/>
          <w:szCs w:val="24"/>
        </w:rPr>
      </w:pPr>
      <w:r>
        <w:rPr>
          <w:rFonts w:hint="eastAsia" w:ascii="宋体" w:hAnsi="宋体" w:eastAsia="宋体" w:cs="宋体"/>
          <w:b/>
          <w:color w:val="auto"/>
          <w:kern w:val="2"/>
          <w:sz w:val="21"/>
          <w:szCs w:val="21"/>
        </w:rPr>
        <w:t>表</w:t>
      </w:r>
      <w:r>
        <w:rPr>
          <w:rFonts w:ascii="Times New Roman" w:hAnsi="Times New Roman" w:eastAsia="宋体" w:cs="Times New Roman"/>
          <w:b/>
          <w:color w:val="auto"/>
          <w:kern w:val="2"/>
          <w:sz w:val="21"/>
          <w:szCs w:val="21"/>
        </w:rPr>
        <w:t>5</w:t>
      </w:r>
      <w:r>
        <w:rPr>
          <w:rFonts w:hint="eastAsia" w:ascii="Times New Roman" w:hAnsi="Times New Roman" w:eastAsia="宋体" w:cs="Times New Roman"/>
          <w:b/>
          <w:color w:val="auto"/>
          <w:kern w:val="2"/>
          <w:sz w:val="21"/>
          <w:szCs w:val="21"/>
        </w:rPr>
        <w:t>.2</w:t>
      </w:r>
      <w:r>
        <w:rPr>
          <w:rFonts w:ascii="Times New Roman" w:hAnsi="Times New Roman" w:eastAsia="宋体" w:cs="Times New Roman"/>
          <w:b/>
          <w:color w:val="auto"/>
          <w:kern w:val="2"/>
          <w:sz w:val="21"/>
          <w:szCs w:val="21"/>
        </w:rPr>
        <w:t>-</w:t>
      </w:r>
      <w:r>
        <w:rPr>
          <w:rFonts w:hint="eastAsia" w:ascii="Times New Roman" w:hAnsi="Times New Roman" w:eastAsia="宋体" w:cs="Times New Roman"/>
          <w:b/>
          <w:color w:val="auto"/>
          <w:kern w:val="2"/>
          <w:sz w:val="21"/>
          <w:szCs w:val="21"/>
        </w:rPr>
        <w:t xml:space="preserve">23 </w:t>
      </w:r>
      <w:r>
        <w:rPr>
          <w:rFonts w:hint="eastAsia" w:ascii="宋体" w:hAnsi="宋体" w:eastAsia="宋体" w:cs="宋体"/>
          <w:b/>
          <w:color w:val="auto"/>
          <w:kern w:val="2"/>
          <w:sz w:val="21"/>
          <w:szCs w:val="21"/>
        </w:rPr>
        <w:t>地下水环境预测模型参数表</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17"/>
        <w:gridCol w:w="1209"/>
        <w:gridCol w:w="30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参数</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含义</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单位</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取值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M</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含水层厚度</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m</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u</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地下水平均流速</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m/d</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0.0168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K</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渗透参数</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m/d</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0.28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T</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质点迁移天数</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d</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1</w:t>
            </w:r>
            <w:r>
              <w:rPr>
                <w:rFonts w:hint="eastAsia" w:ascii="宋体" w:hAnsi="宋体" w:eastAsia="宋体" w:cs="宋体"/>
                <w:color w:val="auto"/>
                <w:kern w:val="2"/>
                <w:sz w:val="21"/>
                <w:szCs w:val="21"/>
              </w:rPr>
              <w:t>、</w:t>
            </w:r>
            <w:r>
              <w:rPr>
                <w:rFonts w:ascii="Times New Roman" w:hAnsi="Times New Roman" w:eastAsia="宋体" w:cs="Times New Roman"/>
                <w:color w:val="auto"/>
                <w:kern w:val="2"/>
                <w:sz w:val="21"/>
                <w:szCs w:val="21"/>
              </w:rPr>
              <w:t>10</w:t>
            </w:r>
            <w:r>
              <w:rPr>
                <w:rFonts w:hint="eastAsia" w:ascii="宋体" w:hAnsi="宋体" w:eastAsia="宋体" w:cs="宋体"/>
                <w:color w:val="auto"/>
                <w:kern w:val="2"/>
                <w:sz w:val="21"/>
                <w:szCs w:val="21"/>
              </w:rPr>
              <w:t>、</w:t>
            </w:r>
            <w:r>
              <w:rPr>
                <w:rFonts w:ascii="Times New Roman" w:hAnsi="Times New Roman" w:eastAsia="宋体" w:cs="Times New Roman"/>
                <w:color w:val="auto"/>
                <w:kern w:val="2"/>
                <w:sz w:val="21"/>
                <w:szCs w:val="21"/>
              </w:rPr>
              <w:t>100</w:t>
            </w:r>
            <w:r>
              <w:rPr>
                <w:rFonts w:hint="eastAsia" w:ascii="宋体" w:hAnsi="宋体" w:eastAsia="宋体" w:cs="宋体"/>
                <w:color w:val="auto"/>
                <w:kern w:val="2"/>
                <w:sz w:val="21"/>
                <w:szCs w:val="21"/>
              </w:rPr>
              <w:t>、</w:t>
            </w:r>
            <w:r>
              <w:rPr>
                <w:rFonts w:ascii="Times New Roman" w:hAnsi="Times New Roman" w:eastAsia="宋体" w:cs="Times New Roman"/>
                <w:color w:val="auto"/>
                <w:kern w:val="2"/>
                <w:sz w:val="21"/>
                <w:szCs w:val="21"/>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n</w:t>
            </w:r>
            <w:r>
              <w:rPr>
                <w:rFonts w:hint="eastAsia" w:ascii="Times New Roman" w:hAnsi="Times New Roman" w:eastAsia="宋体" w:cs="Times New Roman"/>
                <w:color w:val="auto"/>
                <w:kern w:val="2"/>
                <w:sz w:val="21"/>
                <w:szCs w:val="21"/>
                <w:vertAlign w:val="subscript"/>
              </w:rPr>
              <w:t>e</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有效孔隙度</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无量纲</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D</w:t>
            </w:r>
            <w:r>
              <w:rPr>
                <w:rFonts w:hint="eastAsia" w:ascii="Times New Roman" w:hAnsi="Times New Roman" w:eastAsia="宋体" w:cs="Times New Roman"/>
                <w:color w:val="auto"/>
                <w:kern w:val="2"/>
                <w:sz w:val="21"/>
                <w:szCs w:val="21"/>
                <w:vertAlign w:val="subscript"/>
              </w:rPr>
              <w:t>L</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纵向弥散系数</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m</w:t>
            </w:r>
            <w:r>
              <w:rPr>
                <w:rFonts w:hint="eastAsia" w:ascii="Times New Roman" w:hAnsi="Times New Roman" w:eastAsia="宋体" w:cs="Times New Roman"/>
                <w:color w:val="auto"/>
                <w:kern w:val="2"/>
                <w:sz w:val="21"/>
                <w:szCs w:val="21"/>
                <w:vertAlign w:val="superscript"/>
              </w:rPr>
              <w:t>2</w:t>
            </w:r>
            <w:r>
              <w:rPr>
                <w:rFonts w:hint="eastAsia" w:ascii="Times New Roman" w:hAnsi="Times New Roman" w:eastAsia="宋体" w:cs="Times New Roman"/>
                <w:color w:val="auto"/>
                <w:kern w:val="2"/>
                <w:sz w:val="21"/>
                <w:szCs w:val="21"/>
              </w:rPr>
              <w:t>/d</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0.168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D</w:t>
            </w:r>
            <w:r>
              <w:rPr>
                <w:rFonts w:hint="eastAsia" w:ascii="Times New Roman" w:hAnsi="Times New Roman" w:eastAsia="宋体" w:cs="Times New Roman"/>
                <w:color w:val="auto"/>
                <w:kern w:val="2"/>
                <w:sz w:val="21"/>
                <w:szCs w:val="21"/>
                <w:vertAlign w:val="subscript"/>
              </w:rPr>
              <w:t>T</w:t>
            </w:r>
          </w:p>
        </w:tc>
        <w:tc>
          <w:tcPr>
            <w:tcW w:w="2236"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横向弥散系数</w:t>
            </w:r>
          </w:p>
        </w:tc>
        <w:tc>
          <w:tcPr>
            <w:tcW w:w="1251"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m</w:t>
            </w:r>
            <w:r>
              <w:rPr>
                <w:rFonts w:hint="eastAsia" w:ascii="Times New Roman" w:hAnsi="Times New Roman" w:eastAsia="宋体" w:cs="Times New Roman"/>
                <w:color w:val="auto"/>
                <w:kern w:val="2"/>
                <w:sz w:val="21"/>
                <w:szCs w:val="21"/>
                <w:vertAlign w:val="superscript"/>
              </w:rPr>
              <w:t>2</w:t>
            </w:r>
            <w:r>
              <w:rPr>
                <w:rFonts w:hint="eastAsia" w:ascii="Times New Roman" w:hAnsi="Times New Roman" w:eastAsia="宋体" w:cs="Times New Roman"/>
                <w:color w:val="auto"/>
                <w:kern w:val="2"/>
                <w:sz w:val="21"/>
                <w:szCs w:val="21"/>
              </w:rPr>
              <w:t>/d</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0.0168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vMerge w:val="restart"/>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m</w:t>
            </w:r>
            <w:r>
              <w:rPr>
                <w:rFonts w:hint="eastAsia" w:ascii="Times New Roman" w:hAnsi="Times New Roman" w:eastAsia="宋体" w:cs="Times New Roman"/>
                <w:color w:val="auto"/>
                <w:kern w:val="2"/>
                <w:sz w:val="21"/>
                <w:szCs w:val="21"/>
                <w:vertAlign w:val="subscript"/>
              </w:rPr>
              <w:t>M</w:t>
            </w:r>
          </w:p>
        </w:tc>
        <w:tc>
          <w:tcPr>
            <w:tcW w:w="2236" w:type="dxa"/>
            <w:vMerge w:val="restart"/>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瞬时注入示踪剂质量</w:t>
            </w:r>
          </w:p>
        </w:tc>
        <w:tc>
          <w:tcPr>
            <w:tcW w:w="1251" w:type="dxa"/>
            <w:vMerge w:val="restart"/>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g</w:t>
            </w: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COD</w:t>
            </w:r>
            <w:r>
              <w:rPr>
                <w:rFonts w:hint="eastAsia" w:ascii="宋体" w:hAnsi="宋体" w:eastAsia="宋体" w:cs="宋体"/>
                <w:color w:val="auto"/>
                <w:kern w:val="2"/>
                <w:sz w:val="21"/>
                <w:szCs w:val="21"/>
              </w:rPr>
              <w:t>：</w:t>
            </w:r>
            <w:r>
              <w:rPr>
                <w:rFonts w:hint="eastAsia" w:ascii="Times New Roman" w:hAnsi="Times New Roman" w:eastAsia="宋体" w:cs="Times New Roman"/>
                <w:color w:val="auto"/>
                <w:kern w:val="2"/>
                <w:sz w:val="21"/>
                <w:szCs w:val="21"/>
              </w:rPr>
              <w:t>40.35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36" w:type="dxa"/>
            <w:vMerge w:val="continue"/>
            <w:tcBorders>
              <w:tl2br w:val="nil"/>
              <w:tr2bl w:val="nil"/>
            </w:tcBorders>
            <w:shd w:val="clear" w:color="auto" w:fill="auto"/>
            <w:vAlign w:val="center"/>
          </w:tcPr>
          <w:p>
            <w:pPr>
              <w:rPr>
                <w:rFonts w:ascii="Times New Roman"/>
                <w:color w:val="auto"/>
                <w:sz w:val="20"/>
              </w:rPr>
            </w:pPr>
          </w:p>
        </w:tc>
        <w:tc>
          <w:tcPr>
            <w:tcW w:w="2236" w:type="dxa"/>
            <w:vMerge w:val="continue"/>
            <w:tcBorders>
              <w:tl2br w:val="nil"/>
              <w:tr2bl w:val="nil"/>
            </w:tcBorders>
            <w:shd w:val="clear" w:color="auto" w:fill="auto"/>
            <w:vAlign w:val="center"/>
          </w:tcPr>
          <w:p>
            <w:pPr>
              <w:rPr>
                <w:rFonts w:ascii="Times New Roman"/>
                <w:color w:val="auto"/>
                <w:sz w:val="20"/>
              </w:rPr>
            </w:pPr>
          </w:p>
        </w:tc>
        <w:tc>
          <w:tcPr>
            <w:tcW w:w="1251" w:type="dxa"/>
            <w:vMerge w:val="continue"/>
            <w:tcBorders>
              <w:tl2br w:val="nil"/>
              <w:tr2bl w:val="nil"/>
            </w:tcBorders>
            <w:shd w:val="clear" w:color="auto" w:fill="auto"/>
            <w:vAlign w:val="center"/>
          </w:tcPr>
          <w:p>
            <w:pPr>
              <w:rPr>
                <w:rFonts w:ascii="Times New Roman"/>
                <w:color w:val="auto"/>
                <w:sz w:val="20"/>
              </w:rPr>
            </w:pPr>
          </w:p>
        </w:tc>
        <w:tc>
          <w:tcPr>
            <w:tcW w:w="3223" w:type="dxa"/>
            <w:tcBorders>
              <w:tl2br w:val="nil"/>
              <w:tr2bl w:val="nil"/>
            </w:tcBorders>
            <w:shd w:val="clear" w:color="auto" w:fill="auto"/>
            <w:vAlign w:val="center"/>
          </w:tcPr>
          <w:p>
            <w:pPr>
              <w:pStyle w:val="43"/>
              <w:widowControl w:val="0"/>
              <w:autoSpaceDE w:val="0"/>
              <w:adjustRightInd w:val="0"/>
              <w:snapToGrid w:val="0"/>
              <w:spacing w:before="0" w:beforeAutospacing="0" w:after="0" w:afterAutospacing="0" w:line="360" w:lineRule="auto"/>
              <w:jc w:val="center"/>
              <w:rPr>
                <w:rFonts w:ascii="Times New Roman" w:hAnsi="Times New Roman" w:cs="Times New Roman"/>
                <w:color w:val="auto"/>
                <w:kern w:val="2"/>
                <w:sz w:val="21"/>
                <w:szCs w:val="21"/>
              </w:rPr>
            </w:pPr>
            <w:r>
              <w:rPr>
                <w:rFonts w:hint="eastAsia" w:ascii="Times New Roman" w:hAnsi="Times New Roman" w:eastAsia="宋体" w:cs="Times New Roman"/>
                <w:color w:val="auto"/>
                <w:kern w:val="2"/>
                <w:sz w:val="21"/>
                <w:szCs w:val="21"/>
              </w:rPr>
              <w:t>氨氮：2.50</w:t>
            </w:r>
          </w:p>
        </w:tc>
      </w:tr>
    </w:tbl>
    <w:p>
      <w:pPr>
        <w:spacing w:line="360" w:lineRule="auto"/>
        <w:ind w:firstLine="482"/>
        <w:rPr>
          <w:rFonts w:ascii="Times New Roman" w:eastAsia="宋体"/>
          <w:color w:val="auto"/>
          <w:lang w:val="zh-CN"/>
        </w:rPr>
      </w:pPr>
      <w:bookmarkStart w:id="418" w:name="_Toc26582"/>
      <w:r>
        <w:rPr>
          <w:rFonts w:hint="eastAsia" w:ascii="Times New Roman" w:eastAsia="宋体"/>
          <w:color w:val="auto"/>
        </w:rPr>
        <w:t>（7）预测结果</w:t>
      </w:r>
      <w:bookmarkEnd w:id="418"/>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宋体" w:hAnsi="宋体" w:eastAsia="宋体" w:cs="宋体"/>
          <w:color w:val="auto"/>
          <w:kern w:val="2"/>
          <w:szCs w:val="24"/>
        </w:rPr>
        <w:t>本次与预测为平面瞬时源模型，根据预测结果表明，随着时间增长，氨氮的运移面积以及最大运移距离在逐渐扩大，但中心点浓度却不断降低，直至消失。</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cs="Times New Roman"/>
          <w:color w:val="auto"/>
          <w:kern w:val="2"/>
          <w:szCs w:val="24"/>
        </w:rPr>
      </w:pPr>
      <w:r>
        <w:rPr>
          <w:rFonts w:hint="eastAsia" w:ascii="宋体" w:hAnsi="宋体" w:eastAsia="宋体" w:cs="宋体"/>
          <w:color w:val="auto"/>
          <w:kern w:val="2"/>
          <w:szCs w:val="24"/>
        </w:rPr>
        <w:t>泄露事故发生</w:t>
      </w:r>
      <w:r>
        <w:rPr>
          <w:rFonts w:hint="eastAsia" w:ascii="Times New Roman" w:hAnsi="Times New Roman" w:eastAsia="宋体" w:cs="Times New Roman"/>
          <w:color w:val="auto"/>
          <w:kern w:val="2"/>
          <w:szCs w:val="24"/>
        </w:rPr>
        <w:t>1d</w:t>
      </w:r>
      <w:r>
        <w:rPr>
          <w:rFonts w:hint="eastAsia" w:ascii="宋体" w:hAnsi="宋体" w:eastAsia="宋体" w:cs="宋体"/>
          <w:color w:val="auto"/>
          <w:kern w:val="2"/>
          <w:szCs w:val="24"/>
        </w:rPr>
        <w:t>后，</w:t>
      </w:r>
      <w:r>
        <w:rPr>
          <w:rFonts w:ascii="Times New Roman" w:hAnsi="Times New Roman" w:eastAsia="宋体" w:cs="Times New Roman"/>
          <w:color w:val="auto"/>
          <w:kern w:val="2"/>
          <w:szCs w:val="24"/>
        </w:rPr>
        <w:t>COD</w:t>
      </w:r>
      <w:r>
        <w:rPr>
          <w:rFonts w:hint="eastAsia" w:ascii="宋体" w:hAnsi="宋体" w:eastAsia="宋体" w:cs="宋体"/>
          <w:color w:val="auto"/>
          <w:kern w:val="2"/>
          <w:szCs w:val="24"/>
        </w:rPr>
        <w:t>在含水层下游超标距离约为</w:t>
      </w:r>
      <w:r>
        <w:rPr>
          <w:rFonts w:ascii="Times New Roman" w:hAnsi="Times New Roman" w:eastAsia="宋体" w:cs="Times New Roman"/>
          <w:color w:val="auto"/>
          <w:kern w:val="2"/>
          <w:szCs w:val="24"/>
        </w:rPr>
        <w:t>2.</w:t>
      </w:r>
      <w:r>
        <w:rPr>
          <w:rFonts w:hint="eastAsia" w:ascii="Times New Roman" w:hAnsi="Times New Roman" w:eastAsia="宋体" w:cs="Times New Roman"/>
          <w:color w:val="auto"/>
          <w:kern w:val="2"/>
          <w:szCs w:val="24"/>
        </w:rPr>
        <w:t>02</w:t>
      </w:r>
      <w:r>
        <w:rPr>
          <w:rFonts w:ascii="Times New Roman" w:hAnsi="Times New Roman" w:eastAsia="宋体" w:cs="Times New Roman"/>
          <w:color w:val="auto"/>
          <w:kern w:val="2"/>
          <w:szCs w:val="24"/>
        </w:rPr>
        <w:t>m</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10d</w:t>
      </w:r>
      <w:r>
        <w:rPr>
          <w:rFonts w:hint="eastAsia" w:ascii="宋体" w:hAnsi="宋体" w:eastAsia="宋体" w:cs="宋体"/>
          <w:color w:val="auto"/>
          <w:kern w:val="2"/>
          <w:szCs w:val="24"/>
        </w:rPr>
        <w:t>，超标距离约为</w:t>
      </w:r>
      <w:r>
        <w:rPr>
          <w:rFonts w:hint="eastAsia" w:ascii="Times New Roman" w:hAnsi="Times New Roman" w:eastAsia="宋体" w:cs="Times New Roman"/>
          <w:color w:val="auto"/>
          <w:kern w:val="2"/>
          <w:szCs w:val="24"/>
        </w:rPr>
        <w:t>3.17</w:t>
      </w:r>
      <w:r>
        <w:rPr>
          <w:rFonts w:ascii="Times New Roman" w:hAnsi="Times New Roman" w:eastAsia="宋体" w:cs="Times New Roman"/>
          <w:color w:val="auto"/>
          <w:kern w:val="2"/>
          <w:szCs w:val="24"/>
        </w:rPr>
        <w:t>m</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100d</w:t>
      </w:r>
      <w:r>
        <w:rPr>
          <w:rFonts w:hint="eastAsia" w:ascii="宋体" w:hAnsi="宋体" w:eastAsia="宋体" w:cs="宋体"/>
          <w:color w:val="auto"/>
          <w:kern w:val="2"/>
          <w:szCs w:val="24"/>
        </w:rPr>
        <w:t>后，下游最大浓度0.15mg/L，无超标情况；</w:t>
      </w:r>
      <w:r>
        <w:rPr>
          <w:rFonts w:ascii="Times New Roman" w:hAnsi="Times New Roman" w:eastAsia="宋体" w:cs="Times New Roman"/>
          <w:color w:val="auto"/>
          <w:kern w:val="2"/>
          <w:szCs w:val="24"/>
        </w:rPr>
        <w:t>100</w:t>
      </w:r>
      <w:r>
        <w:rPr>
          <w:rFonts w:hint="eastAsia" w:ascii="Times New Roman" w:hAnsi="Times New Roman" w:eastAsia="宋体" w:cs="Times New Roman"/>
          <w:color w:val="auto"/>
          <w:kern w:val="2"/>
          <w:szCs w:val="24"/>
        </w:rPr>
        <w:t>0</w:t>
      </w:r>
      <w:r>
        <w:rPr>
          <w:rFonts w:ascii="Times New Roman" w:hAnsi="Times New Roman" w:eastAsia="宋体" w:cs="Times New Roman"/>
          <w:color w:val="auto"/>
          <w:kern w:val="2"/>
          <w:szCs w:val="24"/>
        </w:rPr>
        <w:t>d</w:t>
      </w:r>
      <w:r>
        <w:rPr>
          <w:rFonts w:hint="eastAsia" w:ascii="宋体" w:hAnsi="宋体" w:eastAsia="宋体" w:cs="宋体"/>
          <w:color w:val="auto"/>
          <w:kern w:val="2"/>
          <w:szCs w:val="24"/>
        </w:rPr>
        <w:t>后，无超标情况。</w:t>
      </w:r>
    </w:p>
    <w:p>
      <w:pPr>
        <w:pStyle w:val="43"/>
        <w:widowControl w:val="0"/>
        <w:adjustRightInd w:val="0"/>
        <w:snapToGrid w:val="0"/>
        <w:spacing w:before="0" w:beforeAutospacing="0" w:after="0" w:afterAutospacing="0" w:line="360" w:lineRule="auto"/>
        <w:ind w:firstLine="496" w:firstLineChars="200"/>
        <w:jc w:val="both"/>
        <w:rPr>
          <w:rFonts w:ascii="宋体" w:hAnsi="宋体" w:eastAsia="宋体" w:cs="宋体"/>
          <w:color w:val="auto"/>
          <w:kern w:val="2"/>
          <w:szCs w:val="24"/>
        </w:rPr>
      </w:pPr>
      <w:r>
        <w:rPr>
          <w:rFonts w:hint="eastAsia" w:ascii="宋体" w:hAnsi="宋体" w:eastAsia="宋体" w:cs="宋体"/>
          <w:color w:val="auto"/>
          <w:kern w:val="2"/>
          <w:szCs w:val="24"/>
        </w:rPr>
        <w:t>泄露事故发生</w:t>
      </w:r>
      <w:r>
        <w:rPr>
          <w:rFonts w:hint="eastAsia" w:ascii="Times New Roman" w:hAnsi="Times New Roman" w:eastAsia="宋体" w:cs="Times New Roman"/>
          <w:color w:val="auto"/>
          <w:kern w:val="2"/>
          <w:szCs w:val="24"/>
        </w:rPr>
        <w:t>1d</w:t>
      </w:r>
      <w:r>
        <w:rPr>
          <w:rFonts w:hint="eastAsia" w:ascii="宋体" w:hAnsi="宋体" w:eastAsia="宋体" w:cs="宋体"/>
          <w:color w:val="auto"/>
          <w:kern w:val="2"/>
          <w:szCs w:val="24"/>
        </w:rPr>
        <w:t>后，氨氮在含水层下游超标距离约为</w:t>
      </w:r>
      <w:r>
        <w:rPr>
          <w:rFonts w:ascii="Times New Roman" w:hAnsi="Times New Roman" w:eastAsia="宋体" w:cs="Times New Roman"/>
          <w:color w:val="auto"/>
          <w:kern w:val="2"/>
          <w:szCs w:val="24"/>
        </w:rPr>
        <w:t>1.</w:t>
      </w:r>
      <w:r>
        <w:rPr>
          <w:rFonts w:hint="eastAsia" w:ascii="Times New Roman" w:hAnsi="Times New Roman" w:eastAsia="宋体" w:cs="Times New Roman"/>
          <w:color w:val="auto"/>
          <w:kern w:val="2"/>
          <w:szCs w:val="24"/>
        </w:rPr>
        <w:t>02</w:t>
      </w:r>
      <w:r>
        <w:rPr>
          <w:rFonts w:ascii="Times New Roman" w:hAnsi="Times New Roman" w:eastAsia="宋体" w:cs="Times New Roman"/>
          <w:color w:val="auto"/>
          <w:kern w:val="2"/>
          <w:szCs w:val="24"/>
        </w:rPr>
        <w:t>m</w:t>
      </w:r>
      <w:r>
        <w:rPr>
          <w:rFonts w:hint="eastAsia" w:ascii="宋体" w:hAnsi="宋体" w:eastAsia="宋体" w:cs="宋体"/>
          <w:color w:val="auto"/>
          <w:kern w:val="2"/>
          <w:szCs w:val="24"/>
        </w:rPr>
        <w:t>；</w:t>
      </w:r>
      <w:r>
        <w:rPr>
          <w:rFonts w:ascii="Times New Roman" w:hAnsi="Times New Roman" w:eastAsia="宋体" w:cs="Times New Roman"/>
          <w:color w:val="auto"/>
          <w:kern w:val="2"/>
          <w:szCs w:val="24"/>
        </w:rPr>
        <w:t>10d</w:t>
      </w:r>
      <w:r>
        <w:rPr>
          <w:rFonts w:hint="eastAsia" w:ascii="宋体" w:hAnsi="宋体" w:eastAsia="宋体" w:cs="宋体"/>
          <w:color w:val="auto"/>
          <w:kern w:val="2"/>
          <w:szCs w:val="24"/>
        </w:rPr>
        <w:t>，下游最大浓度0.094mg/L，未超标；</w:t>
      </w:r>
      <w:r>
        <w:rPr>
          <w:rFonts w:ascii="Times New Roman" w:hAnsi="Times New Roman" w:eastAsia="宋体" w:cs="Times New Roman"/>
          <w:color w:val="auto"/>
          <w:kern w:val="2"/>
          <w:szCs w:val="24"/>
        </w:rPr>
        <w:t>100d</w:t>
      </w:r>
      <w:r>
        <w:rPr>
          <w:rFonts w:hint="eastAsia" w:ascii="宋体" w:hAnsi="宋体" w:eastAsia="宋体" w:cs="宋体"/>
          <w:color w:val="auto"/>
          <w:kern w:val="2"/>
          <w:szCs w:val="24"/>
        </w:rPr>
        <w:t>后，下游最大浓度0.009mg/L，无超标情况；</w:t>
      </w:r>
      <w:r>
        <w:rPr>
          <w:rFonts w:ascii="Times New Roman" w:hAnsi="Times New Roman" w:eastAsia="宋体" w:cs="Times New Roman"/>
          <w:color w:val="auto"/>
          <w:kern w:val="2"/>
          <w:szCs w:val="24"/>
        </w:rPr>
        <w:t>100</w:t>
      </w:r>
      <w:r>
        <w:rPr>
          <w:rFonts w:hint="eastAsia" w:ascii="Times New Roman" w:hAnsi="Times New Roman" w:eastAsia="宋体" w:cs="Times New Roman"/>
          <w:color w:val="auto"/>
          <w:kern w:val="2"/>
          <w:szCs w:val="24"/>
        </w:rPr>
        <w:t>0</w:t>
      </w:r>
      <w:r>
        <w:rPr>
          <w:rFonts w:ascii="Times New Roman" w:hAnsi="Times New Roman" w:eastAsia="宋体" w:cs="Times New Roman"/>
          <w:color w:val="auto"/>
          <w:kern w:val="2"/>
          <w:szCs w:val="24"/>
        </w:rPr>
        <w:t>d</w:t>
      </w:r>
      <w:r>
        <w:rPr>
          <w:rFonts w:hint="eastAsia" w:ascii="宋体" w:hAnsi="宋体" w:eastAsia="宋体" w:cs="宋体"/>
          <w:color w:val="auto"/>
          <w:kern w:val="2"/>
          <w:szCs w:val="24"/>
        </w:rPr>
        <w:t>后，无超标情况。</w:t>
      </w:r>
    </w:p>
    <w:p>
      <w:pPr>
        <w:pStyle w:val="43"/>
        <w:widowControl w:val="0"/>
        <w:adjustRightInd w:val="0"/>
        <w:snapToGrid w:val="0"/>
        <w:spacing w:before="0" w:beforeAutospacing="0" w:after="0" w:afterAutospacing="0" w:line="360" w:lineRule="auto"/>
        <w:ind w:firstLine="496" w:firstLineChars="200"/>
        <w:jc w:val="both"/>
        <w:rPr>
          <w:rFonts w:ascii="Times New Roman" w:hAnsi="Times New Roman" w:eastAsia="宋体" w:cs="Times New Roman"/>
          <w:color w:val="auto"/>
          <w:kern w:val="2"/>
          <w:szCs w:val="24"/>
        </w:rPr>
      </w:pPr>
      <w:r>
        <w:rPr>
          <w:rFonts w:hint="eastAsia" w:ascii="宋体" w:hAnsi="宋体" w:eastAsia="宋体" w:cs="宋体"/>
          <w:color w:val="auto"/>
          <w:kern w:val="2"/>
          <w:szCs w:val="24"/>
        </w:rPr>
        <w:t>预测结果表明，若出现事故渗漏，只要及时采取有效的应急防渗措施，少量废水渗漏对区域地下水影响主要集中在项目厂界内。通过加强环境管理，防止跑冒滴漏，项目对周边地下水环境影响较小。</w:t>
      </w:r>
    </w:p>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5.2.3</w:t>
      </w:r>
      <w:r>
        <w:rPr>
          <w:rFonts w:ascii="Times New Roman" w:hAnsi="Times New Roman" w:eastAsia="宋体"/>
          <w:color w:val="auto"/>
        </w:rPr>
        <w:t>.4地下水环境影响分析小结</w:t>
      </w:r>
      <w:bookmarkEnd w:id="407"/>
      <w:bookmarkEnd w:id="408"/>
      <w:bookmarkEnd w:id="409"/>
    </w:p>
    <w:p>
      <w:pPr>
        <w:spacing w:line="360" w:lineRule="auto"/>
        <w:ind w:firstLine="496" w:firstLineChars="200"/>
        <w:rPr>
          <w:rFonts w:ascii="Times New Roman" w:eastAsia="宋体"/>
          <w:color w:val="auto"/>
          <w:szCs w:val="24"/>
        </w:rPr>
      </w:pPr>
      <w:r>
        <w:rPr>
          <w:rFonts w:ascii="Times New Roman" w:eastAsia="宋体"/>
          <w:color w:val="auto"/>
          <w:szCs w:val="24"/>
        </w:rPr>
        <w:t>本项目通过落实各项环境治理措施，对</w:t>
      </w:r>
      <w:r>
        <w:rPr>
          <w:rFonts w:hint="eastAsia" w:ascii="Times New Roman" w:eastAsia="宋体"/>
          <w:color w:val="auto"/>
          <w:szCs w:val="24"/>
        </w:rPr>
        <w:t>场区</w:t>
      </w:r>
      <w:r>
        <w:rPr>
          <w:rFonts w:ascii="Times New Roman" w:eastAsia="宋体"/>
          <w:color w:val="auto"/>
          <w:szCs w:val="24"/>
        </w:rPr>
        <w:t>废水收集、污水收集管道以及生产区、固废贮存场所等各设施进行防渗处理，同时建立和完善雨污水的收集、排放系统，加强生产管理，严格杜绝各种污水下渗对地下水造成的污染，项目的建设对周围地下水不会产生明显的影响。</w:t>
      </w:r>
    </w:p>
    <w:p>
      <w:pPr>
        <w:pStyle w:val="4"/>
        <w:spacing w:before="0" w:after="0" w:line="360" w:lineRule="auto"/>
        <w:rPr>
          <w:rFonts w:hint="eastAsia" w:ascii="Times New Roman" w:eastAsia="宋体"/>
          <w:b/>
          <w:bCs/>
          <w:color w:val="auto"/>
          <w:sz w:val="24"/>
        </w:rPr>
      </w:pPr>
      <w:bookmarkStart w:id="419" w:name="_Toc15142"/>
      <w:bookmarkStart w:id="420" w:name="_Toc20657"/>
      <w:bookmarkStart w:id="421" w:name="_Toc12509"/>
      <w:r>
        <w:rPr>
          <w:rFonts w:hint="eastAsia" w:ascii="Times New Roman" w:eastAsia="宋体"/>
          <w:b/>
          <w:bCs/>
          <w:color w:val="auto"/>
          <w:sz w:val="24"/>
        </w:rPr>
        <w:t>5.2.4声环境影响</w:t>
      </w:r>
      <w:bookmarkEnd w:id="419"/>
      <w:bookmarkEnd w:id="420"/>
      <w:r>
        <w:rPr>
          <w:rFonts w:hint="eastAsia" w:ascii="Times New Roman" w:eastAsia="宋体"/>
          <w:b/>
          <w:bCs/>
          <w:color w:val="auto"/>
          <w:sz w:val="24"/>
        </w:rPr>
        <w:t>分析</w:t>
      </w:r>
      <w:bookmarkEnd w:id="421"/>
    </w:p>
    <w:p>
      <w:pPr>
        <w:pStyle w:val="428"/>
        <w:ind w:firstLine="497"/>
        <w:rPr>
          <w:rFonts w:ascii="Times New Roman" w:eastAsia="宋体"/>
          <w:color w:val="auto"/>
        </w:rPr>
      </w:pPr>
      <w:bookmarkStart w:id="422" w:name="_Toc19469"/>
      <w:bookmarkStart w:id="423" w:name="_Toc9308"/>
      <w:r>
        <w:rPr>
          <w:rFonts w:ascii="Times New Roman" w:eastAsia="宋体"/>
          <w:color w:val="auto"/>
        </w:rPr>
        <w:t>项目厂界噪声评价标准按《工业企业厂界环境噪声排放标准》（GB 12348-2008）中2类标准限值执行，项目投产后的设备噪声对声学环境的影响评价范围控制在厂界和厂界外</w:t>
      </w:r>
      <w:r>
        <w:rPr>
          <w:rFonts w:hint="eastAsia" w:ascii="Times New Roman" w:eastAsia="宋体"/>
          <w:color w:val="auto"/>
        </w:rPr>
        <w:t>1</w:t>
      </w:r>
      <w:r>
        <w:rPr>
          <w:rFonts w:ascii="Times New Roman" w:eastAsia="宋体"/>
          <w:color w:val="auto"/>
        </w:rPr>
        <w:t>00m范围内进行。</w:t>
      </w:r>
    </w:p>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5.2.4</w:t>
      </w:r>
      <w:r>
        <w:rPr>
          <w:rFonts w:ascii="Times New Roman" w:hAnsi="Times New Roman" w:eastAsia="宋体"/>
          <w:color w:val="auto"/>
        </w:rPr>
        <w:t>.1噪声源</w:t>
      </w:r>
    </w:p>
    <w:p>
      <w:pPr>
        <w:pStyle w:val="428"/>
        <w:ind w:firstLine="497"/>
        <w:rPr>
          <w:rFonts w:ascii="Times New Roman" w:eastAsia="宋体"/>
          <w:color w:val="auto"/>
        </w:rPr>
      </w:pPr>
      <w:r>
        <w:rPr>
          <w:rFonts w:ascii="Times New Roman" w:eastAsia="宋体"/>
          <w:color w:val="auto"/>
        </w:rPr>
        <w:t>本项目主要噪声源为</w:t>
      </w:r>
      <w:r>
        <w:rPr>
          <w:rFonts w:hint="eastAsia" w:ascii="Times New Roman" w:eastAsia="宋体"/>
          <w:color w:val="auto"/>
        </w:rPr>
        <w:t>鸡</w:t>
      </w:r>
      <w:r>
        <w:rPr>
          <w:rFonts w:ascii="Times New Roman" w:eastAsia="宋体"/>
          <w:color w:val="auto"/>
        </w:rPr>
        <w:t>叫以及发电机、水泵、风机等各类设备噪声源，噪声声级范围70~95dB（A）。项目对噪声控制主要是在保证工艺生产的同时尽量选用低噪声设备，设备采取基础减振，在传播途径上采用厂房隔声等措施，可降噪20dB（A）左右</w:t>
      </w:r>
      <w:r>
        <w:rPr>
          <w:rFonts w:hint="eastAsia" w:ascii="Times New Roman" w:eastAsia="宋体"/>
          <w:color w:val="auto"/>
        </w:rPr>
        <w:t>。</w:t>
      </w:r>
    </w:p>
    <w:p>
      <w:pPr>
        <w:pStyle w:val="5"/>
        <w:numPr>
          <w:ilvl w:val="0"/>
          <w:numId w:val="0"/>
        </w:numPr>
        <w:tabs>
          <w:tab w:val="clear" w:pos="864"/>
        </w:tabs>
        <w:spacing w:before="0" w:after="0" w:line="360" w:lineRule="auto"/>
        <w:rPr>
          <w:rFonts w:ascii="Times New Roman" w:hAnsi="Times New Roman" w:eastAsia="宋体"/>
          <w:color w:val="auto"/>
        </w:rPr>
      </w:pPr>
      <w:bookmarkStart w:id="424" w:name="_Toc329264018"/>
      <w:r>
        <w:rPr>
          <w:rFonts w:hint="eastAsia" w:ascii="Times New Roman" w:hAnsi="Times New Roman" w:eastAsia="宋体"/>
          <w:color w:val="auto"/>
        </w:rPr>
        <w:t>5.2.</w:t>
      </w:r>
      <w:r>
        <w:rPr>
          <w:rFonts w:ascii="Times New Roman" w:hAnsi="Times New Roman" w:eastAsia="宋体"/>
          <w:color w:val="auto"/>
        </w:rPr>
        <w:t>4.2预测模式</w:t>
      </w:r>
      <w:bookmarkEnd w:id="424"/>
      <w:r>
        <w:rPr>
          <w:rFonts w:ascii="Times New Roman" w:hAnsi="Times New Roman" w:eastAsia="宋体"/>
          <w:color w:val="auto"/>
        </w:rPr>
        <w:t>的选取</w:t>
      </w:r>
    </w:p>
    <w:p>
      <w:pPr>
        <w:spacing w:line="360" w:lineRule="auto"/>
        <w:ind w:firstLine="496" w:firstLineChars="200"/>
        <w:rPr>
          <w:rFonts w:ascii="Times New Roman" w:eastAsia="宋体"/>
          <w:color w:val="auto"/>
        </w:rPr>
      </w:pPr>
      <w:r>
        <w:rPr>
          <w:rFonts w:ascii="Times New Roman" w:eastAsia="宋体"/>
          <w:color w:val="auto"/>
        </w:rPr>
        <w:t>根据项目建设内容及《环境影响评价技术导则—声环境》（HJ2.4-2021）的要求，项目环评采用的模型为《环境影响评价技术导则声环境》(HJ2.4.2021)附录A（规范性附录）户外声传播的衰减和附录B（规范性附录）中“B.1工业噪声预测计算模型”。</w:t>
      </w:r>
    </w:p>
    <w:p>
      <w:pPr>
        <w:pStyle w:val="5"/>
        <w:numPr>
          <w:ilvl w:val="0"/>
          <w:numId w:val="0"/>
        </w:numPr>
        <w:tabs>
          <w:tab w:val="clear" w:pos="864"/>
        </w:tabs>
        <w:spacing w:before="0" w:after="0" w:line="360" w:lineRule="auto"/>
        <w:rPr>
          <w:rFonts w:ascii="Times New Roman" w:hAnsi="Times New Roman" w:eastAsia="宋体"/>
          <w:color w:val="auto"/>
        </w:rPr>
      </w:pPr>
      <w:bookmarkStart w:id="425" w:name="_Toc19479"/>
      <w:r>
        <w:rPr>
          <w:rFonts w:hint="eastAsia" w:ascii="Times New Roman" w:hAnsi="Times New Roman" w:eastAsia="宋体"/>
          <w:color w:val="auto"/>
        </w:rPr>
        <w:t>5.2.4</w:t>
      </w:r>
      <w:r>
        <w:rPr>
          <w:rFonts w:ascii="Times New Roman" w:hAnsi="Times New Roman" w:eastAsia="宋体"/>
          <w:color w:val="auto"/>
        </w:rPr>
        <w:t>.3噪声预测结果与评价</w:t>
      </w:r>
      <w:bookmarkEnd w:id="425"/>
    </w:p>
    <w:p>
      <w:pPr>
        <w:spacing w:line="360" w:lineRule="auto"/>
        <w:ind w:firstLine="482"/>
        <w:rPr>
          <w:rFonts w:ascii="Times New Roman" w:eastAsia="宋体"/>
          <w:color w:val="auto"/>
          <w:lang w:val="zh-CN"/>
        </w:rPr>
      </w:pPr>
      <w:bookmarkStart w:id="426" w:name="_Toc27544"/>
      <w:r>
        <w:rPr>
          <w:rFonts w:hint="eastAsia" w:ascii="Times New Roman" w:eastAsia="宋体"/>
          <w:color w:val="auto"/>
          <w:lang w:val="zh-CN"/>
        </w:rPr>
        <w:t>（</w:t>
      </w:r>
      <w:r>
        <w:rPr>
          <w:rFonts w:hint="eastAsia" w:ascii="Times New Roman" w:eastAsia="宋体"/>
          <w:color w:val="auto"/>
        </w:rPr>
        <w:t>1</w:t>
      </w:r>
      <w:r>
        <w:rPr>
          <w:rFonts w:hint="eastAsia" w:ascii="Times New Roman" w:eastAsia="宋体"/>
          <w:color w:val="auto"/>
          <w:lang w:val="zh-CN"/>
        </w:rPr>
        <w:t>）</w:t>
      </w:r>
      <w:r>
        <w:rPr>
          <w:rFonts w:ascii="Times New Roman" w:eastAsia="宋体"/>
          <w:color w:val="auto"/>
          <w:lang w:val="zh-CN"/>
        </w:rPr>
        <w:t>预测参数</w:t>
      </w:r>
      <w:bookmarkEnd w:id="426"/>
    </w:p>
    <w:p>
      <w:pPr>
        <w:spacing w:line="360" w:lineRule="auto"/>
        <w:ind w:firstLine="482"/>
        <w:rPr>
          <w:rFonts w:ascii="Times New Roman" w:eastAsia="宋体"/>
          <w:color w:val="auto"/>
          <w:lang w:val="zh-CN"/>
        </w:rPr>
      </w:pPr>
      <w:r>
        <w:rPr>
          <w:rFonts w:ascii="Times New Roman" w:eastAsia="宋体"/>
          <w:color w:val="auto"/>
          <w:lang w:val="zh-CN"/>
        </w:rPr>
        <w:t>①基础数据</w:t>
      </w:r>
    </w:p>
    <w:p>
      <w:pPr>
        <w:spacing w:line="360" w:lineRule="auto"/>
        <w:ind w:firstLine="496" w:firstLineChars="200"/>
        <w:rPr>
          <w:rFonts w:ascii="Times New Roman" w:eastAsia="宋体"/>
          <w:color w:val="auto"/>
        </w:rPr>
      </w:pPr>
      <w:r>
        <w:rPr>
          <w:rFonts w:ascii="Times New Roman" w:eastAsia="宋体"/>
          <w:color w:val="auto"/>
        </w:rPr>
        <w:t>项目噪声环境影响预测基础数据如下。</w:t>
      </w:r>
    </w:p>
    <w:p>
      <w:pPr>
        <w:spacing w:line="360" w:lineRule="auto"/>
        <w:ind w:firstLine="436" w:firstLineChars="200"/>
        <w:jc w:val="center"/>
        <w:rPr>
          <w:rFonts w:ascii="Times New Roman" w:eastAsia="宋体"/>
          <w:color w:val="auto"/>
          <w:sz w:val="21"/>
          <w:szCs w:val="16"/>
        </w:rPr>
      </w:pPr>
      <w:r>
        <w:rPr>
          <w:rFonts w:ascii="Times New Roman" w:eastAsia="宋体"/>
          <w:b/>
          <w:color w:val="auto"/>
          <w:sz w:val="21"/>
          <w:szCs w:val="16"/>
        </w:rPr>
        <w:t>表</w:t>
      </w:r>
      <w:r>
        <w:rPr>
          <w:rFonts w:hint="eastAsia" w:ascii="Times New Roman" w:eastAsia="宋体"/>
          <w:b/>
          <w:color w:val="auto"/>
          <w:sz w:val="21"/>
          <w:szCs w:val="16"/>
        </w:rPr>
        <w:t>5.2</w:t>
      </w:r>
      <w:r>
        <w:rPr>
          <w:rFonts w:ascii="Times New Roman" w:eastAsia="宋体"/>
          <w:b/>
          <w:color w:val="auto"/>
          <w:sz w:val="21"/>
          <w:szCs w:val="16"/>
        </w:rPr>
        <w:t>-</w:t>
      </w:r>
      <w:r>
        <w:rPr>
          <w:rFonts w:hint="eastAsia" w:ascii="Times New Roman" w:eastAsia="宋体"/>
          <w:b/>
          <w:color w:val="auto"/>
          <w:sz w:val="21"/>
          <w:szCs w:val="16"/>
        </w:rPr>
        <w:t>16</w:t>
      </w:r>
      <w:r>
        <w:rPr>
          <w:rFonts w:ascii="Times New Roman" w:eastAsia="宋体"/>
          <w:b/>
          <w:color w:val="auto"/>
          <w:sz w:val="21"/>
          <w:szCs w:val="16"/>
        </w:rPr>
        <w:t>项目噪声环境影响预测基础数据表</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2124"/>
        <w:gridCol w:w="2132"/>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236" w:type="dxa"/>
            <w:tcBorders>
              <w:top w:val="single" w:color="auto" w:sz="12" w:space="0"/>
              <w:left w:val="single" w:color="auto" w:sz="12"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序号</w:t>
            </w:r>
          </w:p>
        </w:tc>
        <w:tc>
          <w:tcPr>
            <w:tcW w:w="2236" w:type="dxa"/>
            <w:tcBorders>
              <w:top w:val="single" w:color="auto" w:sz="12"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名称</w:t>
            </w:r>
          </w:p>
        </w:tc>
        <w:tc>
          <w:tcPr>
            <w:tcW w:w="2237" w:type="dxa"/>
            <w:tcBorders>
              <w:top w:val="single" w:color="auto" w:sz="12"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单位</w:t>
            </w:r>
          </w:p>
        </w:tc>
        <w:tc>
          <w:tcPr>
            <w:tcW w:w="2237" w:type="dxa"/>
            <w:tcBorders>
              <w:top w:val="single" w:color="auto" w:sz="12" w:space="0"/>
              <w:left w:val="single" w:color="auto" w:sz="4" w:space="0"/>
              <w:bottom w:val="single" w:color="auto" w:sz="4" w:space="0"/>
              <w:right w:val="single" w:color="auto" w:sz="12"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236" w:type="dxa"/>
            <w:tcBorders>
              <w:top w:val="single" w:color="auto" w:sz="4" w:space="0"/>
              <w:left w:val="single" w:color="auto" w:sz="12"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w:t>
            </w:r>
          </w:p>
        </w:tc>
        <w:tc>
          <w:tcPr>
            <w:tcW w:w="223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年平均风速</w:t>
            </w:r>
          </w:p>
        </w:tc>
        <w:tc>
          <w:tcPr>
            <w:tcW w:w="223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m/s</w:t>
            </w:r>
          </w:p>
        </w:tc>
        <w:tc>
          <w:tcPr>
            <w:tcW w:w="2237" w:type="dxa"/>
            <w:tcBorders>
              <w:top w:val="single" w:color="auto" w:sz="4" w:space="0"/>
              <w:left w:val="single" w:color="auto" w:sz="4" w:space="0"/>
              <w:bottom w:val="single" w:color="auto" w:sz="4" w:space="0"/>
              <w:right w:val="single" w:color="auto" w:sz="12"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236" w:type="dxa"/>
            <w:tcBorders>
              <w:top w:val="single" w:color="auto" w:sz="4" w:space="0"/>
              <w:left w:val="single" w:color="auto" w:sz="12"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2</w:t>
            </w:r>
          </w:p>
        </w:tc>
        <w:tc>
          <w:tcPr>
            <w:tcW w:w="223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主导风向</w:t>
            </w:r>
          </w:p>
        </w:tc>
        <w:tc>
          <w:tcPr>
            <w:tcW w:w="223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2237" w:type="dxa"/>
            <w:tcBorders>
              <w:top w:val="single" w:color="auto" w:sz="4" w:space="0"/>
              <w:left w:val="single" w:color="auto" w:sz="4" w:space="0"/>
              <w:bottom w:val="single" w:color="auto" w:sz="4" w:space="0"/>
              <w:right w:val="single" w:color="auto" w:sz="12"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东北风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236" w:type="dxa"/>
            <w:tcBorders>
              <w:top w:val="single" w:color="auto" w:sz="4" w:space="0"/>
              <w:left w:val="single" w:color="auto" w:sz="12"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3</w:t>
            </w:r>
          </w:p>
        </w:tc>
        <w:tc>
          <w:tcPr>
            <w:tcW w:w="223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年平均气温</w:t>
            </w:r>
          </w:p>
        </w:tc>
        <w:tc>
          <w:tcPr>
            <w:tcW w:w="223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2237" w:type="dxa"/>
            <w:tcBorders>
              <w:top w:val="single" w:color="auto" w:sz="4" w:space="0"/>
              <w:left w:val="single" w:color="auto" w:sz="4" w:space="0"/>
              <w:bottom w:val="single" w:color="auto" w:sz="4" w:space="0"/>
              <w:right w:val="single" w:color="auto" w:sz="12"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236" w:type="dxa"/>
            <w:tcBorders>
              <w:top w:val="single" w:color="auto" w:sz="4" w:space="0"/>
              <w:left w:val="single" w:color="auto" w:sz="12"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4</w:t>
            </w:r>
          </w:p>
        </w:tc>
        <w:tc>
          <w:tcPr>
            <w:tcW w:w="223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年平均相对湿度</w:t>
            </w:r>
          </w:p>
        </w:tc>
        <w:tc>
          <w:tcPr>
            <w:tcW w:w="223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w:t>
            </w:r>
          </w:p>
        </w:tc>
        <w:tc>
          <w:tcPr>
            <w:tcW w:w="2237" w:type="dxa"/>
            <w:tcBorders>
              <w:top w:val="single" w:color="auto" w:sz="4" w:space="0"/>
              <w:left w:val="single" w:color="auto" w:sz="4" w:space="0"/>
              <w:bottom w:val="single" w:color="auto" w:sz="4" w:space="0"/>
              <w:right w:val="single" w:color="auto" w:sz="12"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236" w:type="dxa"/>
            <w:tcBorders>
              <w:top w:val="single" w:color="auto" w:sz="4" w:space="0"/>
              <w:left w:val="single" w:color="auto" w:sz="12" w:space="0"/>
              <w:bottom w:val="single" w:color="auto" w:sz="12"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5</w:t>
            </w:r>
          </w:p>
        </w:tc>
        <w:tc>
          <w:tcPr>
            <w:tcW w:w="2236" w:type="dxa"/>
            <w:tcBorders>
              <w:top w:val="single" w:color="auto" w:sz="4" w:space="0"/>
              <w:left w:val="single" w:color="auto" w:sz="4" w:space="0"/>
              <w:bottom w:val="single" w:color="auto" w:sz="12"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大气压强</w:t>
            </w:r>
          </w:p>
        </w:tc>
        <w:tc>
          <w:tcPr>
            <w:tcW w:w="2237" w:type="dxa"/>
            <w:tcBorders>
              <w:top w:val="single" w:color="auto" w:sz="4" w:space="0"/>
              <w:left w:val="single" w:color="auto" w:sz="4" w:space="0"/>
              <w:bottom w:val="single" w:color="auto" w:sz="12" w:space="0"/>
              <w:right w:val="single" w:color="auto" w:sz="4"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atm</w:t>
            </w:r>
          </w:p>
        </w:tc>
        <w:tc>
          <w:tcPr>
            <w:tcW w:w="2237" w:type="dxa"/>
            <w:tcBorders>
              <w:top w:val="single" w:color="auto" w:sz="4" w:space="0"/>
              <w:left w:val="single" w:color="auto" w:sz="4" w:space="0"/>
              <w:bottom w:val="single" w:color="auto" w:sz="12" w:space="0"/>
              <w:right w:val="single" w:color="auto" w:sz="12" w:space="0"/>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w:t>
            </w:r>
          </w:p>
        </w:tc>
      </w:tr>
    </w:tbl>
    <w:p>
      <w:pPr>
        <w:spacing w:line="360" w:lineRule="auto"/>
        <w:ind w:firstLine="482"/>
        <w:rPr>
          <w:rFonts w:ascii="Times New Roman" w:eastAsia="宋体"/>
          <w:color w:val="auto"/>
          <w:lang w:val="zh-CN"/>
        </w:rPr>
      </w:pPr>
      <w:r>
        <w:rPr>
          <w:rFonts w:ascii="Times New Roman" w:eastAsia="宋体"/>
          <w:color w:val="auto"/>
          <w:lang w:val="zh-CN"/>
        </w:rPr>
        <w:t>②噪声源强</w:t>
      </w:r>
    </w:p>
    <w:p>
      <w:pPr>
        <w:spacing w:line="360" w:lineRule="auto"/>
        <w:ind w:firstLine="496" w:firstLineChars="200"/>
        <w:rPr>
          <w:rFonts w:ascii="Times New Roman" w:eastAsia="宋体"/>
          <w:color w:val="auto"/>
        </w:rPr>
      </w:pPr>
      <w:r>
        <w:rPr>
          <w:rFonts w:ascii="Times New Roman" w:eastAsia="宋体"/>
          <w:color w:val="auto"/>
        </w:rPr>
        <w:t>本项目噪声主要来自</w:t>
      </w:r>
      <w:r>
        <w:rPr>
          <w:rFonts w:hint="eastAsia" w:ascii="Times New Roman" w:eastAsia="宋体"/>
          <w:color w:val="auto"/>
        </w:rPr>
        <w:t>鸡</w:t>
      </w:r>
      <w:r>
        <w:rPr>
          <w:rFonts w:ascii="Times New Roman" w:eastAsia="宋体"/>
          <w:color w:val="auto"/>
        </w:rPr>
        <w:t>舍的</w:t>
      </w:r>
      <w:r>
        <w:rPr>
          <w:rFonts w:hint="eastAsia" w:ascii="Times New Roman" w:eastAsia="宋体"/>
          <w:color w:val="auto"/>
        </w:rPr>
        <w:t>鸡</w:t>
      </w:r>
      <w:r>
        <w:rPr>
          <w:rFonts w:ascii="Times New Roman" w:eastAsia="宋体"/>
          <w:color w:val="auto"/>
        </w:rPr>
        <w:t>叫声、</w:t>
      </w:r>
      <w:r>
        <w:rPr>
          <w:rFonts w:hint="eastAsia" w:ascii="Times New Roman" w:eastAsia="宋体"/>
          <w:color w:val="auto"/>
        </w:rPr>
        <w:t>鸡</w:t>
      </w:r>
      <w:r>
        <w:rPr>
          <w:rFonts w:ascii="Times New Roman" w:eastAsia="宋体"/>
          <w:color w:val="auto"/>
        </w:rPr>
        <w:t>舍排气扇、水泵等设备噪声，主要噪声源的排放情况如下。</w:t>
      </w:r>
    </w:p>
    <w:p>
      <w:pPr>
        <w:pStyle w:val="421"/>
        <w:snapToGrid w:val="0"/>
        <w:ind w:firstLine="497"/>
        <w:rPr>
          <w:color w:val="auto"/>
        </w:rPr>
      </w:pPr>
      <w:r>
        <w:rPr>
          <w:color w:val="auto"/>
          <w:sz w:val="24"/>
        </w:rPr>
        <w:t>根据本项目主要噪声源设备类型及分布特点，拟对项目主要噪声源设备进行等效，划分为以下等效点声源，等效点声源声功率等于声源组内各声源声功率的和，项目等效点声源划定情况见</w:t>
      </w:r>
      <w:r>
        <w:rPr>
          <w:rFonts w:hint="eastAsia"/>
          <w:color w:val="auto"/>
          <w:sz w:val="24"/>
        </w:rPr>
        <w:t>下</w:t>
      </w:r>
      <w:r>
        <w:rPr>
          <w:color w:val="auto"/>
          <w:sz w:val="24"/>
        </w:rPr>
        <w:t>表。</w:t>
      </w:r>
    </w:p>
    <w:p>
      <w:pPr>
        <w:pStyle w:val="434"/>
        <w:spacing w:line="360" w:lineRule="auto"/>
        <w:rPr>
          <w:color w:val="auto"/>
        </w:rPr>
      </w:pPr>
      <w:r>
        <w:rPr>
          <w:color w:val="auto"/>
        </w:rPr>
        <w:t>表</w:t>
      </w:r>
      <w:r>
        <w:rPr>
          <w:rFonts w:hint="eastAsia"/>
          <w:color w:val="auto"/>
        </w:rPr>
        <w:t>5.2-7</w:t>
      </w:r>
      <w:r>
        <w:rPr>
          <w:color w:val="auto"/>
        </w:rPr>
        <w:t>项目主要噪声源等效情况一览表</w:t>
      </w:r>
    </w:p>
    <w:tbl>
      <w:tblPr>
        <w:tblStyle w:val="47"/>
        <w:tblW w:w="4998"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autofit"/>
        <w:tblCellMar>
          <w:top w:w="0" w:type="dxa"/>
          <w:left w:w="108" w:type="dxa"/>
          <w:bottom w:w="0" w:type="dxa"/>
          <w:right w:w="108" w:type="dxa"/>
        </w:tblCellMar>
      </w:tblPr>
      <w:tblGrid>
        <w:gridCol w:w="582"/>
        <w:gridCol w:w="1888"/>
        <w:gridCol w:w="1865"/>
        <w:gridCol w:w="951"/>
        <w:gridCol w:w="1392"/>
        <w:gridCol w:w="917"/>
        <w:gridCol w:w="911"/>
        <w:gridCol w:w="7"/>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tcBorders>
              <w:tl2br w:val="nil"/>
              <w:tr2bl w:val="nil"/>
            </w:tcBorders>
            <w:vAlign w:val="center"/>
          </w:tcPr>
          <w:p>
            <w:pPr>
              <w:widowControl/>
              <w:snapToGrid w:val="0"/>
              <w:jc w:val="center"/>
              <w:textAlignment w:val="center"/>
              <w:rPr>
                <w:rFonts w:ascii="Times New Roman" w:eastAsia="宋体"/>
                <w:b/>
                <w:bCs/>
                <w:color w:val="auto"/>
                <w:sz w:val="21"/>
                <w:szCs w:val="21"/>
              </w:rPr>
            </w:pPr>
            <w:r>
              <w:rPr>
                <w:rFonts w:ascii="Times New Roman" w:eastAsia="宋体"/>
                <w:b/>
                <w:bCs/>
                <w:color w:val="auto"/>
                <w:sz w:val="21"/>
                <w:szCs w:val="21"/>
              </w:rPr>
              <w:t>序号</w:t>
            </w:r>
          </w:p>
        </w:tc>
        <w:tc>
          <w:tcPr>
            <w:tcW w:w="1108" w:type="pct"/>
            <w:tcBorders>
              <w:tl2br w:val="nil"/>
              <w:tr2bl w:val="nil"/>
            </w:tcBorders>
            <w:vAlign w:val="center"/>
          </w:tcPr>
          <w:p>
            <w:pPr>
              <w:widowControl/>
              <w:snapToGrid w:val="0"/>
              <w:jc w:val="center"/>
              <w:textAlignment w:val="center"/>
              <w:rPr>
                <w:rFonts w:ascii="Times New Roman" w:eastAsia="宋体"/>
                <w:b/>
                <w:bCs/>
                <w:color w:val="auto"/>
                <w:sz w:val="21"/>
                <w:szCs w:val="21"/>
              </w:rPr>
            </w:pPr>
            <w:r>
              <w:rPr>
                <w:rFonts w:ascii="Times New Roman" w:eastAsia="宋体"/>
                <w:b/>
                <w:bCs/>
                <w:color w:val="auto"/>
                <w:sz w:val="21"/>
                <w:szCs w:val="21"/>
              </w:rPr>
              <w:t>等效声源名称</w:t>
            </w:r>
          </w:p>
        </w:tc>
        <w:tc>
          <w:tcPr>
            <w:tcW w:w="1095" w:type="pct"/>
            <w:tcBorders>
              <w:tl2br w:val="nil"/>
              <w:tr2bl w:val="nil"/>
            </w:tcBorders>
            <w:vAlign w:val="center"/>
          </w:tcPr>
          <w:p>
            <w:pPr>
              <w:widowControl/>
              <w:snapToGrid w:val="0"/>
              <w:jc w:val="center"/>
              <w:textAlignment w:val="center"/>
              <w:rPr>
                <w:rFonts w:ascii="Times New Roman" w:eastAsia="宋体"/>
                <w:b/>
                <w:bCs/>
                <w:color w:val="auto"/>
                <w:sz w:val="21"/>
                <w:szCs w:val="21"/>
              </w:rPr>
            </w:pPr>
            <w:r>
              <w:rPr>
                <w:rFonts w:ascii="Times New Roman" w:eastAsia="宋体"/>
                <w:b/>
                <w:bCs/>
                <w:color w:val="auto"/>
                <w:sz w:val="21"/>
                <w:szCs w:val="21"/>
              </w:rPr>
              <w:t>设备名称</w:t>
            </w:r>
          </w:p>
        </w:tc>
        <w:tc>
          <w:tcPr>
            <w:tcW w:w="558" w:type="pct"/>
            <w:tcBorders>
              <w:tl2br w:val="nil"/>
              <w:tr2bl w:val="nil"/>
            </w:tcBorders>
            <w:vAlign w:val="center"/>
          </w:tcPr>
          <w:p>
            <w:pPr>
              <w:widowControl/>
              <w:snapToGrid w:val="0"/>
              <w:jc w:val="center"/>
              <w:textAlignment w:val="center"/>
              <w:rPr>
                <w:rFonts w:ascii="Times New Roman" w:eastAsia="宋体"/>
                <w:b/>
                <w:bCs/>
                <w:color w:val="auto"/>
                <w:sz w:val="21"/>
                <w:szCs w:val="21"/>
              </w:rPr>
            </w:pPr>
            <w:r>
              <w:rPr>
                <w:rFonts w:ascii="Times New Roman" w:eastAsia="宋体"/>
                <w:b/>
                <w:bCs/>
                <w:color w:val="auto"/>
                <w:sz w:val="21"/>
                <w:szCs w:val="21"/>
              </w:rPr>
              <w:t>设备数量</w:t>
            </w:r>
          </w:p>
        </w:tc>
        <w:tc>
          <w:tcPr>
            <w:tcW w:w="817" w:type="pct"/>
            <w:tcBorders>
              <w:tl2br w:val="nil"/>
              <w:tr2bl w:val="nil"/>
            </w:tcBorders>
            <w:vAlign w:val="center"/>
          </w:tcPr>
          <w:p>
            <w:pPr>
              <w:widowControl/>
              <w:snapToGrid w:val="0"/>
              <w:jc w:val="center"/>
              <w:textAlignment w:val="center"/>
              <w:rPr>
                <w:rFonts w:ascii="Times New Roman" w:eastAsia="宋体"/>
                <w:b/>
                <w:bCs/>
                <w:color w:val="auto"/>
                <w:sz w:val="21"/>
                <w:szCs w:val="21"/>
              </w:rPr>
            </w:pPr>
            <w:r>
              <w:rPr>
                <w:rFonts w:ascii="Times New Roman" w:eastAsia="宋体"/>
                <w:b/>
                <w:bCs/>
                <w:color w:val="auto"/>
                <w:sz w:val="21"/>
                <w:szCs w:val="21"/>
              </w:rPr>
              <w:t>单台设备噪声源强</w:t>
            </w:r>
          </w:p>
        </w:tc>
        <w:tc>
          <w:tcPr>
            <w:tcW w:w="537" w:type="pct"/>
            <w:tcBorders>
              <w:tl2br w:val="nil"/>
              <w:tr2bl w:val="nil"/>
            </w:tcBorders>
            <w:vAlign w:val="center"/>
          </w:tcPr>
          <w:p>
            <w:pPr>
              <w:widowControl/>
              <w:snapToGrid w:val="0"/>
              <w:jc w:val="center"/>
              <w:textAlignment w:val="center"/>
              <w:rPr>
                <w:rFonts w:ascii="Times New Roman" w:eastAsia="宋体"/>
                <w:b/>
                <w:bCs/>
                <w:color w:val="auto"/>
                <w:sz w:val="21"/>
                <w:szCs w:val="21"/>
              </w:rPr>
            </w:pPr>
            <w:r>
              <w:rPr>
                <w:rFonts w:hint="eastAsia" w:ascii="Times New Roman" w:eastAsia="宋体"/>
                <w:b/>
                <w:bCs/>
                <w:color w:val="auto"/>
                <w:sz w:val="21"/>
                <w:szCs w:val="21"/>
              </w:rPr>
              <w:t>等效声源源强</w:t>
            </w:r>
          </w:p>
        </w:tc>
        <w:tc>
          <w:tcPr>
            <w:tcW w:w="538" w:type="pct"/>
            <w:gridSpan w:val="2"/>
            <w:tcBorders>
              <w:tl2br w:val="nil"/>
              <w:tr2bl w:val="nil"/>
            </w:tcBorders>
            <w:vAlign w:val="center"/>
          </w:tcPr>
          <w:p>
            <w:pPr>
              <w:widowControl/>
              <w:snapToGrid w:val="0"/>
              <w:jc w:val="center"/>
              <w:textAlignment w:val="center"/>
              <w:rPr>
                <w:rFonts w:ascii="Times New Roman" w:eastAsia="宋体"/>
                <w:b/>
                <w:bCs/>
                <w:color w:val="auto"/>
                <w:sz w:val="21"/>
                <w:szCs w:val="21"/>
              </w:rPr>
            </w:pPr>
            <w:r>
              <w:rPr>
                <w:rFonts w:ascii="Times New Roman" w:eastAsia="宋体"/>
                <w:b/>
                <w:bCs/>
                <w:color w:val="auto"/>
                <w:sz w:val="21"/>
                <w:szCs w:val="21"/>
              </w:rPr>
              <w:t>声源类别</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1</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鸡舍1</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8" w:type="pct"/>
            <w:gridSpan w:val="2"/>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8" w:type="pct"/>
            <w:gridSpan w:val="2"/>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鸡舍2</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7" w:type="pct"/>
            <w:gridSpan w:val="2"/>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7" w:type="pct"/>
            <w:gridSpan w:val="2"/>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3</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鸡舍3</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7" w:type="pct"/>
            <w:gridSpan w:val="2"/>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7" w:type="pct"/>
            <w:gridSpan w:val="2"/>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2" w:type="pct"/>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鸡舍4</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5"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2" w:type="pct"/>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5"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5</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鸡舍5</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8" w:type="pct"/>
            <w:gridSpan w:val="2"/>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8" w:type="pct"/>
            <w:gridSpan w:val="2"/>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6</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鸡舍6</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7" w:type="pct"/>
            <w:gridSpan w:val="2"/>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7" w:type="pct"/>
            <w:gridSpan w:val="2"/>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鸡舍7</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7" w:type="pct"/>
            <w:gridSpan w:val="2"/>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7" w:type="pct"/>
            <w:gridSpan w:val="2"/>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2" w:type="pct"/>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w:t>
            </w:r>
          </w:p>
        </w:tc>
        <w:tc>
          <w:tcPr>
            <w:tcW w:w="110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鸡舍8</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5"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2" w:type="pct"/>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8"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7"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5"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w:t>
            </w:r>
          </w:p>
        </w:tc>
        <w:tc>
          <w:tcPr>
            <w:tcW w:w="110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鸡舍9</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7" w:type="pct"/>
            <w:gridSpan w:val="2"/>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7"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8"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7" w:type="pct"/>
            <w:gridSpan w:val="2"/>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2" w:type="pct"/>
          <w:trHeight w:val="90" w:hRule="atLeast"/>
          <w:jc w:val="center"/>
        </w:trPr>
        <w:tc>
          <w:tcPr>
            <w:tcW w:w="342"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10</w:t>
            </w:r>
          </w:p>
        </w:tc>
        <w:tc>
          <w:tcPr>
            <w:tcW w:w="1107"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鸡舍10</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鸡叫声</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70</w:t>
            </w:r>
          </w:p>
        </w:tc>
        <w:tc>
          <w:tcPr>
            <w:tcW w:w="538"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86.12</w:t>
            </w:r>
          </w:p>
        </w:tc>
        <w:tc>
          <w:tcPr>
            <w:tcW w:w="535" w:type="pct"/>
            <w:vMerge w:val="restar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2" w:type="pct"/>
          <w:trHeight w:val="90" w:hRule="atLeast"/>
          <w:jc w:val="center"/>
        </w:trPr>
        <w:tc>
          <w:tcPr>
            <w:tcW w:w="342"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1107" w:type="pct"/>
            <w:vMerge w:val="continue"/>
            <w:tcBorders>
              <w:tl2br w:val="nil"/>
              <w:tr2bl w:val="nil"/>
            </w:tcBorders>
            <w:vAlign w:val="center"/>
          </w:tcPr>
          <w:p>
            <w:pPr>
              <w:widowControl/>
              <w:snapToGrid w:val="0"/>
              <w:jc w:val="center"/>
              <w:textAlignment w:val="center"/>
              <w:rPr>
                <w:rFonts w:ascii="Times New Roman"/>
                <w:color w:val="auto"/>
                <w:sz w:val="21"/>
                <w:szCs w:val="21"/>
              </w:rPr>
            </w:pPr>
          </w:p>
        </w:tc>
        <w:tc>
          <w:tcPr>
            <w:tcW w:w="1095" w:type="pct"/>
            <w:tcBorders>
              <w:top w:val="single" w:color="auto" w:sz="4" w:space="0"/>
              <w:tl2br w:val="nil"/>
              <w:tr2bl w:val="nil"/>
            </w:tcBorders>
            <w:vAlign w:val="center"/>
          </w:tcPr>
          <w:p>
            <w:pPr>
              <w:pStyle w:val="21"/>
              <w:overflowPunct/>
              <w:spacing w:line="240" w:lineRule="auto"/>
              <w:rPr>
                <w:rFonts w:ascii="Times New Roman"/>
                <w:color w:val="auto"/>
                <w:sz w:val="21"/>
                <w:szCs w:val="21"/>
              </w:rPr>
            </w:pPr>
            <w:r>
              <w:rPr>
                <w:rFonts w:hint="eastAsia" w:ascii="Times New Roman"/>
                <w:color w:val="auto"/>
                <w:sz w:val="21"/>
                <w:szCs w:val="21"/>
              </w:rPr>
              <w:t>鸡舍排风机</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4</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8"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c>
          <w:tcPr>
            <w:tcW w:w="535" w:type="pct"/>
            <w:vMerge w:val="continue"/>
            <w:tcBorders>
              <w:tl2br w:val="nil"/>
              <w:tr2bl w:val="nil"/>
            </w:tcBorders>
            <w:vAlign w:val="center"/>
          </w:tcPr>
          <w:p>
            <w:pPr>
              <w:widowControl/>
              <w:snapToGrid w:val="0"/>
              <w:jc w:val="center"/>
              <w:textAlignment w:val="center"/>
              <w:rPr>
                <w:rFonts w:ascii="Times New Roman" w:eastAsia="宋体"/>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4" w:type="pct"/>
          <w:trHeight w:val="90" w:hRule="atLeast"/>
          <w:jc w:val="center"/>
        </w:trPr>
        <w:tc>
          <w:tcPr>
            <w:tcW w:w="342"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11</w:t>
            </w:r>
          </w:p>
        </w:tc>
        <w:tc>
          <w:tcPr>
            <w:tcW w:w="110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锅炉房</w:t>
            </w:r>
            <w:r>
              <w:rPr>
                <w:rFonts w:ascii="Times New Roman" w:eastAsia="宋体"/>
                <w:color w:val="auto"/>
                <w:sz w:val="21"/>
                <w:szCs w:val="21"/>
              </w:rPr>
              <w:t>等效点声源</w:t>
            </w:r>
          </w:p>
        </w:tc>
        <w:tc>
          <w:tcPr>
            <w:tcW w:w="1095"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引风机、送风机</w:t>
            </w:r>
          </w:p>
        </w:tc>
        <w:tc>
          <w:tcPr>
            <w:tcW w:w="558"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2</w:t>
            </w:r>
          </w:p>
        </w:tc>
        <w:tc>
          <w:tcPr>
            <w:tcW w:w="817"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93.01</w:t>
            </w:r>
          </w:p>
        </w:tc>
        <w:tc>
          <w:tcPr>
            <w:tcW w:w="534"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室内声源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4" w:type="pct"/>
          <w:trHeight w:val="234" w:hRule="atLeast"/>
          <w:jc w:val="center"/>
        </w:trPr>
        <w:tc>
          <w:tcPr>
            <w:tcW w:w="342" w:type="pct"/>
            <w:vMerge w:val="restart"/>
            <w:tcBorders>
              <w:top w:val="single" w:color="auto" w:sz="4" w:space="0"/>
              <w:tl2br w:val="nil"/>
              <w:tr2bl w:val="nil"/>
            </w:tcBorders>
            <w:vAlign w:val="center"/>
          </w:tcPr>
          <w:p>
            <w:pPr>
              <w:widowControl/>
              <w:snapToGrid w:val="0"/>
              <w:jc w:val="center"/>
              <w:rPr>
                <w:rFonts w:ascii="Times New Roman" w:eastAsia="宋体"/>
                <w:color w:val="auto"/>
                <w:sz w:val="21"/>
                <w:szCs w:val="21"/>
              </w:rPr>
            </w:pPr>
            <w:r>
              <w:rPr>
                <w:rFonts w:hint="eastAsia" w:ascii="Times New Roman" w:eastAsia="宋体"/>
                <w:color w:val="auto"/>
                <w:sz w:val="21"/>
                <w:szCs w:val="21"/>
              </w:rPr>
              <w:t>12</w:t>
            </w:r>
          </w:p>
        </w:tc>
        <w:tc>
          <w:tcPr>
            <w:tcW w:w="1107" w:type="pct"/>
            <w:vMerge w:val="restart"/>
            <w:tcBorders>
              <w:top w:val="single" w:color="auto" w:sz="4" w:space="0"/>
              <w:tl2br w:val="nil"/>
              <w:tr2bl w:val="nil"/>
            </w:tcBorders>
            <w:vAlign w:val="center"/>
          </w:tcPr>
          <w:p>
            <w:pPr>
              <w:widowControl/>
              <w:snapToGrid w:val="0"/>
              <w:jc w:val="center"/>
              <w:rPr>
                <w:rFonts w:ascii="Times New Roman" w:eastAsia="宋体"/>
                <w:color w:val="auto"/>
                <w:sz w:val="21"/>
                <w:szCs w:val="21"/>
              </w:rPr>
            </w:pPr>
            <w:r>
              <w:rPr>
                <w:rFonts w:hint="eastAsia" w:ascii="Times New Roman" w:eastAsia="宋体"/>
                <w:color w:val="auto"/>
                <w:sz w:val="21"/>
                <w:szCs w:val="21"/>
              </w:rPr>
              <w:t>泵区等效点声源</w:t>
            </w:r>
          </w:p>
        </w:tc>
        <w:tc>
          <w:tcPr>
            <w:tcW w:w="1095" w:type="pct"/>
            <w:tcBorders>
              <w:top w:val="single" w:color="auto" w:sz="4" w:space="0"/>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水泵</w:t>
            </w:r>
          </w:p>
        </w:tc>
        <w:tc>
          <w:tcPr>
            <w:tcW w:w="558" w:type="pct"/>
            <w:tcBorders>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w:t>
            </w:r>
          </w:p>
        </w:tc>
        <w:tc>
          <w:tcPr>
            <w:tcW w:w="817" w:type="pct"/>
            <w:tcBorders>
              <w:top w:val="single" w:color="auto" w:sz="4" w:space="0"/>
              <w:bottom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80</w:t>
            </w:r>
          </w:p>
        </w:tc>
        <w:tc>
          <w:tcPr>
            <w:tcW w:w="538" w:type="pct"/>
            <w:vMerge w:val="restart"/>
            <w:tcBorders>
              <w:top w:val="single" w:color="auto" w:sz="4" w:space="0"/>
              <w:tl2br w:val="nil"/>
              <w:tr2bl w:val="nil"/>
            </w:tcBorders>
            <w:vAlign w:val="center"/>
          </w:tcPr>
          <w:p>
            <w:pPr>
              <w:widowControl/>
              <w:snapToGrid w:val="0"/>
              <w:jc w:val="center"/>
              <w:rPr>
                <w:rFonts w:ascii="Times New Roman" w:eastAsia="宋体"/>
                <w:color w:val="auto"/>
                <w:sz w:val="21"/>
                <w:szCs w:val="21"/>
              </w:rPr>
            </w:pPr>
            <w:r>
              <w:rPr>
                <w:rFonts w:hint="eastAsia" w:ascii="Times New Roman" w:eastAsia="宋体"/>
                <w:color w:val="auto"/>
                <w:sz w:val="21"/>
                <w:szCs w:val="21"/>
              </w:rPr>
              <w:t>90.41</w:t>
            </w:r>
          </w:p>
        </w:tc>
        <w:tc>
          <w:tcPr>
            <w:tcW w:w="534" w:type="pct"/>
            <w:vMerge w:val="restart"/>
            <w:tcBorders>
              <w:top w:val="single" w:color="auto" w:sz="4" w:space="0"/>
              <w:tl2br w:val="nil"/>
              <w:tr2bl w:val="nil"/>
            </w:tcBorders>
            <w:vAlign w:val="center"/>
          </w:tcPr>
          <w:p>
            <w:pPr>
              <w:widowControl/>
              <w:snapToGrid w:val="0"/>
              <w:jc w:val="center"/>
              <w:rPr>
                <w:rFonts w:ascii="Times New Roman" w:eastAsia="宋体"/>
                <w:color w:val="auto"/>
                <w:sz w:val="21"/>
                <w:szCs w:val="21"/>
              </w:rPr>
            </w:pPr>
            <w:r>
              <w:rPr>
                <w:rFonts w:ascii="Times New Roman" w:eastAsia="宋体"/>
                <w:color w:val="auto"/>
                <w:sz w:val="21"/>
                <w:szCs w:val="21"/>
              </w:rPr>
              <w:t>室外声源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gridAfter w:val="1"/>
          <w:wAfter w:w="4" w:type="pct"/>
          <w:trHeight w:val="360" w:hRule="atLeast"/>
          <w:jc w:val="center"/>
        </w:trPr>
        <w:tc>
          <w:tcPr>
            <w:tcW w:w="342" w:type="pct"/>
            <w:vMerge w:val="continue"/>
            <w:tcBorders>
              <w:tl2br w:val="nil"/>
              <w:tr2bl w:val="nil"/>
            </w:tcBorders>
            <w:vAlign w:val="center"/>
          </w:tcPr>
          <w:p>
            <w:pPr>
              <w:widowControl/>
              <w:snapToGrid w:val="0"/>
              <w:jc w:val="center"/>
              <w:rPr>
                <w:rFonts w:ascii="Times New Roman" w:eastAsia="宋体"/>
                <w:color w:val="auto"/>
                <w:sz w:val="21"/>
                <w:szCs w:val="21"/>
              </w:rPr>
            </w:pPr>
          </w:p>
        </w:tc>
        <w:tc>
          <w:tcPr>
            <w:tcW w:w="1107" w:type="pct"/>
            <w:vMerge w:val="continue"/>
            <w:tcBorders>
              <w:tl2br w:val="nil"/>
              <w:tr2bl w:val="nil"/>
            </w:tcBorders>
            <w:vAlign w:val="center"/>
          </w:tcPr>
          <w:p>
            <w:pPr>
              <w:widowControl/>
              <w:snapToGrid w:val="0"/>
              <w:jc w:val="center"/>
              <w:rPr>
                <w:rFonts w:ascii="Times New Roman" w:eastAsia="宋体"/>
                <w:color w:val="auto"/>
                <w:sz w:val="21"/>
                <w:szCs w:val="21"/>
              </w:rPr>
            </w:pPr>
          </w:p>
        </w:tc>
        <w:tc>
          <w:tcPr>
            <w:tcW w:w="1095"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排污泵</w:t>
            </w:r>
          </w:p>
        </w:tc>
        <w:tc>
          <w:tcPr>
            <w:tcW w:w="558"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1</w:t>
            </w:r>
          </w:p>
        </w:tc>
        <w:tc>
          <w:tcPr>
            <w:tcW w:w="817" w:type="pct"/>
            <w:tcBorders>
              <w:top w:val="single" w:color="auto" w:sz="4" w:space="0"/>
              <w:tl2br w:val="nil"/>
              <w:tr2bl w:val="nil"/>
            </w:tcBorders>
            <w:vAlign w:val="center"/>
          </w:tcPr>
          <w:p>
            <w:pPr>
              <w:widowControl/>
              <w:snapToGrid w:val="0"/>
              <w:jc w:val="center"/>
              <w:textAlignment w:val="center"/>
              <w:rPr>
                <w:rFonts w:ascii="Times New Roman" w:eastAsia="宋体"/>
                <w:color w:val="auto"/>
                <w:sz w:val="21"/>
                <w:szCs w:val="21"/>
              </w:rPr>
            </w:pPr>
            <w:r>
              <w:rPr>
                <w:rFonts w:hint="eastAsia" w:ascii="Times New Roman" w:eastAsia="宋体"/>
                <w:color w:val="auto"/>
                <w:sz w:val="21"/>
                <w:szCs w:val="21"/>
              </w:rPr>
              <w:t>90</w:t>
            </w:r>
          </w:p>
        </w:tc>
        <w:tc>
          <w:tcPr>
            <w:tcW w:w="538" w:type="pct"/>
            <w:vMerge w:val="continue"/>
            <w:tcBorders>
              <w:tl2br w:val="nil"/>
              <w:tr2bl w:val="nil"/>
            </w:tcBorders>
            <w:vAlign w:val="center"/>
          </w:tcPr>
          <w:p>
            <w:pPr>
              <w:widowControl/>
              <w:snapToGrid w:val="0"/>
              <w:jc w:val="center"/>
              <w:rPr>
                <w:rFonts w:ascii="Times New Roman" w:eastAsia="宋体"/>
                <w:color w:val="auto"/>
                <w:sz w:val="21"/>
                <w:szCs w:val="21"/>
              </w:rPr>
            </w:pPr>
          </w:p>
        </w:tc>
        <w:tc>
          <w:tcPr>
            <w:tcW w:w="534" w:type="pct"/>
            <w:vMerge w:val="continue"/>
            <w:tcBorders>
              <w:tl2br w:val="nil"/>
              <w:tr2bl w:val="nil"/>
            </w:tcBorders>
            <w:vAlign w:val="center"/>
          </w:tcPr>
          <w:p>
            <w:pPr>
              <w:widowControl/>
              <w:snapToGrid w:val="0"/>
              <w:jc w:val="center"/>
              <w:rPr>
                <w:rFonts w:ascii="Times New Roman" w:eastAsia="宋体"/>
                <w:color w:val="auto"/>
                <w:sz w:val="21"/>
                <w:szCs w:val="21"/>
              </w:rPr>
            </w:pPr>
          </w:p>
        </w:tc>
      </w:tr>
    </w:tbl>
    <w:p>
      <w:pPr>
        <w:pStyle w:val="421"/>
        <w:snapToGrid w:val="0"/>
        <w:ind w:firstLine="497"/>
        <w:rPr>
          <w:color w:val="auto"/>
          <w:sz w:val="24"/>
          <w:szCs w:val="24"/>
        </w:rPr>
      </w:pPr>
      <w:r>
        <w:rPr>
          <w:color w:val="auto"/>
          <w:sz w:val="24"/>
          <w:szCs w:val="24"/>
        </w:rPr>
        <w:t>项目产生噪声的等效噪声源源强调查清单见</w:t>
      </w:r>
      <w:r>
        <w:rPr>
          <w:rFonts w:hint="eastAsia"/>
          <w:color w:val="auto"/>
          <w:sz w:val="24"/>
          <w:szCs w:val="24"/>
        </w:rPr>
        <w:t>下表</w:t>
      </w:r>
      <w:r>
        <w:rPr>
          <w:color w:val="auto"/>
          <w:sz w:val="24"/>
          <w:szCs w:val="24"/>
        </w:rPr>
        <w:t>。</w:t>
      </w:r>
    </w:p>
    <w:p>
      <w:pPr>
        <w:pStyle w:val="434"/>
        <w:spacing w:line="360" w:lineRule="auto"/>
        <w:rPr>
          <w:color w:val="auto"/>
        </w:rPr>
      </w:pPr>
      <w:r>
        <w:rPr>
          <w:color w:val="auto"/>
        </w:rPr>
        <w:t>表</w:t>
      </w:r>
      <w:r>
        <w:rPr>
          <w:rFonts w:hint="eastAsia"/>
          <w:color w:val="auto"/>
        </w:rPr>
        <w:t>5.2-8</w:t>
      </w:r>
      <w:r>
        <w:rPr>
          <w:color w:val="auto"/>
        </w:rPr>
        <w:t>项目主要等效噪声源源强调查清单（室外声源）</w:t>
      </w:r>
    </w:p>
    <w:tbl>
      <w:tblPr>
        <w:tblStyle w:val="47"/>
        <w:tblW w:w="4997"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429"/>
        <w:gridCol w:w="1104"/>
        <w:gridCol w:w="434"/>
        <w:gridCol w:w="685"/>
        <w:gridCol w:w="685"/>
        <w:gridCol w:w="526"/>
        <w:gridCol w:w="1429"/>
        <w:gridCol w:w="998"/>
        <w:gridCol w:w="1266"/>
        <w:gridCol w:w="9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52"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b/>
                <w:color w:val="auto"/>
                <w:sz w:val="21"/>
                <w:szCs w:val="21"/>
              </w:rPr>
              <w:t>序号</w:t>
            </w:r>
          </w:p>
        </w:tc>
        <w:tc>
          <w:tcPr>
            <w:tcW w:w="648"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b/>
                <w:color w:val="auto"/>
                <w:sz w:val="21"/>
                <w:szCs w:val="21"/>
              </w:rPr>
              <w:t>声源名称</w:t>
            </w:r>
          </w:p>
        </w:tc>
        <w:tc>
          <w:tcPr>
            <w:tcW w:w="255"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b/>
                <w:color w:val="auto"/>
                <w:sz w:val="21"/>
                <w:szCs w:val="21"/>
              </w:rPr>
              <w:t>型号</w:t>
            </w:r>
          </w:p>
        </w:tc>
        <w:tc>
          <w:tcPr>
            <w:tcW w:w="1113" w:type="pct"/>
            <w:gridSpan w:val="3"/>
            <w:tcBorders>
              <w:tl2br w:val="nil"/>
              <w:tr2bl w:val="nil"/>
            </w:tcBorders>
            <w:vAlign w:val="center"/>
          </w:tcPr>
          <w:p>
            <w:pPr>
              <w:snapToGrid w:val="0"/>
              <w:jc w:val="center"/>
              <w:rPr>
                <w:rFonts w:ascii="Times New Roman" w:eastAsia="宋体"/>
                <w:color w:val="auto"/>
                <w:sz w:val="21"/>
                <w:szCs w:val="21"/>
              </w:rPr>
            </w:pPr>
            <w:r>
              <w:rPr>
                <w:rFonts w:ascii="Times New Roman" w:eastAsia="宋体"/>
                <w:b/>
                <w:color w:val="auto"/>
                <w:sz w:val="21"/>
                <w:szCs w:val="21"/>
              </w:rPr>
              <w:t>空间相对位置/m</w:t>
            </w:r>
          </w:p>
        </w:tc>
        <w:tc>
          <w:tcPr>
            <w:tcW w:w="1425" w:type="pct"/>
            <w:gridSpan w:val="2"/>
            <w:tcBorders>
              <w:tl2br w:val="nil"/>
              <w:tr2bl w:val="nil"/>
            </w:tcBorders>
            <w:vAlign w:val="center"/>
          </w:tcPr>
          <w:p>
            <w:pPr>
              <w:snapToGrid w:val="0"/>
              <w:jc w:val="center"/>
              <w:rPr>
                <w:rFonts w:ascii="Times New Roman" w:eastAsia="宋体"/>
                <w:color w:val="auto"/>
                <w:sz w:val="21"/>
                <w:szCs w:val="21"/>
              </w:rPr>
            </w:pPr>
            <w:r>
              <w:rPr>
                <w:rFonts w:ascii="Times New Roman" w:eastAsia="宋体"/>
                <w:b/>
                <w:color w:val="auto"/>
                <w:sz w:val="21"/>
                <w:szCs w:val="21"/>
              </w:rPr>
              <w:t>声源源强（任选一种）</w:t>
            </w:r>
          </w:p>
        </w:tc>
        <w:tc>
          <w:tcPr>
            <w:tcW w:w="743"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b/>
                <w:color w:val="auto"/>
                <w:sz w:val="21"/>
                <w:szCs w:val="21"/>
              </w:rPr>
              <w:t>声源控制措施</w:t>
            </w:r>
          </w:p>
        </w:tc>
        <w:tc>
          <w:tcPr>
            <w:tcW w:w="560" w:type="pct"/>
            <w:vMerge w:val="restart"/>
            <w:tcBorders>
              <w:tl2br w:val="nil"/>
              <w:tr2bl w:val="nil"/>
            </w:tcBorders>
            <w:vAlign w:val="center"/>
          </w:tcPr>
          <w:p>
            <w:pPr>
              <w:snapToGrid w:val="0"/>
              <w:jc w:val="center"/>
              <w:rPr>
                <w:rFonts w:ascii="Times New Roman" w:eastAsia="宋体"/>
                <w:color w:val="auto"/>
                <w:sz w:val="21"/>
                <w:szCs w:val="21"/>
              </w:rPr>
            </w:pPr>
            <w:r>
              <w:rPr>
                <w:rFonts w:ascii="Times New Roman" w:eastAsia="宋体"/>
                <w:b/>
                <w:color w:val="auto"/>
                <w:sz w:val="21"/>
                <w:szCs w:val="21"/>
              </w:rPr>
              <w:t>运行时段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52" w:type="pct"/>
            <w:vMerge w:val="continue"/>
            <w:tcBorders>
              <w:tl2br w:val="nil"/>
              <w:tr2bl w:val="nil"/>
            </w:tcBorders>
            <w:vAlign w:val="center"/>
          </w:tcPr>
          <w:p>
            <w:pPr>
              <w:snapToGrid w:val="0"/>
              <w:jc w:val="center"/>
              <w:rPr>
                <w:rFonts w:ascii="Times New Roman" w:eastAsia="宋体"/>
                <w:color w:val="auto"/>
                <w:sz w:val="21"/>
                <w:szCs w:val="21"/>
              </w:rPr>
            </w:pPr>
          </w:p>
        </w:tc>
        <w:tc>
          <w:tcPr>
            <w:tcW w:w="648" w:type="pct"/>
            <w:vMerge w:val="continue"/>
            <w:tcBorders>
              <w:tl2br w:val="nil"/>
              <w:tr2bl w:val="nil"/>
            </w:tcBorders>
            <w:vAlign w:val="center"/>
          </w:tcPr>
          <w:p>
            <w:pPr>
              <w:snapToGrid w:val="0"/>
              <w:jc w:val="center"/>
              <w:rPr>
                <w:rFonts w:ascii="Times New Roman" w:eastAsia="宋体"/>
                <w:color w:val="auto"/>
                <w:sz w:val="21"/>
                <w:szCs w:val="21"/>
              </w:rPr>
            </w:pPr>
          </w:p>
        </w:tc>
        <w:tc>
          <w:tcPr>
            <w:tcW w:w="255" w:type="pct"/>
            <w:vMerge w:val="continue"/>
            <w:tcBorders>
              <w:tl2br w:val="nil"/>
              <w:tr2bl w:val="nil"/>
            </w:tcBorders>
            <w:vAlign w:val="center"/>
          </w:tcPr>
          <w:p>
            <w:pPr>
              <w:snapToGrid w:val="0"/>
              <w:jc w:val="center"/>
              <w:rPr>
                <w:rFonts w:ascii="Times New Roman" w:eastAsia="宋体"/>
                <w:color w:val="auto"/>
                <w:sz w:val="21"/>
                <w:szCs w:val="21"/>
              </w:rPr>
            </w:pPr>
          </w:p>
        </w:tc>
        <w:tc>
          <w:tcPr>
            <w:tcW w:w="402"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X</w:t>
            </w:r>
          </w:p>
        </w:tc>
        <w:tc>
          <w:tcPr>
            <w:tcW w:w="402"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Y</w:t>
            </w:r>
          </w:p>
        </w:tc>
        <w:tc>
          <w:tcPr>
            <w:tcW w:w="309"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Z</w:t>
            </w:r>
          </w:p>
        </w:tc>
        <w:tc>
          <w:tcPr>
            <w:tcW w:w="839"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（声压级/距声源距离）/（dB(A)/m）</w:t>
            </w:r>
          </w:p>
        </w:tc>
        <w:tc>
          <w:tcPr>
            <w:tcW w:w="585" w:type="pct"/>
            <w:tcBorders>
              <w:tl2br w:val="nil"/>
              <w:tr2bl w:val="nil"/>
            </w:tcBorders>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声功率级/dB(A)</w:t>
            </w:r>
          </w:p>
        </w:tc>
        <w:tc>
          <w:tcPr>
            <w:tcW w:w="743" w:type="pct"/>
            <w:vMerge w:val="continue"/>
            <w:tcBorders>
              <w:tl2br w:val="nil"/>
              <w:tr2bl w:val="nil"/>
            </w:tcBorders>
            <w:vAlign w:val="center"/>
          </w:tcPr>
          <w:p>
            <w:pPr>
              <w:snapToGrid w:val="0"/>
              <w:jc w:val="center"/>
              <w:rPr>
                <w:rFonts w:ascii="Times New Roman" w:eastAsia="宋体"/>
                <w:color w:val="auto"/>
                <w:sz w:val="21"/>
                <w:szCs w:val="21"/>
              </w:rPr>
            </w:pPr>
          </w:p>
        </w:tc>
        <w:tc>
          <w:tcPr>
            <w:tcW w:w="560" w:type="pct"/>
            <w:vMerge w:val="continue"/>
            <w:tcBorders>
              <w:tl2br w:val="nil"/>
              <w:tr2bl w:val="nil"/>
            </w:tcBorders>
            <w:vAlign w:val="center"/>
          </w:tcPr>
          <w:p>
            <w:pPr>
              <w:snapToGrid w:val="0"/>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52"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1</w:t>
            </w:r>
          </w:p>
        </w:tc>
        <w:tc>
          <w:tcPr>
            <w:tcW w:w="648" w:type="pct"/>
            <w:tcBorders>
              <w:tl2br w:val="nil"/>
              <w:tr2bl w:val="nil"/>
            </w:tcBorders>
            <w:vAlign w:val="center"/>
          </w:tcPr>
          <w:p>
            <w:pPr>
              <w:widowControl/>
              <w:snapToGrid w:val="0"/>
              <w:jc w:val="center"/>
              <w:textAlignment w:val="center"/>
              <w:rPr>
                <w:rFonts w:ascii="Times New Roman" w:eastAsia="宋体"/>
                <w:color w:val="auto"/>
                <w:sz w:val="21"/>
                <w:szCs w:val="21"/>
              </w:rPr>
            </w:pPr>
            <w:r>
              <w:rPr>
                <w:rFonts w:ascii="Times New Roman" w:eastAsia="宋体"/>
                <w:color w:val="auto"/>
                <w:sz w:val="21"/>
                <w:szCs w:val="21"/>
              </w:rPr>
              <w:t>泵</w:t>
            </w:r>
            <w:r>
              <w:rPr>
                <w:rFonts w:hint="eastAsia" w:ascii="Times New Roman" w:eastAsia="宋体"/>
                <w:color w:val="auto"/>
                <w:sz w:val="21"/>
                <w:szCs w:val="21"/>
              </w:rPr>
              <w:t>区</w:t>
            </w:r>
            <w:r>
              <w:rPr>
                <w:rFonts w:ascii="Times New Roman" w:eastAsia="宋体"/>
                <w:color w:val="auto"/>
                <w:sz w:val="21"/>
                <w:szCs w:val="21"/>
              </w:rPr>
              <w:t>等效点声源</w:t>
            </w:r>
          </w:p>
        </w:tc>
        <w:tc>
          <w:tcPr>
            <w:tcW w:w="255"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w:t>
            </w:r>
          </w:p>
        </w:tc>
        <w:tc>
          <w:tcPr>
            <w:tcW w:w="681"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1.6</w:t>
            </w:r>
          </w:p>
        </w:tc>
        <w:tc>
          <w:tcPr>
            <w:tcW w:w="681"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26.1</w:t>
            </w:r>
          </w:p>
        </w:tc>
        <w:tc>
          <w:tcPr>
            <w:tcW w:w="523" w:type="dxa"/>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1.2</w:t>
            </w:r>
          </w:p>
        </w:tc>
        <w:tc>
          <w:tcPr>
            <w:tcW w:w="839"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w:t>
            </w:r>
          </w:p>
        </w:tc>
        <w:tc>
          <w:tcPr>
            <w:tcW w:w="585" w:type="pct"/>
            <w:tcBorders>
              <w:tl2br w:val="nil"/>
              <w:tr2bl w:val="nil"/>
            </w:tcBorders>
            <w:vAlign w:val="center"/>
          </w:tcPr>
          <w:p>
            <w:pPr>
              <w:snapToGrid w:val="0"/>
              <w:jc w:val="center"/>
              <w:rPr>
                <w:rFonts w:ascii="Times New Roman" w:eastAsia="宋体"/>
                <w:color w:val="auto"/>
                <w:sz w:val="21"/>
                <w:szCs w:val="21"/>
              </w:rPr>
            </w:pPr>
            <w:r>
              <w:rPr>
                <w:rFonts w:hint="eastAsia" w:ascii="Times New Roman" w:eastAsia="宋体"/>
                <w:color w:val="auto"/>
                <w:sz w:val="21"/>
                <w:szCs w:val="21"/>
              </w:rPr>
              <w:t>90.41</w:t>
            </w:r>
          </w:p>
        </w:tc>
        <w:tc>
          <w:tcPr>
            <w:tcW w:w="743"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减震、隔声</w:t>
            </w:r>
          </w:p>
        </w:tc>
        <w:tc>
          <w:tcPr>
            <w:tcW w:w="560" w:type="pct"/>
            <w:tcBorders>
              <w:tl2br w:val="nil"/>
              <w:tr2bl w:val="nil"/>
            </w:tcBorders>
            <w:vAlign w:val="center"/>
          </w:tcPr>
          <w:p>
            <w:pPr>
              <w:snapToGrid w:val="0"/>
              <w:jc w:val="center"/>
              <w:rPr>
                <w:rFonts w:ascii="Times New Roman" w:eastAsia="宋体"/>
                <w:color w:val="auto"/>
                <w:sz w:val="21"/>
                <w:szCs w:val="21"/>
              </w:rPr>
            </w:pPr>
            <w:r>
              <w:rPr>
                <w:rFonts w:ascii="Times New Roman" w:eastAsia="宋体"/>
                <w:color w:val="auto"/>
                <w:sz w:val="21"/>
                <w:szCs w:val="21"/>
              </w:rPr>
              <w:t>昼间、夜间</w:t>
            </w:r>
          </w:p>
        </w:tc>
      </w:tr>
    </w:tbl>
    <w:p>
      <w:pPr>
        <w:pStyle w:val="17"/>
        <w:rPr>
          <w:rFonts w:ascii="Times New Roman" w:hAnsi="Times New Roman" w:eastAsia="宋体" w:cs="Times New Roman"/>
          <w:bCs/>
          <w:color w:val="auto"/>
          <w:sz w:val="21"/>
          <w:szCs w:val="21"/>
        </w:rPr>
        <w:sectPr>
          <w:pgSz w:w="11906" w:h="16838"/>
          <w:pgMar w:top="1440" w:right="1803" w:bottom="1440" w:left="1803" w:header="850" w:footer="992" w:gutter="0"/>
          <w:pgNumType w:fmt="decimal"/>
          <w:cols w:space="720" w:num="1"/>
          <w:docGrid w:type="linesAndChars" w:linePitch="319" w:charSpace="1724"/>
        </w:sectPr>
      </w:pPr>
      <w:r>
        <w:rPr>
          <w:rFonts w:ascii="Times New Roman" w:hAnsi="Times New Roman" w:eastAsia="宋体" w:cs="Times New Roman"/>
          <w:bCs/>
          <w:color w:val="auto"/>
          <w:sz w:val="21"/>
          <w:szCs w:val="21"/>
        </w:rPr>
        <w:t>备注：表中坐标以厂界中心（</w:t>
      </w:r>
      <w:bookmarkStart w:id="427" w:name="PO_6"/>
      <w:r>
        <w:rPr>
          <w:rFonts w:ascii="Times New Roman" w:hAnsi="Times New Roman" w:cs="Times New Roman" w:eastAsiaTheme="minorEastAsia"/>
          <w:bCs/>
          <w:color w:val="auto"/>
          <w:sz w:val="21"/>
          <w:szCs w:val="21"/>
        </w:rPr>
        <w:t>113.177993,29.095308</w:t>
      </w:r>
      <w:bookmarkEnd w:id="427"/>
      <w:r>
        <w:rPr>
          <w:rFonts w:ascii="Times New Roman" w:hAnsi="Times New Roman" w:eastAsia="宋体" w:cs="Times New Roman"/>
          <w:bCs/>
          <w:color w:val="auto"/>
          <w:sz w:val="21"/>
          <w:szCs w:val="21"/>
        </w:rPr>
        <w:t>）为坐标原点，正东向为X轴正方向，正北向为Y轴正方向</w:t>
      </w:r>
    </w:p>
    <w:p>
      <w:pPr>
        <w:pStyle w:val="23"/>
        <w:jc w:val="center"/>
        <w:rPr>
          <w:rFonts w:ascii="Times New Roman" w:eastAsia="宋体"/>
          <w:b/>
          <w:bCs/>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5.2-9</w:t>
      </w:r>
      <w:r>
        <w:rPr>
          <w:rFonts w:ascii="Times New Roman" w:eastAsia="宋体"/>
          <w:b/>
          <w:bCs/>
          <w:color w:val="auto"/>
          <w:sz w:val="21"/>
          <w:szCs w:val="21"/>
        </w:rPr>
        <w:t>项目主要等效噪声源源强调查清单（室内声源）</w:t>
      </w:r>
    </w:p>
    <w:tbl>
      <w:tblPr>
        <w:tblStyle w:val="47"/>
        <w:tblW w:w="502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506"/>
        <w:gridCol w:w="506"/>
        <w:gridCol w:w="506"/>
        <w:gridCol w:w="506"/>
        <w:gridCol w:w="633"/>
        <w:gridCol w:w="506"/>
        <w:gridCol w:w="566"/>
        <w:gridCol w:w="513"/>
        <w:gridCol w:w="521"/>
        <w:gridCol w:w="513"/>
        <w:gridCol w:w="513"/>
        <w:gridCol w:w="513"/>
        <w:gridCol w:w="527"/>
        <w:gridCol w:w="513"/>
        <w:gridCol w:w="513"/>
        <w:gridCol w:w="513"/>
        <w:gridCol w:w="527"/>
        <w:gridCol w:w="513"/>
        <w:gridCol w:w="513"/>
        <w:gridCol w:w="513"/>
        <w:gridCol w:w="513"/>
        <w:gridCol w:w="527"/>
        <w:gridCol w:w="513"/>
        <w:gridCol w:w="513"/>
        <w:gridCol w:w="513"/>
        <w:gridCol w:w="513"/>
        <w:gridCol w:w="5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trPr>
        <w:tc>
          <w:tcPr>
            <w:tcW w:w="180" w:type="pct"/>
            <w:vMerge w:val="restart"/>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序号</w:t>
            </w:r>
          </w:p>
        </w:tc>
        <w:tc>
          <w:tcPr>
            <w:tcW w:w="180" w:type="pct"/>
            <w:vMerge w:val="restart"/>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建筑物名称</w:t>
            </w:r>
          </w:p>
        </w:tc>
        <w:tc>
          <w:tcPr>
            <w:tcW w:w="180" w:type="pct"/>
            <w:vMerge w:val="restart"/>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声源名称</w:t>
            </w:r>
          </w:p>
        </w:tc>
        <w:tc>
          <w:tcPr>
            <w:tcW w:w="180" w:type="pct"/>
            <w:vMerge w:val="restart"/>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型号</w:t>
            </w:r>
          </w:p>
        </w:tc>
        <w:tc>
          <w:tcPr>
            <w:tcW w:w="225" w:type="pct"/>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声源源强</w:t>
            </w:r>
          </w:p>
        </w:tc>
        <w:tc>
          <w:tcPr>
            <w:tcW w:w="180" w:type="pct"/>
            <w:vMerge w:val="restart"/>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声源控制措施</w:t>
            </w:r>
          </w:p>
        </w:tc>
        <w:tc>
          <w:tcPr>
            <w:tcW w:w="568" w:type="pct"/>
            <w:gridSpan w:val="3"/>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空间相对位置/m</w:t>
            </w:r>
          </w:p>
        </w:tc>
        <w:tc>
          <w:tcPr>
            <w:tcW w:w="733" w:type="pct"/>
            <w:gridSpan w:val="4"/>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距室内边界距离/m</w:t>
            </w:r>
          </w:p>
        </w:tc>
        <w:tc>
          <w:tcPr>
            <w:tcW w:w="733" w:type="pct"/>
            <w:gridSpan w:val="4"/>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室内边界声级/dB(A)</w:t>
            </w:r>
          </w:p>
        </w:tc>
        <w:tc>
          <w:tcPr>
            <w:tcW w:w="182" w:type="pct"/>
            <w:vMerge w:val="restart"/>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运行时段</w:t>
            </w:r>
          </w:p>
        </w:tc>
        <w:tc>
          <w:tcPr>
            <w:tcW w:w="733" w:type="pct"/>
            <w:gridSpan w:val="4"/>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建筑物插入损失 / dB(A)</w:t>
            </w:r>
          </w:p>
        </w:tc>
        <w:tc>
          <w:tcPr>
            <w:tcW w:w="918" w:type="pct"/>
            <w:gridSpan w:val="5"/>
            <w:shd w:val="clear" w:color="auto" w:fill="auto"/>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建筑物外噪声声压级/dB(A)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80" w:type="pct"/>
            <w:vMerge w:val="continue"/>
            <w:shd w:val="clear" w:color="auto" w:fill="auto"/>
            <w:vAlign w:val="center"/>
          </w:tcPr>
          <w:p>
            <w:pPr>
              <w:adjustRightInd w:val="0"/>
              <w:snapToGrid w:val="0"/>
              <w:jc w:val="center"/>
              <w:textAlignment w:val="center"/>
              <w:rPr>
                <w:rFonts w:ascii="Times New Roman" w:eastAsia="宋体"/>
                <w:b/>
                <w:bCs/>
                <w:color w:val="auto"/>
                <w:sz w:val="21"/>
                <w:szCs w:val="21"/>
              </w:rPr>
            </w:pPr>
          </w:p>
        </w:tc>
        <w:tc>
          <w:tcPr>
            <w:tcW w:w="180" w:type="pct"/>
            <w:vMerge w:val="continue"/>
            <w:shd w:val="clear" w:color="auto" w:fill="auto"/>
            <w:vAlign w:val="center"/>
          </w:tcPr>
          <w:p>
            <w:pPr>
              <w:adjustRightInd w:val="0"/>
              <w:snapToGrid w:val="0"/>
              <w:jc w:val="center"/>
              <w:textAlignment w:val="center"/>
              <w:rPr>
                <w:rFonts w:ascii="Times New Roman" w:eastAsia="宋体"/>
                <w:b/>
                <w:bCs/>
                <w:color w:val="auto"/>
                <w:sz w:val="21"/>
                <w:szCs w:val="21"/>
              </w:rPr>
            </w:pPr>
          </w:p>
        </w:tc>
        <w:tc>
          <w:tcPr>
            <w:tcW w:w="180" w:type="pct"/>
            <w:vMerge w:val="continue"/>
            <w:shd w:val="clear" w:color="auto" w:fill="auto"/>
            <w:vAlign w:val="center"/>
          </w:tcPr>
          <w:p>
            <w:pPr>
              <w:adjustRightInd w:val="0"/>
              <w:snapToGrid w:val="0"/>
              <w:jc w:val="center"/>
              <w:textAlignment w:val="center"/>
              <w:rPr>
                <w:rFonts w:ascii="Times New Roman" w:eastAsia="宋体"/>
                <w:b/>
                <w:bCs/>
                <w:color w:val="auto"/>
                <w:sz w:val="21"/>
                <w:szCs w:val="21"/>
              </w:rPr>
            </w:pPr>
          </w:p>
        </w:tc>
        <w:tc>
          <w:tcPr>
            <w:tcW w:w="180" w:type="pct"/>
            <w:vMerge w:val="continue"/>
            <w:shd w:val="clear" w:color="auto" w:fill="auto"/>
            <w:vAlign w:val="center"/>
          </w:tcPr>
          <w:p>
            <w:pPr>
              <w:adjustRightInd w:val="0"/>
              <w:snapToGrid w:val="0"/>
              <w:jc w:val="center"/>
              <w:textAlignment w:val="center"/>
              <w:rPr>
                <w:rFonts w:ascii="Times New Roman" w:eastAsia="宋体"/>
                <w:b/>
                <w:bCs/>
                <w:color w:val="auto"/>
                <w:sz w:val="21"/>
                <w:szCs w:val="21"/>
              </w:rPr>
            </w:pPr>
          </w:p>
        </w:tc>
        <w:tc>
          <w:tcPr>
            <w:tcW w:w="225"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声功率级/dB(A)</w:t>
            </w:r>
          </w:p>
        </w:tc>
        <w:tc>
          <w:tcPr>
            <w:tcW w:w="180" w:type="pct"/>
            <w:vMerge w:val="continue"/>
            <w:shd w:val="clear" w:color="auto" w:fill="auto"/>
            <w:vAlign w:val="center"/>
          </w:tcPr>
          <w:p>
            <w:pPr>
              <w:adjustRightInd w:val="0"/>
              <w:snapToGrid w:val="0"/>
              <w:jc w:val="center"/>
              <w:textAlignment w:val="center"/>
              <w:rPr>
                <w:rFonts w:ascii="Times New Roman" w:eastAsia="宋体"/>
                <w:b/>
                <w:bCs/>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X</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Y</w:t>
            </w:r>
          </w:p>
        </w:tc>
        <w:tc>
          <w:tcPr>
            <w:tcW w:w="185"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Z</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东</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南</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西</w:t>
            </w:r>
          </w:p>
        </w:tc>
        <w:tc>
          <w:tcPr>
            <w:tcW w:w="187"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北</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东</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南</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西</w:t>
            </w:r>
          </w:p>
        </w:tc>
        <w:tc>
          <w:tcPr>
            <w:tcW w:w="187"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北</w:t>
            </w:r>
          </w:p>
        </w:tc>
        <w:tc>
          <w:tcPr>
            <w:tcW w:w="182" w:type="pct"/>
            <w:vMerge w:val="continue"/>
            <w:shd w:val="clear" w:color="auto" w:fill="auto"/>
            <w:vAlign w:val="center"/>
          </w:tcPr>
          <w:p>
            <w:pPr>
              <w:adjustRightInd w:val="0"/>
              <w:snapToGrid w:val="0"/>
              <w:jc w:val="center"/>
              <w:textAlignment w:val="center"/>
              <w:rPr>
                <w:rFonts w:ascii="Times New Roman" w:eastAsia="宋体"/>
                <w:b/>
                <w:bCs/>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东</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南</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西</w:t>
            </w:r>
          </w:p>
        </w:tc>
        <w:tc>
          <w:tcPr>
            <w:tcW w:w="187"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北</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东</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南</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西</w:t>
            </w:r>
          </w:p>
        </w:tc>
        <w:tc>
          <w:tcPr>
            <w:tcW w:w="182"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北</w:t>
            </w:r>
          </w:p>
        </w:tc>
        <w:tc>
          <w:tcPr>
            <w:tcW w:w="189" w:type="pct"/>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建筑物外距离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鸡舍1</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鸡舍1等效点声源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restar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hAnsi="宋体" w:eastAsia="宋体" w:cs="宋体"/>
                <w:color w:val="auto"/>
                <w:sz w:val="21"/>
                <w:szCs w:val="21"/>
              </w:rPr>
              <w:t>隔声、减震、噪声衰减、合理布局、选用低噪声设备</w:t>
            </w: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-75.4</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32.8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8.9</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26.1</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restar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全天</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鸡舍2</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鸡舍2等效点声源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54.8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-61.1</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7.7</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9.4</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鸡舍3</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鸡舍3等效点声源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34.2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-45.1</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32.8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26.5</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鸡舍4</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鸡舍4等效点声源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15.7</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-30</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32.8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鸡舍5</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鸡舍5等效点声源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-2.9</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-14.1</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8.5</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34.5</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9.2</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25.4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鸡舍6</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鸡舍6等效点声源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-23.7</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-2.3</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8.9</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32.1</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27.4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鸡舍7</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鸡舍7等效点声源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-44.9</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15.4</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9.9</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26.1</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鸡舍8</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鸡舍8等效点声源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-62.1</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28.2</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32.1</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9.7</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26.9</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鸡舍9</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鸡舍9等效点声源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47.5</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34.4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24.9</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73.2</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47.2</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10</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鸡舍10</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鸡舍10等效点声源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hint="eastAsia" w:ascii="Times New Roman" w:eastAsia="宋体"/>
                <w:color w:val="auto"/>
                <w:sz w:val="21"/>
                <w:szCs w:val="21"/>
              </w:rPr>
              <w:t>/</w:t>
            </w: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86.12</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-103.3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60.8</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31.8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7.9</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27.1</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73.4</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73.3</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47.4</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47.3</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11</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锅炉房</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锅炉房等效点声源</w:t>
            </w:r>
          </w:p>
        </w:tc>
        <w:tc>
          <w:tcPr>
            <w:tcW w:w="180" w:type="pct"/>
            <w:shd w:val="clear" w:color="auto" w:fill="FFFFFF"/>
            <w:vAlign w:val="center"/>
          </w:tcPr>
          <w:p>
            <w:pPr>
              <w:adjustRightInd w:val="0"/>
              <w:snapToGrid w:val="0"/>
              <w:jc w:val="center"/>
              <w:textAlignment w:val="center"/>
              <w:rPr>
                <w:rFonts w:ascii="Times New Roman" w:eastAsia="宋体"/>
                <w:color w:val="auto"/>
                <w:sz w:val="21"/>
                <w:szCs w:val="21"/>
              </w:rPr>
            </w:pPr>
          </w:p>
        </w:tc>
        <w:tc>
          <w:tcPr>
            <w:tcW w:w="22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93.01</w:t>
            </w:r>
          </w:p>
        </w:tc>
        <w:tc>
          <w:tcPr>
            <w:tcW w:w="180"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201"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61.3</w:t>
            </w:r>
          </w:p>
        </w:tc>
        <w:tc>
          <w:tcPr>
            <w:tcW w:w="185"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9.5</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10.7</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12.4</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10.6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86.8</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86.8</w:t>
            </w:r>
          </w:p>
        </w:tc>
        <w:tc>
          <w:tcPr>
            <w:tcW w:w="182" w:type="pct"/>
            <w:vMerge w:val="continue"/>
            <w:shd w:val="clear" w:color="auto" w:fill="FFFFFF"/>
            <w:vAlign w:val="center"/>
          </w:tcPr>
          <w:p>
            <w:pPr>
              <w:adjustRightInd w:val="0"/>
              <w:snapToGrid w:val="0"/>
              <w:jc w:val="center"/>
              <w:textAlignment w:val="center"/>
              <w:rPr>
                <w:rFonts w:ascii="Times New Roman" w:eastAsia="宋体"/>
                <w:color w:val="auto"/>
                <w:sz w:val="21"/>
                <w:szCs w:val="21"/>
              </w:rPr>
            </w:pP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7"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26</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60.8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60.8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60.8</w:t>
            </w:r>
          </w:p>
        </w:tc>
        <w:tc>
          <w:tcPr>
            <w:tcW w:w="182"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60.8</w:t>
            </w:r>
          </w:p>
        </w:tc>
        <w:tc>
          <w:tcPr>
            <w:tcW w:w="189" w:type="pct"/>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w:t>
            </w:r>
          </w:p>
        </w:tc>
      </w:tr>
    </w:tbl>
    <w:p>
      <w:pPr>
        <w:ind w:firstLine="436" w:firstLineChars="200"/>
        <w:rPr>
          <w:color w:val="auto"/>
        </w:rPr>
        <w:sectPr>
          <w:pgSz w:w="16838" w:h="11906" w:orient="landscape"/>
          <w:pgMar w:top="1803" w:right="1440" w:bottom="1803" w:left="1440" w:header="850" w:footer="992" w:gutter="0"/>
          <w:pgNumType w:fmt="decimal"/>
          <w:cols w:space="720" w:num="1"/>
          <w:docGrid w:type="linesAndChars" w:linePitch="319" w:charSpace="1724"/>
        </w:sectPr>
      </w:pPr>
      <w:r>
        <w:rPr>
          <w:rFonts w:ascii="Times New Roman" w:eastAsia="宋体"/>
          <w:bCs/>
          <w:color w:val="auto"/>
          <w:sz w:val="21"/>
          <w:szCs w:val="21"/>
        </w:rPr>
        <w:t>备注：表中坐标以厂界中心（</w:t>
      </w:r>
      <w:r>
        <w:rPr>
          <w:rFonts w:ascii="Times New Roman" w:eastAsiaTheme="minorEastAsia"/>
          <w:bCs/>
          <w:color w:val="auto"/>
          <w:sz w:val="21"/>
          <w:szCs w:val="21"/>
        </w:rPr>
        <w:t>113.177993,29.095308</w:t>
      </w:r>
      <w:r>
        <w:rPr>
          <w:rFonts w:ascii="Times New Roman" w:eastAsia="宋体"/>
          <w:bCs/>
          <w:color w:val="auto"/>
          <w:sz w:val="21"/>
          <w:szCs w:val="21"/>
        </w:rPr>
        <w:t>）为坐标原点，正东向为X轴正方向，正北向为Y轴正方向</w:t>
      </w:r>
      <w:r>
        <w:rPr>
          <w:rFonts w:ascii="Times New Roman" w:eastAsia="宋体"/>
          <w:color w:val="auto"/>
        </w:rPr>
        <w:t>。</w:t>
      </w:r>
    </w:p>
    <w:p>
      <w:pPr>
        <w:spacing w:line="360" w:lineRule="auto"/>
        <w:ind w:firstLine="482"/>
        <w:rPr>
          <w:rFonts w:ascii="Times New Roman" w:eastAsia="宋体"/>
          <w:color w:val="auto"/>
          <w:lang w:val="zh-CN"/>
        </w:rPr>
      </w:pPr>
      <w:bookmarkStart w:id="428" w:name="_Toc14516"/>
      <w:r>
        <w:rPr>
          <w:rFonts w:ascii="Times New Roman" w:eastAsia="宋体"/>
          <w:color w:val="auto"/>
          <w:lang w:val="zh-CN"/>
        </w:rPr>
        <w:t>（2）预测内容</w:t>
      </w:r>
      <w:bookmarkEnd w:id="428"/>
    </w:p>
    <w:p>
      <w:pPr>
        <w:spacing w:line="360" w:lineRule="auto"/>
        <w:ind w:firstLine="482"/>
        <w:rPr>
          <w:rFonts w:ascii="Times New Roman" w:eastAsia="宋体"/>
          <w:color w:val="auto"/>
          <w:lang w:val="zh-CN"/>
        </w:rPr>
      </w:pPr>
      <w:r>
        <w:rPr>
          <w:rFonts w:ascii="Times New Roman" w:eastAsia="宋体"/>
          <w:color w:val="auto"/>
          <w:lang w:val="zh-CN"/>
        </w:rPr>
        <w:t>本环评噪声评价内容主要为厂界噪声昼夜间的噪声贡献值</w:t>
      </w:r>
      <w:r>
        <w:rPr>
          <w:rFonts w:ascii="Times New Roman" w:eastAsia="宋体"/>
          <w:color w:val="auto"/>
        </w:rPr>
        <w:t>及声环境保护目标处的噪声贡献值和预测值</w:t>
      </w:r>
      <w:r>
        <w:rPr>
          <w:rFonts w:ascii="Times New Roman" w:eastAsia="宋体"/>
          <w:color w:val="auto"/>
          <w:lang w:val="zh-CN"/>
        </w:rPr>
        <w:t>。</w:t>
      </w:r>
    </w:p>
    <w:p>
      <w:pPr>
        <w:spacing w:line="360" w:lineRule="auto"/>
        <w:ind w:firstLine="482"/>
        <w:rPr>
          <w:rFonts w:ascii="Times New Roman" w:eastAsia="宋体"/>
          <w:color w:val="auto"/>
          <w:lang w:val="zh-CN"/>
        </w:rPr>
      </w:pPr>
      <w:bookmarkStart w:id="429" w:name="_Toc23877"/>
      <w:r>
        <w:rPr>
          <w:rFonts w:ascii="Times New Roman" w:eastAsia="宋体"/>
          <w:color w:val="auto"/>
          <w:lang w:val="zh-CN"/>
        </w:rPr>
        <w:t>（3）预测结果及分析</w:t>
      </w:r>
      <w:bookmarkEnd w:id="429"/>
    </w:p>
    <w:p>
      <w:pPr>
        <w:spacing w:line="360" w:lineRule="auto"/>
        <w:ind w:firstLine="496" w:firstLineChars="200"/>
        <w:rPr>
          <w:rFonts w:ascii="Times New Roman" w:eastAsia="宋体"/>
          <w:color w:val="auto"/>
        </w:rPr>
      </w:pPr>
      <w:r>
        <w:rPr>
          <w:rFonts w:ascii="Times New Roman" w:eastAsia="宋体"/>
          <w:color w:val="auto"/>
        </w:rPr>
        <w:t>根据《环境影响评价技术导则声环境》（HJ</w:t>
      </w:r>
      <w:r>
        <w:rPr>
          <w:rFonts w:hint="eastAsia" w:ascii="Times New Roman" w:eastAsia="宋体"/>
          <w:color w:val="auto"/>
        </w:rPr>
        <w:t>2.7-</w:t>
      </w:r>
      <w:r>
        <w:rPr>
          <w:rFonts w:ascii="Times New Roman" w:eastAsia="宋体"/>
          <w:color w:val="auto"/>
        </w:rPr>
        <w:t>2021），厂界噪声选择贡献值作为评价量，敏感目标以所受的噪声贡献值与背景噪声值叠加后的预测值作为评价量。</w:t>
      </w:r>
    </w:p>
    <w:p>
      <w:pPr>
        <w:spacing w:line="360" w:lineRule="auto"/>
        <w:ind w:firstLine="496" w:firstLineChars="200"/>
        <w:rPr>
          <w:rFonts w:ascii="Times New Roman" w:eastAsia="宋体"/>
          <w:color w:val="auto"/>
        </w:rPr>
      </w:pPr>
      <w:r>
        <w:rPr>
          <w:rFonts w:ascii="Times New Roman" w:eastAsia="宋体"/>
          <w:color w:val="auto"/>
        </w:rPr>
        <w:t>由工程分析给出的噪声源强、厂区平面布局及上述预测模式，项目实行</w:t>
      </w:r>
      <w:r>
        <w:rPr>
          <w:rFonts w:hint="eastAsia" w:ascii="Times New Roman" w:eastAsia="宋体"/>
          <w:color w:val="auto"/>
        </w:rPr>
        <w:t>两</w:t>
      </w:r>
      <w:r>
        <w:rPr>
          <w:rFonts w:ascii="Times New Roman" w:eastAsia="宋体"/>
          <w:color w:val="auto"/>
        </w:rPr>
        <w:t>班制，</w:t>
      </w:r>
      <w:r>
        <w:rPr>
          <w:rFonts w:hint="eastAsia" w:ascii="Times New Roman" w:eastAsia="宋体"/>
          <w:color w:val="auto"/>
        </w:rPr>
        <w:t>夜间生产</w:t>
      </w:r>
      <w:r>
        <w:rPr>
          <w:rFonts w:ascii="Times New Roman" w:eastAsia="宋体"/>
          <w:color w:val="auto"/>
        </w:rPr>
        <w:t>，预测结果见表</w:t>
      </w:r>
      <w:r>
        <w:rPr>
          <w:rFonts w:hint="eastAsia" w:ascii="Times New Roman" w:eastAsia="宋体"/>
          <w:color w:val="auto"/>
        </w:rPr>
        <w:t>5.2-19</w:t>
      </w:r>
      <w:r>
        <w:rPr>
          <w:rFonts w:ascii="Times New Roman" w:eastAsia="宋体"/>
          <w:color w:val="auto"/>
        </w:rPr>
        <w:t>，等值线分布图见图5</w:t>
      </w:r>
      <w:r>
        <w:rPr>
          <w:rFonts w:hint="eastAsia" w:ascii="Times New Roman" w:eastAsia="宋体"/>
          <w:color w:val="auto"/>
        </w:rPr>
        <w:t>.2-3</w:t>
      </w:r>
      <w:r>
        <w:rPr>
          <w:rFonts w:ascii="Times New Roman" w:eastAsia="宋体"/>
          <w:color w:val="auto"/>
        </w:rPr>
        <w:t>。</w:t>
      </w:r>
    </w:p>
    <w:p>
      <w:pPr>
        <w:jc w:val="center"/>
        <w:rPr>
          <w:rFonts w:ascii="Times New Roman" w:eastAsia="宋体"/>
          <w:b/>
          <w:color w:val="auto"/>
        </w:rPr>
      </w:pPr>
      <w:r>
        <w:rPr>
          <w:rFonts w:ascii="Times New Roman" w:eastAsia="宋体"/>
          <w:b/>
          <w:color w:val="auto"/>
        </w:rPr>
        <w:t>表</w:t>
      </w:r>
      <w:r>
        <w:rPr>
          <w:rFonts w:hint="eastAsia" w:ascii="Times New Roman" w:eastAsia="宋体"/>
          <w:b/>
          <w:color w:val="auto"/>
        </w:rPr>
        <w:t>5.2</w:t>
      </w:r>
      <w:r>
        <w:rPr>
          <w:rFonts w:ascii="Times New Roman" w:eastAsia="宋体"/>
          <w:b/>
          <w:color w:val="auto"/>
        </w:rPr>
        <w:t>-</w:t>
      </w:r>
      <w:r>
        <w:rPr>
          <w:rFonts w:hint="eastAsia" w:ascii="Times New Roman" w:eastAsia="宋体"/>
          <w:b/>
          <w:color w:val="auto"/>
        </w:rPr>
        <w:t>19</w:t>
      </w:r>
      <w:r>
        <w:rPr>
          <w:rFonts w:ascii="Times New Roman" w:eastAsia="宋体"/>
          <w:b/>
          <w:color w:val="auto"/>
        </w:rPr>
        <w:t>厂界噪声预测结果与达标分析表单位：dB(A)</w:t>
      </w:r>
    </w:p>
    <w:tbl>
      <w:tblPr>
        <w:tblStyle w:val="47"/>
        <w:tblW w:w="88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831"/>
        <w:gridCol w:w="831"/>
        <w:gridCol w:w="831"/>
        <w:gridCol w:w="1028"/>
        <w:gridCol w:w="1467"/>
        <w:gridCol w:w="1468"/>
        <w:gridCol w:w="12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预测方位</w:t>
            </w:r>
          </w:p>
        </w:tc>
        <w:tc>
          <w:tcPr>
            <w:tcW w:w="2409" w:type="dxa"/>
            <w:gridSpan w:val="3"/>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最大值点空间相对位置/m</w:t>
            </w:r>
          </w:p>
        </w:tc>
        <w:tc>
          <w:tcPr>
            <w:tcW w:w="993" w:type="dxa"/>
            <w:vMerge w:val="restart"/>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时段</w:t>
            </w:r>
          </w:p>
        </w:tc>
        <w:tc>
          <w:tcPr>
            <w:tcW w:w="1417" w:type="dxa"/>
            <w:vMerge w:val="restart"/>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贡献值（dB(A)）</w:t>
            </w:r>
          </w:p>
        </w:tc>
        <w:tc>
          <w:tcPr>
            <w:tcW w:w="1418" w:type="dxa"/>
            <w:vMerge w:val="restart"/>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标准限值（dB(A)）</w:t>
            </w:r>
          </w:p>
        </w:tc>
        <w:tc>
          <w:tcPr>
            <w:tcW w:w="1188" w:type="dxa"/>
            <w:vMerge w:val="restart"/>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shd w:val="clear" w:color="auto" w:fill="FFFFFF"/>
            <w:vAlign w:val="center"/>
          </w:tcPr>
          <w:p>
            <w:pPr>
              <w:adjustRightInd w:val="0"/>
              <w:snapToGrid w:val="0"/>
              <w:jc w:val="center"/>
              <w:textAlignment w:val="center"/>
              <w:rPr>
                <w:rFonts w:ascii="Times New Roman" w:eastAsia="宋体"/>
                <w:color w:val="auto"/>
                <w:sz w:val="21"/>
              </w:rPr>
            </w:pPr>
          </w:p>
        </w:tc>
        <w:tc>
          <w:tcPr>
            <w:tcW w:w="803" w:type="dxa"/>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X</w:t>
            </w:r>
          </w:p>
        </w:tc>
        <w:tc>
          <w:tcPr>
            <w:tcW w:w="803" w:type="dxa"/>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Y</w:t>
            </w:r>
          </w:p>
        </w:tc>
        <w:tc>
          <w:tcPr>
            <w:tcW w:w="803" w:type="dxa"/>
            <w:shd w:val="clear" w:color="auto" w:fill="FFFFFF"/>
            <w:vAlign w:val="center"/>
          </w:tcPr>
          <w:p>
            <w:pPr>
              <w:adjustRightInd w:val="0"/>
              <w:snapToGrid w:val="0"/>
              <w:jc w:val="center"/>
              <w:textAlignment w:val="center"/>
              <w:rPr>
                <w:rFonts w:ascii="Times New Roman" w:eastAsia="宋体"/>
                <w:b/>
                <w:bCs/>
                <w:color w:val="auto"/>
                <w:sz w:val="21"/>
                <w:szCs w:val="21"/>
              </w:rPr>
            </w:pPr>
            <w:r>
              <w:rPr>
                <w:rFonts w:ascii="Times New Roman" w:eastAsia="宋体"/>
                <w:b/>
                <w:bCs/>
                <w:color w:val="auto"/>
                <w:sz w:val="21"/>
                <w:szCs w:val="21"/>
              </w:rPr>
              <w:t>Z</w:t>
            </w:r>
          </w:p>
        </w:tc>
        <w:tc>
          <w:tcPr>
            <w:tcW w:w="993" w:type="dxa"/>
            <w:vMerge w:val="continue"/>
            <w:shd w:val="clear" w:color="auto" w:fill="FFFFFF"/>
            <w:vAlign w:val="center"/>
          </w:tcPr>
          <w:p>
            <w:pPr>
              <w:adjustRightInd w:val="0"/>
              <w:snapToGrid w:val="0"/>
              <w:jc w:val="center"/>
              <w:textAlignment w:val="center"/>
              <w:rPr>
                <w:rFonts w:ascii="Times New Roman" w:eastAsia="宋体"/>
                <w:color w:val="auto"/>
                <w:sz w:val="21"/>
              </w:rPr>
            </w:pPr>
          </w:p>
        </w:tc>
        <w:tc>
          <w:tcPr>
            <w:tcW w:w="1417" w:type="dxa"/>
            <w:vMerge w:val="continue"/>
            <w:shd w:val="clear" w:color="auto" w:fill="FFFFFF"/>
            <w:vAlign w:val="center"/>
          </w:tcPr>
          <w:p>
            <w:pPr>
              <w:adjustRightInd w:val="0"/>
              <w:snapToGrid w:val="0"/>
              <w:jc w:val="center"/>
              <w:textAlignment w:val="center"/>
              <w:rPr>
                <w:rFonts w:ascii="Times New Roman" w:eastAsia="宋体"/>
                <w:color w:val="auto"/>
                <w:sz w:val="21"/>
              </w:rPr>
            </w:pPr>
          </w:p>
        </w:tc>
        <w:tc>
          <w:tcPr>
            <w:tcW w:w="1418" w:type="dxa"/>
            <w:vMerge w:val="continue"/>
            <w:shd w:val="clear" w:color="auto" w:fill="FFFFFF"/>
            <w:vAlign w:val="center"/>
          </w:tcPr>
          <w:p>
            <w:pPr>
              <w:adjustRightInd w:val="0"/>
              <w:snapToGrid w:val="0"/>
              <w:jc w:val="center"/>
              <w:textAlignment w:val="center"/>
              <w:rPr>
                <w:rFonts w:ascii="Times New Roman" w:eastAsia="宋体"/>
                <w:color w:val="auto"/>
                <w:sz w:val="21"/>
              </w:rPr>
            </w:pPr>
          </w:p>
        </w:tc>
        <w:tc>
          <w:tcPr>
            <w:tcW w:w="1188" w:type="dxa"/>
            <w:vMerge w:val="continue"/>
            <w:shd w:val="clear" w:color="auto" w:fill="FFFFFF"/>
            <w:vAlign w:val="center"/>
          </w:tcPr>
          <w:p>
            <w:pPr>
              <w:adjustRightInd w:val="0"/>
              <w:snapToGrid w:val="0"/>
              <w:jc w:val="center"/>
              <w:textAlignment w:val="center"/>
              <w:rPr>
                <w:rFonts w:ascii="Times New Roman" w:eastAsia="宋体"/>
                <w:color w:val="auto"/>
                <w:sz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restart"/>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东侧</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55.1</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52.7</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昼间</w:t>
            </w:r>
          </w:p>
        </w:tc>
        <w:tc>
          <w:tcPr>
            <w:tcW w:w="1417"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46.2</w:t>
            </w:r>
          </w:p>
        </w:tc>
        <w:tc>
          <w:tcPr>
            <w:tcW w:w="141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60</w:t>
            </w:r>
          </w:p>
        </w:tc>
        <w:tc>
          <w:tcPr>
            <w:tcW w:w="118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continue"/>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东侧</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55.1</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52.7</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夜间</w:t>
            </w:r>
          </w:p>
        </w:tc>
        <w:tc>
          <w:tcPr>
            <w:tcW w:w="1417"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46.2</w:t>
            </w:r>
          </w:p>
        </w:tc>
        <w:tc>
          <w:tcPr>
            <w:tcW w:w="141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50</w:t>
            </w:r>
          </w:p>
        </w:tc>
        <w:tc>
          <w:tcPr>
            <w:tcW w:w="118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restart"/>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南侧</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106</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-109.7</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昼间</w:t>
            </w:r>
          </w:p>
        </w:tc>
        <w:tc>
          <w:tcPr>
            <w:tcW w:w="1417"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41.2</w:t>
            </w:r>
          </w:p>
        </w:tc>
        <w:tc>
          <w:tcPr>
            <w:tcW w:w="141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60</w:t>
            </w:r>
          </w:p>
        </w:tc>
        <w:tc>
          <w:tcPr>
            <w:tcW w:w="118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continue"/>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南侧</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106</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-109.7</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夜间</w:t>
            </w:r>
          </w:p>
        </w:tc>
        <w:tc>
          <w:tcPr>
            <w:tcW w:w="1417"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41.2</w:t>
            </w:r>
          </w:p>
        </w:tc>
        <w:tc>
          <w:tcPr>
            <w:tcW w:w="141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50</w:t>
            </w:r>
          </w:p>
        </w:tc>
        <w:tc>
          <w:tcPr>
            <w:tcW w:w="118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restart"/>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西侧</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-125.5</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75.7</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昼间</w:t>
            </w:r>
          </w:p>
        </w:tc>
        <w:tc>
          <w:tcPr>
            <w:tcW w:w="1417"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44.8</w:t>
            </w:r>
          </w:p>
        </w:tc>
        <w:tc>
          <w:tcPr>
            <w:tcW w:w="141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60</w:t>
            </w:r>
          </w:p>
        </w:tc>
        <w:tc>
          <w:tcPr>
            <w:tcW w:w="118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continue"/>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西侧</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-125.5</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75.7</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夜间</w:t>
            </w:r>
          </w:p>
        </w:tc>
        <w:tc>
          <w:tcPr>
            <w:tcW w:w="1417"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44.8</w:t>
            </w:r>
          </w:p>
        </w:tc>
        <w:tc>
          <w:tcPr>
            <w:tcW w:w="141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50</w:t>
            </w:r>
          </w:p>
        </w:tc>
        <w:tc>
          <w:tcPr>
            <w:tcW w:w="118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restart"/>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北侧</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24.5</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76.9</w:t>
            </w:r>
          </w:p>
        </w:tc>
        <w:tc>
          <w:tcPr>
            <w:tcW w:w="80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昼间</w:t>
            </w:r>
          </w:p>
        </w:tc>
        <w:tc>
          <w:tcPr>
            <w:tcW w:w="1417"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48.5</w:t>
            </w:r>
          </w:p>
        </w:tc>
        <w:tc>
          <w:tcPr>
            <w:tcW w:w="141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60</w:t>
            </w:r>
          </w:p>
        </w:tc>
        <w:tc>
          <w:tcPr>
            <w:tcW w:w="1188" w:type="dxa"/>
            <w:shd w:val="clear" w:color="auto" w:fill="FFFFFF"/>
            <w:vAlign w:val="center"/>
          </w:tcPr>
          <w:p>
            <w:pPr>
              <w:adjustRightInd w:val="0"/>
              <w:snapToGrid w:val="0"/>
              <w:jc w:val="center"/>
              <w:textAlignment w:val="center"/>
              <w:rPr>
                <w:rFonts w:ascii="Times New Roman" w:eastAsia="宋体"/>
                <w:color w:val="auto"/>
                <w:sz w:val="21"/>
              </w:rPr>
            </w:pPr>
            <w:r>
              <w:rPr>
                <w:rFonts w:ascii="Times New Roman" w:eastAsia="宋体"/>
                <w:color w:val="auto"/>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101" w:type="dxa"/>
            <w:vMerge w:val="continue"/>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北侧</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24.5</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76.9</w:t>
            </w:r>
          </w:p>
        </w:tc>
        <w:tc>
          <w:tcPr>
            <w:tcW w:w="80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1.2</w:t>
            </w:r>
          </w:p>
        </w:tc>
        <w:tc>
          <w:tcPr>
            <w:tcW w:w="993"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夜间</w:t>
            </w:r>
          </w:p>
        </w:tc>
        <w:tc>
          <w:tcPr>
            <w:tcW w:w="1417"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48.5</w:t>
            </w:r>
          </w:p>
        </w:tc>
        <w:tc>
          <w:tcPr>
            <w:tcW w:w="141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50</w:t>
            </w:r>
          </w:p>
        </w:tc>
        <w:tc>
          <w:tcPr>
            <w:tcW w:w="1188" w:type="dxa"/>
            <w:shd w:val="clear" w:color="auto" w:fill="FFFFFF"/>
            <w:vAlign w:val="center"/>
          </w:tcPr>
          <w:p>
            <w:pPr>
              <w:adjustRightInd w:val="0"/>
              <w:snapToGrid w:val="0"/>
              <w:jc w:val="center"/>
              <w:textAlignment w:val="center"/>
              <w:rPr>
                <w:rFonts w:ascii="Times New Roman" w:eastAsia="宋体"/>
                <w:color w:val="auto"/>
                <w:sz w:val="21"/>
                <w:szCs w:val="21"/>
              </w:rPr>
            </w:pPr>
            <w:r>
              <w:rPr>
                <w:rFonts w:ascii="Times New Roman" w:eastAsia="宋体"/>
                <w:color w:val="auto"/>
                <w:sz w:val="21"/>
                <w:szCs w:val="21"/>
              </w:rPr>
              <w:t>达标</w:t>
            </w:r>
          </w:p>
        </w:tc>
      </w:tr>
    </w:tbl>
    <w:p>
      <w:pPr>
        <w:pStyle w:val="17"/>
        <w:rPr>
          <w:rFonts w:ascii="Times New Roman" w:hAnsi="Times New Roman" w:eastAsia="宋体"/>
          <w:b/>
          <w:color w:val="auto"/>
          <w:sz w:val="24"/>
          <w:u w:val="single"/>
        </w:rPr>
      </w:pPr>
      <w:r>
        <w:rPr>
          <w:rFonts w:ascii="Times New Roman" w:hAnsi="Times New Roman" w:eastAsia="宋体"/>
          <w:color w:val="auto"/>
          <w:sz w:val="21"/>
        </w:rPr>
        <w:t>注：表中坐标以厂界中心，正东向为X轴正方向，正北向为Y轴正方向</w:t>
      </w:r>
    </w:p>
    <w:p>
      <w:pPr>
        <w:spacing w:line="360" w:lineRule="auto"/>
        <w:jc w:val="center"/>
        <w:rPr>
          <w:rFonts w:ascii="Times New Roman" w:eastAsia="宋体"/>
          <w:color w:val="auto"/>
          <w:u w:val="single"/>
        </w:rPr>
      </w:pPr>
      <w:r>
        <w:rPr>
          <w:rFonts w:asciiTheme="minorEastAsia" w:hAnsiTheme="minorEastAsia" w:eastAsiaTheme="minorEastAsia"/>
          <w:b/>
          <w:color w:val="auto"/>
          <w:sz w:val="21"/>
          <w:szCs w:val="21"/>
        </w:rPr>
        <w:t>表</w:t>
      </w:r>
      <w:r>
        <w:rPr>
          <w:rFonts w:hint="eastAsia" w:ascii="Times New Roman" w:eastAsiaTheme="minorEastAsia"/>
          <w:b/>
          <w:color w:val="auto"/>
          <w:sz w:val="21"/>
          <w:szCs w:val="21"/>
        </w:rPr>
        <w:t>5.2-20</w:t>
      </w:r>
      <w:r>
        <w:rPr>
          <w:rFonts w:ascii="Times New Roman" w:eastAsiaTheme="minorEastAsia"/>
          <w:b/>
          <w:color w:val="auto"/>
          <w:sz w:val="21"/>
          <w:szCs w:val="21"/>
        </w:rPr>
        <w:tab/>
      </w:r>
      <w:r>
        <w:rPr>
          <w:rFonts w:asciiTheme="minorEastAsia" w:hAnsiTheme="minorEastAsia" w:eastAsiaTheme="minorEastAsia"/>
          <w:b/>
          <w:color w:val="auto"/>
          <w:sz w:val="21"/>
          <w:szCs w:val="21"/>
        </w:rPr>
        <w:t>工</w:t>
      </w:r>
      <w:r>
        <w:rPr>
          <w:rFonts w:asciiTheme="minorEastAsia" w:hAnsiTheme="minorEastAsia" w:eastAsiaTheme="minorEastAsia"/>
          <w:b/>
          <w:color w:val="auto"/>
          <w:spacing w:val="-3"/>
          <w:sz w:val="21"/>
          <w:szCs w:val="21"/>
        </w:rPr>
        <w:t>业</w:t>
      </w:r>
      <w:r>
        <w:rPr>
          <w:rFonts w:asciiTheme="minorEastAsia" w:hAnsiTheme="minorEastAsia" w:eastAsiaTheme="minorEastAsia"/>
          <w:b/>
          <w:color w:val="auto"/>
          <w:sz w:val="21"/>
          <w:szCs w:val="21"/>
        </w:rPr>
        <w:t>企</w:t>
      </w:r>
      <w:r>
        <w:rPr>
          <w:rFonts w:asciiTheme="minorEastAsia" w:hAnsiTheme="minorEastAsia" w:eastAsiaTheme="minorEastAsia"/>
          <w:b/>
          <w:color w:val="auto"/>
          <w:spacing w:val="-3"/>
          <w:sz w:val="21"/>
          <w:szCs w:val="21"/>
        </w:rPr>
        <w:t>业</w:t>
      </w:r>
      <w:r>
        <w:rPr>
          <w:rFonts w:asciiTheme="minorEastAsia" w:hAnsiTheme="minorEastAsia" w:eastAsiaTheme="minorEastAsia"/>
          <w:b/>
          <w:color w:val="auto"/>
          <w:sz w:val="21"/>
          <w:szCs w:val="21"/>
        </w:rPr>
        <w:t>声</w:t>
      </w:r>
      <w:r>
        <w:rPr>
          <w:rFonts w:asciiTheme="minorEastAsia" w:hAnsiTheme="minorEastAsia" w:eastAsiaTheme="minorEastAsia"/>
          <w:b/>
          <w:color w:val="auto"/>
          <w:spacing w:val="-3"/>
          <w:sz w:val="21"/>
          <w:szCs w:val="21"/>
        </w:rPr>
        <w:t>环境</w:t>
      </w:r>
      <w:r>
        <w:rPr>
          <w:rFonts w:asciiTheme="minorEastAsia" w:hAnsiTheme="minorEastAsia" w:eastAsiaTheme="minorEastAsia"/>
          <w:b/>
          <w:color w:val="auto"/>
          <w:sz w:val="21"/>
          <w:szCs w:val="21"/>
        </w:rPr>
        <w:t>保护</w:t>
      </w:r>
      <w:r>
        <w:rPr>
          <w:rFonts w:asciiTheme="minorEastAsia" w:hAnsiTheme="minorEastAsia" w:eastAsiaTheme="minorEastAsia"/>
          <w:b/>
          <w:color w:val="auto"/>
          <w:spacing w:val="-3"/>
          <w:sz w:val="21"/>
          <w:szCs w:val="21"/>
        </w:rPr>
        <w:t>目</w:t>
      </w:r>
      <w:r>
        <w:rPr>
          <w:rFonts w:asciiTheme="minorEastAsia" w:hAnsiTheme="minorEastAsia" w:eastAsiaTheme="minorEastAsia"/>
          <w:b/>
          <w:color w:val="auto"/>
          <w:sz w:val="21"/>
          <w:szCs w:val="21"/>
        </w:rPr>
        <w:t>标</w:t>
      </w:r>
      <w:r>
        <w:rPr>
          <w:rFonts w:asciiTheme="minorEastAsia" w:hAnsiTheme="minorEastAsia" w:eastAsiaTheme="minorEastAsia"/>
          <w:b/>
          <w:color w:val="auto"/>
          <w:spacing w:val="-3"/>
          <w:sz w:val="21"/>
          <w:szCs w:val="21"/>
        </w:rPr>
        <w:t>噪</w:t>
      </w:r>
      <w:r>
        <w:rPr>
          <w:rFonts w:asciiTheme="minorEastAsia" w:hAnsiTheme="minorEastAsia" w:eastAsiaTheme="minorEastAsia"/>
          <w:b/>
          <w:color w:val="auto"/>
          <w:sz w:val="21"/>
          <w:szCs w:val="21"/>
        </w:rPr>
        <w:t>声</w:t>
      </w:r>
      <w:r>
        <w:rPr>
          <w:rFonts w:asciiTheme="minorEastAsia" w:hAnsiTheme="minorEastAsia" w:eastAsiaTheme="minorEastAsia"/>
          <w:b/>
          <w:color w:val="auto"/>
          <w:spacing w:val="-3"/>
          <w:sz w:val="21"/>
          <w:szCs w:val="21"/>
        </w:rPr>
        <w:t>预</w:t>
      </w:r>
      <w:r>
        <w:rPr>
          <w:rFonts w:asciiTheme="minorEastAsia" w:hAnsiTheme="minorEastAsia" w:eastAsiaTheme="minorEastAsia"/>
          <w:b/>
          <w:color w:val="auto"/>
          <w:sz w:val="21"/>
          <w:szCs w:val="21"/>
        </w:rPr>
        <w:t>测</w:t>
      </w:r>
      <w:r>
        <w:rPr>
          <w:rFonts w:asciiTheme="minorEastAsia" w:hAnsiTheme="minorEastAsia" w:eastAsiaTheme="minorEastAsia"/>
          <w:b/>
          <w:color w:val="auto"/>
          <w:spacing w:val="-3"/>
          <w:sz w:val="21"/>
          <w:szCs w:val="21"/>
        </w:rPr>
        <w:t>结</w:t>
      </w:r>
      <w:r>
        <w:rPr>
          <w:rFonts w:asciiTheme="minorEastAsia" w:hAnsiTheme="minorEastAsia" w:eastAsiaTheme="minorEastAsia"/>
          <w:b/>
          <w:color w:val="auto"/>
          <w:sz w:val="21"/>
          <w:szCs w:val="21"/>
        </w:rPr>
        <w:t>果</w:t>
      </w:r>
      <w:r>
        <w:rPr>
          <w:rFonts w:asciiTheme="minorEastAsia" w:hAnsiTheme="minorEastAsia" w:eastAsiaTheme="minorEastAsia"/>
          <w:b/>
          <w:color w:val="auto"/>
          <w:spacing w:val="-3"/>
          <w:sz w:val="21"/>
          <w:szCs w:val="21"/>
        </w:rPr>
        <w:t>与</w:t>
      </w:r>
      <w:r>
        <w:rPr>
          <w:rFonts w:asciiTheme="minorEastAsia" w:hAnsiTheme="minorEastAsia" w:eastAsiaTheme="minorEastAsia"/>
          <w:b/>
          <w:color w:val="auto"/>
          <w:sz w:val="21"/>
          <w:szCs w:val="21"/>
        </w:rPr>
        <w:t>达标</w:t>
      </w:r>
      <w:r>
        <w:rPr>
          <w:rFonts w:asciiTheme="minorEastAsia" w:hAnsiTheme="minorEastAsia" w:eastAsiaTheme="minorEastAsia"/>
          <w:b/>
          <w:color w:val="auto"/>
          <w:spacing w:val="-3"/>
          <w:sz w:val="21"/>
          <w:szCs w:val="21"/>
        </w:rPr>
        <w:t>分</w:t>
      </w:r>
      <w:r>
        <w:rPr>
          <w:rFonts w:asciiTheme="minorEastAsia" w:hAnsiTheme="minorEastAsia" w:eastAsiaTheme="minorEastAsia"/>
          <w:b/>
          <w:color w:val="auto"/>
          <w:sz w:val="21"/>
          <w:szCs w:val="21"/>
        </w:rPr>
        <w:t>析表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885"/>
        <w:gridCol w:w="572"/>
        <w:gridCol w:w="609"/>
        <w:gridCol w:w="526"/>
        <w:gridCol w:w="526"/>
        <w:gridCol w:w="670"/>
        <w:gridCol w:w="670"/>
        <w:gridCol w:w="670"/>
        <w:gridCol w:w="670"/>
        <w:gridCol w:w="591"/>
        <w:gridCol w:w="591"/>
        <w:gridCol w:w="529"/>
        <w:gridCol w:w="5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snapToGrid w:val="0"/>
              <w:jc w:val="center"/>
              <w:rPr>
                <w:rFonts w:ascii="Times New Roman" w:eastAsia="宋体"/>
                <w:color w:val="auto"/>
                <w:sz w:val="21"/>
                <w:szCs w:val="21"/>
              </w:rPr>
            </w:pPr>
            <w:r>
              <w:rPr>
                <w:rFonts w:ascii="Times New Roman" w:eastAsia="宋体"/>
                <w:b/>
                <w:color w:val="auto"/>
                <w:sz w:val="21"/>
                <w:szCs w:val="21"/>
              </w:rPr>
              <w:t>序号</w:t>
            </w:r>
          </w:p>
        </w:tc>
        <w:tc>
          <w:tcPr>
            <w:tcW w:w="867" w:type="dxa"/>
            <w:vMerge w:val="restart"/>
            <w:vAlign w:val="center"/>
          </w:tcPr>
          <w:p>
            <w:pPr>
              <w:snapToGrid w:val="0"/>
              <w:jc w:val="center"/>
              <w:rPr>
                <w:rFonts w:ascii="Times New Roman" w:eastAsia="宋体"/>
                <w:color w:val="auto"/>
                <w:sz w:val="21"/>
                <w:szCs w:val="21"/>
              </w:rPr>
            </w:pPr>
            <w:r>
              <w:rPr>
                <w:rFonts w:ascii="Times New Roman" w:eastAsia="宋体"/>
                <w:b/>
                <w:color w:val="auto"/>
                <w:sz w:val="21"/>
                <w:szCs w:val="21"/>
              </w:rPr>
              <w:t>声环境保护目标名称</w:t>
            </w:r>
          </w:p>
        </w:tc>
        <w:tc>
          <w:tcPr>
            <w:tcW w:w="1122" w:type="dxa"/>
            <w:gridSpan w:val="2"/>
            <w:vAlign w:val="center"/>
          </w:tcPr>
          <w:p>
            <w:pPr>
              <w:snapToGrid w:val="0"/>
              <w:jc w:val="center"/>
              <w:rPr>
                <w:rFonts w:ascii="Times New Roman" w:eastAsia="宋体"/>
                <w:color w:val="auto"/>
                <w:sz w:val="21"/>
                <w:szCs w:val="21"/>
              </w:rPr>
            </w:pPr>
            <w:r>
              <w:rPr>
                <w:rFonts w:ascii="Times New Roman" w:eastAsia="宋体"/>
                <w:b/>
                <w:color w:val="auto"/>
                <w:sz w:val="21"/>
                <w:szCs w:val="21"/>
              </w:rPr>
              <w:t>噪声现状值/dB(A)</w:t>
            </w:r>
          </w:p>
        </w:tc>
        <w:tc>
          <w:tcPr>
            <w:tcW w:w="0" w:type="auto"/>
            <w:gridSpan w:val="2"/>
            <w:vAlign w:val="center"/>
          </w:tcPr>
          <w:p>
            <w:pPr>
              <w:snapToGrid w:val="0"/>
              <w:jc w:val="center"/>
              <w:rPr>
                <w:rFonts w:ascii="Times New Roman" w:eastAsia="宋体"/>
                <w:color w:val="auto"/>
                <w:sz w:val="21"/>
                <w:szCs w:val="21"/>
              </w:rPr>
            </w:pPr>
            <w:r>
              <w:rPr>
                <w:rFonts w:ascii="Times New Roman" w:eastAsia="宋体"/>
                <w:b/>
                <w:color w:val="auto"/>
                <w:sz w:val="21"/>
                <w:szCs w:val="21"/>
              </w:rPr>
              <w:t>噪声标准/dB(A)</w:t>
            </w:r>
          </w:p>
        </w:tc>
        <w:tc>
          <w:tcPr>
            <w:tcW w:w="0" w:type="auto"/>
            <w:gridSpan w:val="2"/>
            <w:vAlign w:val="center"/>
          </w:tcPr>
          <w:p>
            <w:pPr>
              <w:snapToGrid w:val="0"/>
              <w:jc w:val="center"/>
              <w:rPr>
                <w:rFonts w:ascii="Times New Roman" w:eastAsia="宋体"/>
                <w:color w:val="auto"/>
                <w:sz w:val="21"/>
                <w:szCs w:val="21"/>
              </w:rPr>
            </w:pPr>
            <w:r>
              <w:rPr>
                <w:rFonts w:ascii="Times New Roman" w:eastAsia="宋体"/>
                <w:b/>
                <w:color w:val="auto"/>
                <w:sz w:val="21"/>
                <w:szCs w:val="21"/>
              </w:rPr>
              <w:t>噪声贡献值/dB(A)</w:t>
            </w:r>
          </w:p>
        </w:tc>
        <w:tc>
          <w:tcPr>
            <w:tcW w:w="0" w:type="auto"/>
            <w:gridSpan w:val="2"/>
            <w:vAlign w:val="center"/>
          </w:tcPr>
          <w:p>
            <w:pPr>
              <w:snapToGrid w:val="0"/>
              <w:jc w:val="center"/>
              <w:rPr>
                <w:rFonts w:ascii="Times New Roman" w:eastAsia="宋体"/>
                <w:color w:val="auto"/>
                <w:sz w:val="21"/>
                <w:szCs w:val="21"/>
              </w:rPr>
            </w:pPr>
            <w:r>
              <w:rPr>
                <w:rFonts w:ascii="Times New Roman" w:eastAsia="宋体"/>
                <w:b/>
                <w:color w:val="auto"/>
                <w:sz w:val="21"/>
                <w:szCs w:val="21"/>
              </w:rPr>
              <w:t>噪声预测值/dB(A)</w:t>
            </w:r>
          </w:p>
        </w:tc>
        <w:tc>
          <w:tcPr>
            <w:tcW w:w="0" w:type="auto"/>
            <w:gridSpan w:val="2"/>
            <w:vAlign w:val="center"/>
          </w:tcPr>
          <w:p>
            <w:pPr>
              <w:snapToGrid w:val="0"/>
              <w:jc w:val="center"/>
              <w:rPr>
                <w:rFonts w:ascii="Times New Roman" w:eastAsia="宋体"/>
                <w:color w:val="auto"/>
                <w:sz w:val="21"/>
                <w:szCs w:val="21"/>
              </w:rPr>
            </w:pPr>
            <w:r>
              <w:rPr>
                <w:rFonts w:ascii="Times New Roman" w:eastAsia="宋体"/>
                <w:b/>
                <w:color w:val="auto"/>
                <w:sz w:val="21"/>
                <w:szCs w:val="21"/>
              </w:rPr>
              <w:t>较现状增量/dB(A)</w:t>
            </w:r>
          </w:p>
        </w:tc>
        <w:tc>
          <w:tcPr>
            <w:tcW w:w="0" w:type="auto"/>
            <w:gridSpan w:val="2"/>
            <w:vAlign w:val="center"/>
          </w:tcPr>
          <w:p>
            <w:pPr>
              <w:snapToGrid w:val="0"/>
              <w:jc w:val="center"/>
              <w:rPr>
                <w:rFonts w:ascii="Times New Roman" w:eastAsia="宋体"/>
                <w:color w:val="auto"/>
                <w:sz w:val="21"/>
                <w:szCs w:val="21"/>
              </w:rPr>
            </w:pPr>
            <w:r>
              <w:rPr>
                <w:rFonts w:ascii="Times New Roman" w:eastAsia="宋体"/>
                <w:b/>
                <w:color w:val="auto"/>
                <w:sz w:val="21"/>
                <w:szCs w:val="21"/>
              </w:rPr>
              <w:t>超标和达标情况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shd w:val="clear" w:color="auto" w:fill="FFFFFF"/>
            <w:vAlign w:val="center"/>
          </w:tcPr>
          <w:p>
            <w:pPr>
              <w:snapToGrid w:val="0"/>
              <w:jc w:val="center"/>
              <w:rPr>
                <w:rFonts w:ascii="Times New Roman" w:eastAsia="宋体"/>
                <w:color w:val="auto"/>
                <w:sz w:val="21"/>
              </w:rPr>
            </w:pPr>
          </w:p>
        </w:tc>
        <w:tc>
          <w:tcPr>
            <w:tcW w:w="867" w:type="dxa"/>
            <w:vMerge w:val="continue"/>
            <w:shd w:val="clear" w:color="auto" w:fill="FFFFFF"/>
            <w:vAlign w:val="center"/>
          </w:tcPr>
          <w:p>
            <w:pPr>
              <w:snapToGrid w:val="0"/>
              <w:jc w:val="center"/>
              <w:rPr>
                <w:rFonts w:ascii="Times New Roman" w:eastAsia="宋体"/>
                <w:color w:val="auto"/>
                <w:sz w:val="21"/>
              </w:rPr>
            </w:pPr>
          </w:p>
        </w:tc>
        <w:tc>
          <w:tcPr>
            <w:tcW w:w="561" w:type="dxa"/>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昼间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夜间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昼间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夜间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昼间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夜间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昼间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夜间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昼间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夜间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昼间</w:t>
            </w:r>
          </w:p>
        </w:tc>
        <w:tc>
          <w:tcPr>
            <w:tcW w:w="0" w:type="auto"/>
            <w:shd w:val="clear" w:color="auto" w:fill="FFFFFF"/>
            <w:vAlign w:val="center"/>
          </w:tcPr>
          <w:p>
            <w:pPr>
              <w:snapToGrid w:val="0"/>
              <w:jc w:val="center"/>
              <w:rPr>
                <w:rFonts w:ascii="Times New Roman" w:eastAsia="宋体"/>
                <w:b/>
                <w:bCs/>
                <w:color w:val="auto"/>
                <w:sz w:val="21"/>
                <w:szCs w:val="21"/>
              </w:rPr>
            </w:pPr>
            <w:r>
              <w:rPr>
                <w:rFonts w:ascii="Times New Roman" w:eastAsia="宋体"/>
                <w:b/>
                <w:bCs/>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1</w:t>
            </w:r>
          </w:p>
        </w:tc>
        <w:tc>
          <w:tcPr>
            <w:tcW w:w="867" w:type="dxa"/>
            <w:shd w:val="clear" w:color="auto" w:fill="FFFFFF"/>
            <w:vAlign w:val="center"/>
          </w:tcPr>
          <w:p>
            <w:pPr>
              <w:snapToGrid w:val="0"/>
              <w:jc w:val="center"/>
              <w:rPr>
                <w:rFonts w:ascii="Times New Roman" w:eastAsia="宋体"/>
                <w:color w:val="auto"/>
                <w:sz w:val="21"/>
                <w:szCs w:val="21"/>
              </w:rPr>
            </w:pPr>
            <w:r>
              <w:rPr>
                <w:rFonts w:ascii="Times New Roman" w:eastAsia="宋体"/>
                <w:color w:val="auto"/>
                <w:sz w:val="21"/>
                <w:szCs w:val="21"/>
              </w:rPr>
              <w:t>袁家屋居民点</w:t>
            </w:r>
          </w:p>
        </w:tc>
        <w:tc>
          <w:tcPr>
            <w:tcW w:w="561" w:type="dxa"/>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52</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45</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60</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50</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14.1</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14.1</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52.0</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45.0</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0.0</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0.0</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达标</w:t>
            </w:r>
          </w:p>
        </w:tc>
        <w:tc>
          <w:tcPr>
            <w:tcW w:w="0" w:type="auto"/>
            <w:shd w:val="clear" w:color="auto" w:fill="FFFFFF"/>
            <w:vAlign w:val="center"/>
          </w:tcPr>
          <w:p>
            <w:pPr>
              <w:snapToGrid w:val="0"/>
              <w:rPr>
                <w:rFonts w:ascii="Times New Roman" w:eastAsia="宋体"/>
                <w:color w:val="auto"/>
                <w:sz w:val="21"/>
                <w:szCs w:val="21"/>
              </w:rPr>
            </w:pPr>
            <w:r>
              <w:rPr>
                <w:rFonts w:ascii="Times New Roman" w:eastAsia="宋体"/>
                <w:color w:val="auto"/>
                <w:sz w:val="21"/>
                <w:szCs w:val="21"/>
              </w:rPr>
              <w:t>达标</w:t>
            </w:r>
          </w:p>
        </w:tc>
      </w:tr>
    </w:tbl>
    <w:p>
      <w:pPr>
        <w:spacing w:line="360" w:lineRule="auto"/>
        <w:ind w:firstLine="496" w:firstLineChars="200"/>
        <w:rPr>
          <w:rFonts w:ascii="Times New Roman" w:eastAsia="宋体"/>
          <w:color w:val="auto"/>
        </w:rPr>
      </w:pPr>
      <w:r>
        <w:rPr>
          <w:rFonts w:ascii="Times New Roman" w:eastAsia="宋体"/>
          <w:color w:val="auto"/>
        </w:rPr>
        <w:t>项目建成投产后，根据上述预测结果可知项目厂界能满足《工业企业厂界环境噪声排放标准》（GB12348-2008）2类标准限值要求</w:t>
      </w:r>
      <w:r>
        <w:rPr>
          <w:rFonts w:hint="eastAsia" w:ascii="Times New Roman" w:eastAsia="宋体"/>
          <w:color w:val="auto"/>
        </w:rPr>
        <w:t>，</w:t>
      </w:r>
      <w:r>
        <w:rPr>
          <w:rFonts w:ascii="Times New Roman" w:eastAsia="宋体"/>
          <w:color w:val="auto"/>
        </w:rPr>
        <w:t>且</w:t>
      </w:r>
      <w:r>
        <w:rPr>
          <w:rFonts w:ascii="Times New Roman" w:eastAsiaTheme="minorEastAsia"/>
          <w:color w:val="auto"/>
          <w:szCs w:val="24"/>
        </w:rPr>
        <w:t xml:space="preserve">项目声环境保护目标噪声满足《声环境质量标准》(GB3096-2008) </w:t>
      </w:r>
      <w:bookmarkStart w:id="430" w:name="PO_2"/>
      <w:bookmarkEnd w:id="430"/>
      <w:r>
        <w:rPr>
          <w:rFonts w:ascii="Times New Roman" w:eastAsiaTheme="minorEastAsia"/>
          <w:color w:val="auto"/>
          <w:szCs w:val="24"/>
        </w:rPr>
        <w:t>类标准</w:t>
      </w:r>
      <w:r>
        <w:rPr>
          <w:rFonts w:ascii="Times New Roman" w:eastAsia="宋体"/>
          <w:color w:val="auto"/>
        </w:rPr>
        <w:t>。</w:t>
      </w:r>
      <w:r>
        <w:rPr>
          <w:rFonts w:hint="eastAsia" w:ascii="Times New Roman" w:eastAsia="宋体"/>
          <w:color w:val="auto"/>
        </w:rPr>
        <w:t>项目运行对周边噪声影响较小。</w:t>
      </w:r>
    </w:p>
    <w:p>
      <w:pPr>
        <w:pStyle w:val="4"/>
        <w:spacing w:before="0" w:after="0" w:line="360" w:lineRule="auto"/>
        <w:rPr>
          <w:rFonts w:hint="eastAsia" w:ascii="Times New Roman" w:eastAsia="宋体"/>
          <w:b/>
          <w:bCs/>
          <w:color w:val="auto"/>
          <w:sz w:val="24"/>
        </w:rPr>
      </w:pPr>
      <w:bookmarkStart w:id="431" w:name="_Toc16971"/>
      <w:r>
        <w:rPr>
          <w:rFonts w:hint="eastAsia" w:ascii="Times New Roman" w:eastAsia="宋体"/>
          <w:b/>
          <w:bCs/>
          <w:color w:val="auto"/>
          <w:sz w:val="24"/>
        </w:rPr>
        <w:t>5.2.5固体废物环境影响评价</w:t>
      </w:r>
      <w:bookmarkEnd w:id="422"/>
      <w:bookmarkEnd w:id="423"/>
      <w:bookmarkEnd w:id="431"/>
    </w:p>
    <w:p>
      <w:pPr>
        <w:pStyle w:val="5"/>
        <w:numPr>
          <w:ilvl w:val="0"/>
          <w:numId w:val="0"/>
        </w:numPr>
        <w:tabs>
          <w:tab w:val="clear" w:pos="864"/>
        </w:tabs>
        <w:spacing w:before="0" w:after="0" w:line="360" w:lineRule="auto"/>
        <w:rPr>
          <w:rFonts w:ascii="Times New Roman" w:hAnsi="Times New Roman" w:eastAsia="宋体"/>
          <w:color w:val="auto"/>
        </w:rPr>
      </w:pPr>
      <w:bookmarkStart w:id="432" w:name="_Toc397698087"/>
      <w:r>
        <w:rPr>
          <w:rFonts w:hint="eastAsia" w:ascii="Times New Roman" w:hAnsi="Times New Roman" w:eastAsia="宋体"/>
          <w:color w:val="auto"/>
        </w:rPr>
        <w:t>5.2.5.1</w:t>
      </w:r>
      <w:r>
        <w:rPr>
          <w:rFonts w:ascii="Times New Roman" w:hAnsi="Times New Roman" w:eastAsia="宋体"/>
          <w:color w:val="auto"/>
        </w:rPr>
        <w:t>固体废物处置方案</w:t>
      </w:r>
    </w:p>
    <w:p>
      <w:pPr>
        <w:spacing w:line="360" w:lineRule="auto"/>
        <w:ind w:firstLine="496" w:firstLineChars="200"/>
        <w:rPr>
          <w:rFonts w:ascii="Times New Roman" w:eastAsia="宋体"/>
          <w:color w:val="auto"/>
        </w:rPr>
      </w:pPr>
      <w:r>
        <w:rPr>
          <w:rFonts w:hint="eastAsia" w:hAnsi="宋体" w:eastAsia="宋体" w:cs="宋体"/>
          <w:color w:val="auto"/>
          <w:szCs w:val="24"/>
        </w:rPr>
        <w:t>根据工程分析结果，项目固废包括</w:t>
      </w:r>
      <w:r>
        <w:rPr>
          <w:rFonts w:ascii="Times New Roman" w:eastAsia="宋体"/>
          <w:color w:val="auto"/>
        </w:rPr>
        <w:t>鸡粪</w:t>
      </w:r>
      <w:r>
        <w:rPr>
          <w:rFonts w:hint="eastAsia" w:ascii="Times New Roman" w:eastAsia="宋体"/>
          <w:color w:val="auto"/>
        </w:rPr>
        <w:t>、饲料残渣、羽毛</w:t>
      </w:r>
      <w:r>
        <w:rPr>
          <w:rFonts w:ascii="Times New Roman" w:eastAsia="宋体"/>
          <w:color w:val="auto"/>
        </w:rPr>
        <w:t>、病死鸡、</w:t>
      </w:r>
      <w:r>
        <w:rPr>
          <w:rFonts w:hint="eastAsia" w:ascii="Times New Roman" w:eastAsia="宋体"/>
          <w:color w:val="auto"/>
        </w:rPr>
        <w:t>污泥、</w:t>
      </w:r>
      <w:r>
        <w:rPr>
          <w:rFonts w:ascii="Times New Roman" w:eastAsia="宋体"/>
          <w:color w:val="auto"/>
        </w:rPr>
        <w:t>职工生活垃圾、</w:t>
      </w:r>
      <w:r>
        <w:rPr>
          <w:rFonts w:hint="eastAsia" w:ascii="Times New Roman" w:eastAsia="宋体"/>
          <w:color w:val="auto"/>
        </w:rPr>
        <w:t>锅炉灰渣</w:t>
      </w:r>
      <w:r>
        <w:rPr>
          <w:rFonts w:hint="eastAsia" w:ascii="Times New Roman" w:eastAsia="宋体"/>
          <w:color w:val="auto"/>
          <w:lang w:eastAsia="zh-CN"/>
        </w:rPr>
        <w:t>、</w:t>
      </w:r>
      <w:r>
        <w:rPr>
          <w:rFonts w:hint="eastAsia" w:ascii="Times New Roman" w:eastAsia="宋体"/>
          <w:color w:val="auto"/>
          <w:lang w:val="en-US" w:eastAsia="zh-CN"/>
        </w:rPr>
        <w:t>收尘灰</w:t>
      </w:r>
      <w:r>
        <w:rPr>
          <w:rFonts w:hint="eastAsia" w:ascii="Times New Roman" w:eastAsia="宋体"/>
          <w:color w:val="auto"/>
        </w:rPr>
        <w:t>、物料废包装物、</w:t>
      </w:r>
      <w:r>
        <w:rPr>
          <w:rFonts w:hint="eastAsia" w:ascii="Times New Roman" w:eastAsia="宋体"/>
          <w:color w:val="auto"/>
          <w:lang w:val="en-US" w:eastAsia="zh-CN"/>
        </w:rPr>
        <w:t>废布袋</w:t>
      </w:r>
      <w:r>
        <w:rPr>
          <w:rFonts w:hint="eastAsia" w:ascii="Times New Roman" w:eastAsia="宋体"/>
          <w:color w:val="auto"/>
        </w:rPr>
        <w:t>及医疗废物</w:t>
      </w:r>
      <w:r>
        <w:rPr>
          <w:rFonts w:ascii="Times New Roman" w:eastAsia="宋体"/>
          <w:color w:val="auto"/>
        </w:rPr>
        <w:t>等</w:t>
      </w:r>
      <w:r>
        <w:rPr>
          <w:rFonts w:hint="eastAsia" w:hAnsi="宋体" w:eastAsia="宋体" w:cs="宋体"/>
          <w:color w:val="auto"/>
          <w:szCs w:val="24"/>
        </w:rPr>
        <w:t>，</w:t>
      </w:r>
      <w:r>
        <w:rPr>
          <w:rFonts w:hAnsi="宋体" w:eastAsia="宋体" w:cs="宋体"/>
          <w:color w:val="auto"/>
          <w:szCs w:val="24"/>
        </w:rPr>
        <w:t>固体废物处置情况见</w:t>
      </w:r>
      <w:r>
        <w:rPr>
          <w:rFonts w:hint="eastAsia" w:hAnsi="宋体" w:eastAsia="宋体" w:cs="宋体"/>
          <w:color w:val="auto"/>
          <w:szCs w:val="24"/>
        </w:rPr>
        <w:t>下表</w:t>
      </w:r>
    </w:p>
    <w:p>
      <w:pPr>
        <w:snapToGrid w:val="0"/>
        <w:spacing w:line="360" w:lineRule="auto"/>
        <w:jc w:val="center"/>
        <w:rPr>
          <w:rFonts w:ascii="Times New Roman" w:eastAsia="宋体"/>
          <w:b/>
          <w:bCs/>
          <w:color w:val="auto"/>
          <w:sz w:val="21"/>
          <w:szCs w:val="21"/>
        </w:rPr>
      </w:pPr>
      <w:r>
        <w:rPr>
          <w:rFonts w:ascii="Times New Roman" w:eastAsia="宋体"/>
          <w:b/>
          <w:bCs/>
          <w:color w:val="auto"/>
          <w:sz w:val="21"/>
          <w:szCs w:val="21"/>
        </w:rPr>
        <w:t>表</w:t>
      </w:r>
      <w:r>
        <w:rPr>
          <w:rFonts w:hint="eastAsia" w:ascii="Times New Roman" w:eastAsia="宋体"/>
          <w:b/>
          <w:bCs/>
          <w:color w:val="auto"/>
          <w:sz w:val="21"/>
          <w:szCs w:val="21"/>
        </w:rPr>
        <w:t>5.2</w:t>
      </w:r>
      <w:r>
        <w:rPr>
          <w:rFonts w:ascii="Times New Roman" w:eastAsia="宋体"/>
          <w:b/>
          <w:bCs/>
          <w:color w:val="auto"/>
          <w:sz w:val="21"/>
          <w:szCs w:val="21"/>
        </w:rPr>
        <w:t>-</w:t>
      </w:r>
      <w:r>
        <w:rPr>
          <w:rFonts w:hint="eastAsia" w:ascii="Times New Roman" w:eastAsia="宋体"/>
          <w:b/>
          <w:bCs/>
          <w:color w:val="auto"/>
          <w:sz w:val="21"/>
          <w:szCs w:val="21"/>
        </w:rPr>
        <w:t>20</w:t>
      </w:r>
      <w:r>
        <w:rPr>
          <w:rFonts w:ascii="Times New Roman" w:eastAsia="宋体"/>
          <w:b/>
          <w:bCs/>
          <w:color w:val="auto"/>
          <w:sz w:val="21"/>
          <w:szCs w:val="21"/>
        </w:rPr>
        <w:t>项目固体废物产生情况及处置措施一览表</w:t>
      </w:r>
    </w:p>
    <w:tbl>
      <w:tblPr>
        <w:tblStyle w:val="47"/>
        <w:tblW w:w="516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471"/>
        <w:gridCol w:w="1442"/>
        <w:gridCol w:w="1490"/>
        <w:gridCol w:w="1206"/>
        <w:gridCol w:w="879"/>
        <w:gridCol w:w="723"/>
        <w:gridCol w:w="1010"/>
        <w:gridCol w:w="13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b/>
                <w:bCs/>
                <w:color w:val="auto"/>
                <w:sz w:val="21"/>
                <w:szCs w:val="21"/>
              </w:rPr>
            </w:pPr>
            <w:r>
              <w:rPr>
                <w:b/>
                <w:bCs/>
                <w:color w:val="auto"/>
                <w:sz w:val="21"/>
                <w:szCs w:val="21"/>
              </w:rPr>
              <w:t>序号</w:t>
            </w:r>
          </w:p>
        </w:tc>
        <w:tc>
          <w:tcPr>
            <w:tcW w:w="838" w:type="pct"/>
            <w:vAlign w:val="center"/>
          </w:tcPr>
          <w:p>
            <w:pPr>
              <w:pStyle w:val="435"/>
              <w:widowControl/>
              <w:snapToGrid w:val="0"/>
              <w:rPr>
                <w:b/>
                <w:bCs/>
                <w:color w:val="auto"/>
                <w:sz w:val="21"/>
                <w:szCs w:val="21"/>
              </w:rPr>
            </w:pPr>
            <w:r>
              <w:rPr>
                <w:b/>
                <w:bCs/>
                <w:color w:val="auto"/>
                <w:sz w:val="21"/>
                <w:szCs w:val="21"/>
              </w:rPr>
              <w:t>固体废物名称</w:t>
            </w:r>
          </w:p>
        </w:tc>
        <w:tc>
          <w:tcPr>
            <w:tcW w:w="866" w:type="pct"/>
            <w:vAlign w:val="center"/>
          </w:tcPr>
          <w:p>
            <w:pPr>
              <w:pStyle w:val="435"/>
              <w:widowControl/>
              <w:snapToGrid w:val="0"/>
              <w:rPr>
                <w:b/>
                <w:bCs/>
                <w:color w:val="auto"/>
                <w:sz w:val="21"/>
                <w:szCs w:val="21"/>
              </w:rPr>
            </w:pPr>
            <w:r>
              <w:rPr>
                <w:b/>
                <w:bCs/>
                <w:color w:val="auto"/>
                <w:sz w:val="21"/>
                <w:szCs w:val="21"/>
              </w:rPr>
              <w:t>产生来源</w:t>
            </w:r>
          </w:p>
        </w:tc>
        <w:tc>
          <w:tcPr>
            <w:tcW w:w="701" w:type="pct"/>
            <w:vAlign w:val="center"/>
          </w:tcPr>
          <w:p>
            <w:pPr>
              <w:pStyle w:val="435"/>
              <w:widowControl/>
              <w:snapToGrid w:val="0"/>
              <w:rPr>
                <w:b/>
                <w:bCs/>
                <w:color w:val="auto"/>
                <w:sz w:val="21"/>
                <w:szCs w:val="21"/>
              </w:rPr>
            </w:pPr>
            <w:r>
              <w:rPr>
                <w:b/>
                <w:bCs/>
                <w:color w:val="auto"/>
                <w:sz w:val="21"/>
                <w:szCs w:val="21"/>
              </w:rPr>
              <w:t>固废代码</w:t>
            </w:r>
          </w:p>
        </w:tc>
        <w:tc>
          <w:tcPr>
            <w:tcW w:w="511" w:type="pct"/>
            <w:vAlign w:val="center"/>
          </w:tcPr>
          <w:p>
            <w:pPr>
              <w:pStyle w:val="435"/>
              <w:widowControl/>
              <w:snapToGrid w:val="0"/>
              <w:rPr>
                <w:b/>
                <w:bCs/>
                <w:color w:val="auto"/>
                <w:sz w:val="21"/>
                <w:szCs w:val="21"/>
              </w:rPr>
            </w:pPr>
            <w:r>
              <w:rPr>
                <w:b/>
                <w:bCs/>
                <w:color w:val="auto"/>
                <w:sz w:val="21"/>
                <w:szCs w:val="21"/>
              </w:rPr>
              <w:t>产生量（t/a）</w:t>
            </w:r>
          </w:p>
        </w:tc>
        <w:tc>
          <w:tcPr>
            <w:tcW w:w="420" w:type="pct"/>
            <w:vAlign w:val="center"/>
          </w:tcPr>
          <w:p>
            <w:pPr>
              <w:pStyle w:val="435"/>
              <w:widowControl/>
              <w:snapToGrid w:val="0"/>
              <w:rPr>
                <w:b/>
                <w:bCs/>
                <w:color w:val="auto"/>
                <w:sz w:val="21"/>
                <w:szCs w:val="21"/>
              </w:rPr>
            </w:pPr>
            <w:r>
              <w:rPr>
                <w:b/>
                <w:bCs/>
                <w:color w:val="auto"/>
                <w:sz w:val="21"/>
                <w:szCs w:val="21"/>
              </w:rPr>
              <w:t>产生频率</w:t>
            </w:r>
          </w:p>
        </w:tc>
        <w:tc>
          <w:tcPr>
            <w:tcW w:w="587" w:type="pct"/>
            <w:vAlign w:val="center"/>
          </w:tcPr>
          <w:p>
            <w:pPr>
              <w:pStyle w:val="435"/>
              <w:widowControl/>
              <w:snapToGrid w:val="0"/>
              <w:rPr>
                <w:b/>
                <w:bCs/>
                <w:color w:val="auto"/>
                <w:sz w:val="21"/>
                <w:szCs w:val="21"/>
              </w:rPr>
            </w:pPr>
            <w:r>
              <w:rPr>
                <w:b/>
                <w:bCs/>
                <w:color w:val="auto"/>
                <w:sz w:val="21"/>
                <w:szCs w:val="21"/>
              </w:rPr>
              <w:t>属性类别</w:t>
            </w:r>
          </w:p>
        </w:tc>
        <w:tc>
          <w:tcPr>
            <w:tcW w:w="799" w:type="pct"/>
            <w:vAlign w:val="center"/>
          </w:tcPr>
          <w:p>
            <w:pPr>
              <w:pStyle w:val="435"/>
              <w:widowControl/>
              <w:snapToGrid w:val="0"/>
              <w:rPr>
                <w:b/>
                <w:bCs/>
                <w:color w:val="auto"/>
                <w:sz w:val="21"/>
                <w:szCs w:val="21"/>
              </w:rPr>
            </w:pPr>
            <w:r>
              <w:rPr>
                <w:b/>
                <w:bCs/>
                <w:color w:val="auto"/>
                <w:sz w:val="21"/>
                <w:szCs w:val="21"/>
              </w:rPr>
              <w:t>处理去向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color w:val="auto"/>
                <w:sz w:val="21"/>
                <w:szCs w:val="21"/>
              </w:rPr>
              <w:t>1</w:t>
            </w:r>
          </w:p>
        </w:tc>
        <w:tc>
          <w:tcPr>
            <w:tcW w:w="838" w:type="pct"/>
            <w:vAlign w:val="center"/>
          </w:tcPr>
          <w:p>
            <w:pPr>
              <w:pStyle w:val="435"/>
              <w:widowControl/>
              <w:snapToGrid w:val="0"/>
              <w:rPr>
                <w:color w:val="auto"/>
                <w:sz w:val="21"/>
                <w:szCs w:val="21"/>
              </w:rPr>
            </w:pPr>
            <w:r>
              <w:rPr>
                <w:rFonts w:hint="eastAsia" w:cs="宋体"/>
                <w:color w:val="auto"/>
                <w:sz w:val="21"/>
                <w:szCs w:val="21"/>
              </w:rPr>
              <w:t>鸡粪</w:t>
            </w:r>
          </w:p>
        </w:tc>
        <w:tc>
          <w:tcPr>
            <w:tcW w:w="866" w:type="pct"/>
            <w:vAlign w:val="center"/>
          </w:tcPr>
          <w:p>
            <w:pPr>
              <w:pStyle w:val="435"/>
              <w:widowControl/>
              <w:snapToGrid w:val="0"/>
              <w:rPr>
                <w:color w:val="auto"/>
                <w:sz w:val="21"/>
                <w:szCs w:val="21"/>
              </w:rPr>
            </w:pPr>
            <w:r>
              <w:rPr>
                <w:rFonts w:hint="eastAsia"/>
                <w:color w:val="auto"/>
                <w:sz w:val="21"/>
                <w:szCs w:val="21"/>
              </w:rPr>
              <w:t>鸡舍</w:t>
            </w:r>
          </w:p>
        </w:tc>
        <w:tc>
          <w:tcPr>
            <w:tcW w:w="701" w:type="pct"/>
            <w:vAlign w:val="center"/>
          </w:tcPr>
          <w:p>
            <w:pPr>
              <w:pStyle w:val="435"/>
              <w:widowControl/>
              <w:snapToGrid w:val="0"/>
              <w:rPr>
                <w:color w:val="auto"/>
                <w:sz w:val="21"/>
                <w:szCs w:val="21"/>
              </w:rPr>
            </w:pPr>
            <w:r>
              <w:rPr>
                <w:rFonts w:hint="eastAsia" w:cs="宋体"/>
                <w:color w:val="auto"/>
                <w:sz w:val="21"/>
                <w:szCs w:val="21"/>
              </w:rPr>
              <w:t>030-001-9</w:t>
            </w:r>
          </w:p>
        </w:tc>
        <w:tc>
          <w:tcPr>
            <w:tcW w:w="511" w:type="pct"/>
            <w:vAlign w:val="center"/>
          </w:tcPr>
          <w:p>
            <w:pPr>
              <w:pStyle w:val="435"/>
              <w:widowControl/>
              <w:snapToGrid w:val="0"/>
              <w:rPr>
                <w:color w:val="auto"/>
                <w:sz w:val="21"/>
                <w:szCs w:val="21"/>
              </w:rPr>
            </w:pPr>
            <w:r>
              <w:rPr>
                <w:rFonts w:hint="eastAsia"/>
                <w:color w:val="auto"/>
                <w:sz w:val="21"/>
                <w:szCs w:val="21"/>
              </w:rPr>
              <w:t>6270</w:t>
            </w:r>
          </w:p>
        </w:tc>
        <w:tc>
          <w:tcPr>
            <w:tcW w:w="420" w:type="pct"/>
            <w:vAlign w:val="center"/>
          </w:tcPr>
          <w:p>
            <w:pPr>
              <w:pStyle w:val="435"/>
              <w:widowControl/>
              <w:snapToGrid w:val="0"/>
              <w:rPr>
                <w:color w:val="auto"/>
                <w:sz w:val="21"/>
                <w:szCs w:val="21"/>
              </w:rPr>
            </w:pPr>
            <w:r>
              <w:rPr>
                <w:rFonts w:hint="eastAsia"/>
                <w:color w:val="auto"/>
                <w:sz w:val="21"/>
                <w:szCs w:val="21"/>
              </w:rPr>
              <w:t>连续</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Merge w:val="restart"/>
            <w:vAlign w:val="center"/>
          </w:tcPr>
          <w:p>
            <w:pPr>
              <w:pStyle w:val="435"/>
              <w:widowControl/>
              <w:snapToGrid w:val="0"/>
              <w:rPr>
                <w:color w:val="auto"/>
                <w:sz w:val="21"/>
                <w:szCs w:val="21"/>
              </w:rPr>
            </w:pPr>
            <w:r>
              <w:rPr>
                <w:rFonts w:hint="eastAsia"/>
                <w:color w:val="auto"/>
                <w:sz w:val="21"/>
                <w:szCs w:val="21"/>
              </w:rPr>
              <w:t>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2</w:t>
            </w:r>
          </w:p>
        </w:tc>
        <w:tc>
          <w:tcPr>
            <w:tcW w:w="838" w:type="pct"/>
            <w:vAlign w:val="center"/>
          </w:tcPr>
          <w:p>
            <w:pPr>
              <w:pStyle w:val="435"/>
              <w:widowControl/>
              <w:snapToGrid w:val="0"/>
              <w:rPr>
                <w:color w:val="auto"/>
                <w:sz w:val="21"/>
                <w:szCs w:val="21"/>
              </w:rPr>
            </w:pPr>
            <w:r>
              <w:rPr>
                <w:rFonts w:hint="eastAsia" w:cs="宋体"/>
                <w:color w:val="auto"/>
                <w:sz w:val="21"/>
                <w:szCs w:val="21"/>
              </w:rPr>
              <w:t>饲料残渣及散落的毛羽</w:t>
            </w:r>
          </w:p>
        </w:tc>
        <w:tc>
          <w:tcPr>
            <w:tcW w:w="866" w:type="pct"/>
            <w:vAlign w:val="center"/>
          </w:tcPr>
          <w:p>
            <w:pPr>
              <w:pStyle w:val="435"/>
              <w:widowControl/>
              <w:snapToGrid w:val="0"/>
              <w:rPr>
                <w:color w:val="auto"/>
                <w:sz w:val="21"/>
                <w:szCs w:val="21"/>
              </w:rPr>
            </w:pPr>
            <w:r>
              <w:rPr>
                <w:rFonts w:hint="eastAsia"/>
                <w:color w:val="auto"/>
                <w:sz w:val="21"/>
                <w:szCs w:val="21"/>
              </w:rPr>
              <w:t>鸡舍</w:t>
            </w:r>
          </w:p>
        </w:tc>
        <w:tc>
          <w:tcPr>
            <w:tcW w:w="701" w:type="pct"/>
            <w:vAlign w:val="center"/>
          </w:tcPr>
          <w:p>
            <w:pPr>
              <w:pStyle w:val="435"/>
              <w:widowControl/>
              <w:snapToGrid w:val="0"/>
              <w:rPr>
                <w:color w:val="auto"/>
                <w:sz w:val="21"/>
                <w:szCs w:val="21"/>
              </w:rPr>
            </w:pPr>
            <w:r>
              <w:rPr>
                <w:rFonts w:hint="eastAsia" w:cs="宋体"/>
                <w:color w:val="auto"/>
                <w:sz w:val="21"/>
                <w:szCs w:val="21"/>
              </w:rPr>
              <w:t>030-001-9</w:t>
            </w:r>
          </w:p>
        </w:tc>
        <w:tc>
          <w:tcPr>
            <w:tcW w:w="511" w:type="pct"/>
            <w:vAlign w:val="center"/>
          </w:tcPr>
          <w:p>
            <w:pPr>
              <w:pStyle w:val="435"/>
              <w:widowControl/>
              <w:snapToGrid w:val="0"/>
              <w:rPr>
                <w:color w:val="auto"/>
                <w:sz w:val="21"/>
                <w:szCs w:val="21"/>
              </w:rPr>
            </w:pPr>
            <w:r>
              <w:rPr>
                <w:rFonts w:hint="eastAsia"/>
                <w:color w:val="auto"/>
                <w:sz w:val="21"/>
                <w:szCs w:val="21"/>
              </w:rPr>
              <w:t>12</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Merge w:val="continue"/>
            <w:vAlign w:val="center"/>
          </w:tcPr>
          <w:p>
            <w:pPr>
              <w:pStyle w:val="435"/>
              <w:widowControl/>
              <w:snapToGrid w:val="0"/>
              <w:rPr>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3</w:t>
            </w:r>
          </w:p>
        </w:tc>
        <w:tc>
          <w:tcPr>
            <w:tcW w:w="838" w:type="pct"/>
            <w:vAlign w:val="center"/>
          </w:tcPr>
          <w:p>
            <w:pPr>
              <w:pStyle w:val="435"/>
              <w:widowControl/>
              <w:snapToGrid w:val="0"/>
              <w:rPr>
                <w:color w:val="auto"/>
                <w:sz w:val="21"/>
                <w:szCs w:val="21"/>
              </w:rPr>
            </w:pPr>
            <w:r>
              <w:rPr>
                <w:rFonts w:hint="eastAsia" w:cs="宋体"/>
                <w:color w:val="auto"/>
                <w:sz w:val="21"/>
                <w:szCs w:val="21"/>
              </w:rPr>
              <w:t>病死鸡</w:t>
            </w:r>
          </w:p>
        </w:tc>
        <w:tc>
          <w:tcPr>
            <w:tcW w:w="866" w:type="pct"/>
            <w:vAlign w:val="center"/>
          </w:tcPr>
          <w:p>
            <w:pPr>
              <w:pStyle w:val="435"/>
              <w:widowControl/>
              <w:snapToGrid w:val="0"/>
              <w:rPr>
                <w:color w:val="auto"/>
                <w:sz w:val="21"/>
                <w:szCs w:val="21"/>
              </w:rPr>
            </w:pPr>
            <w:r>
              <w:rPr>
                <w:rFonts w:hint="eastAsia"/>
                <w:color w:val="auto"/>
                <w:sz w:val="21"/>
                <w:szCs w:val="21"/>
              </w:rPr>
              <w:t>鸡舍</w:t>
            </w:r>
          </w:p>
        </w:tc>
        <w:tc>
          <w:tcPr>
            <w:tcW w:w="701" w:type="pct"/>
            <w:vAlign w:val="center"/>
          </w:tcPr>
          <w:p>
            <w:pPr>
              <w:pStyle w:val="435"/>
              <w:widowControl/>
              <w:snapToGrid w:val="0"/>
              <w:rPr>
                <w:color w:val="auto"/>
                <w:sz w:val="21"/>
                <w:szCs w:val="21"/>
              </w:rPr>
            </w:pPr>
            <w:r>
              <w:rPr>
                <w:rFonts w:eastAsia="Times New Roman"/>
                <w:color w:val="auto"/>
                <w:spacing w:val="3"/>
                <w:sz w:val="20"/>
              </w:rPr>
              <w:t>030-001-99</w:t>
            </w:r>
          </w:p>
        </w:tc>
        <w:tc>
          <w:tcPr>
            <w:tcW w:w="511" w:type="pct"/>
            <w:vAlign w:val="center"/>
          </w:tcPr>
          <w:p>
            <w:pPr>
              <w:pStyle w:val="435"/>
              <w:widowControl/>
              <w:snapToGrid w:val="0"/>
              <w:rPr>
                <w:color w:val="auto"/>
                <w:sz w:val="21"/>
                <w:szCs w:val="21"/>
              </w:rPr>
            </w:pPr>
            <w:r>
              <w:rPr>
                <w:rFonts w:hint="eastAsia"/>
                <w:color w:val="auto"/>
                <w:sz w:val="21"/>
                <w:szCs w:val="21"/>
              </w:rPr>
              <w:t>2.2</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Align w:val="center"/>
          </w:tcPr>
          <w:p>
            <w:pPr>
              <w:pStyle w:val="435"/>
              <w:widowControl/>
              <w:snapToGrid w:val="0"/>
              <w:rPr>
                <w:color w:val="auto"/>
                <w:sz w:val="21"/>
                <w:szCs w:val="21"/>
              </w:rPr>
            </w:pPr>
            <w:r>
              <w:rPr>
                <w:rFonts w:hint="eastAsia" w:cs="宋体"/>
                <w:color w:val="auto"/>
                <w:sz w:val="21"/>
                <w:szCs w:val="21"/>
              </w:rPr>
              <w:t>交由岳阳县病死禽无害化处理厂处置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4</w:t>
            </w:r>
          </w:p>
        </w:tc>
        <w:tc>
          <w:tcPr>
            <w:tcW w:w="838" w:type="pct"/>
            <w:vAlign w:val="center"/>
          </w:tcPr>
          <w:p>
            <w:pPr>
              <w:pStyle w:val="435"/>
              <w:widowControl/>
              <w:snapToGrid w:val="0"/>
              <w:rPr>
                <w:color w:val="auto"/>
                <w:sz w:val="21"/>
                <w:szCs w:val="21"/>
              </w:rPr>
            </w:pPr>
            <w:r>
              <w:rPr>
                <w:rFonts w:hint="eastAsia" w:cs="宋体"/>
                <w:color w:val="auto"/>
                <w:sz w:val="21"/>
                <w:szCs w:val="21"/>
              </w:rPr>
              <w:t>灰渣</w:t>
            </w:r>
          </w:p>
        </w:tc>
        <w:tc>
          <w:tcPr>
            <w:tcW w:w="866" w:type="pct"/>
            <w:vMerge w:val="restart"/>
            <w:vAlign w:val="center"/>
          </w:tcPr>
          <w:p>
            <w:pPr>
              <w:pStyle w:val="435"/>
              <w:widowControl/>
              <w:snapToGrid w:val="0"/>
              <w:rPr>
                <w:color w:val="auto"/>
                <w:sz w:val="21"/>
                <w:szCs w:val="21"/>
              </w:rPr>
            </w:pPr>
            <w:r>
              <w:rPr>
                <w:rFonts w:hint="eastAsia"/>
                <w:color w:val="auto"/>
                <w:sz w:val="21"/>
                <w:szCs w:val="21"/>
              </w:rPr>
              <w:t>锅炉房</w:t>
            </w:r>
          </w:p>
        </w:tc>
        <w:tc>
          <w:tcPr>
            <w:tcW w:w="701" w:type="pct"/>
            <w:vAlign w:val="center"/>
          </w:tcPr>
          <w:p>
            <w:pPr>
              <w:pStyle w:val="435"/>
              <w:widowControl/>
              <w:snapToGrid w:val="0"/>
              <w:rPr>
                <w:color w:val="auto"/>
                <w:sz w:val="21"/>
                <w:szCs w:val="21"/>
              </w:rPr>
            </w:pPr>
            <w:r>
              <w:rPr>
                <w:rFonts w:eastAsia="Times New Roman"/>
                <w:color w:val="auto"/>
                <w:spacing w:val="3"/>
                <w:sz w:val="20"/>
              </w:rPr>
              <w:t>030-001-99</w:t>
            </w:r>
          </w:p>
        </w:tc>
        <w:tc>
          <w:tcPr>
            <w:tcW w:w="511" w:type="pct"/>
            <w:vAlign w:val="center"/>
          </w:tcPr>
          <w:p>
            <w:pPr>
              <w:pStyle w:val="435"/>
              <w:widowControl/>
              <w:snapToGrid w:val="0"/>
              <w:rPr>
                <w:color w:val="auto"/>
                <w:sz w:val="21"/>
                <w:szCs w:val="21"/>
              </w:rPr>
            </w:pPr>
            <w:r>
              <w:rPr>
                <w:rFonts w:hint="eastAsia"/>
                <w:color w:val="auto"/>
                <w:sz w:val="21"/>
                <w:szCs w:val="21"/>
              </w:rPr>
              <w:t>8.5</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Merge w:val="restart"/>
            <w:vAlign w:val="center"/>
          </w:tcPr>
          <w:p>
            <w:pPr>
              <w:pStyle w:val="435"/>
              <w:widowControl/>
              <w:snapToGrid w:val="0"/>
              <w:rPr>
                <w:color w:val="auto"/>
                <w:sz w:val="21"/>
                <w:szCs w:val="21"/>
              </w:rPr>
            </w:pPr>
            <w:r>
              <w:rPr>
                <w:rFonts w:hint="eastAsia" w:cs="宋体"/>
                <w:color w:val="auto"/>
                <w:sz w:val="21"/>
                <w:szCs w:val="21"/>
              </w:rPr>
              <w:t>周边农田追肥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5</w:t>
            </w:r>
          </w:p>
        </w:tc>
        <w:tc>
          <w:tcPr>
            <w:tcW w:w="838" w:type="pct"/>
            <w:vAlign w:val="center"/>
          </w:tcPr>
          <w:p>
            <w:pPr>
              <w:pStyle w:val="435"/>
              <w:widowControl/>
              <w:snapToGrid w:val="0"/>
              <w:rPr>
                <w:color w:val="auto"/>
                <w:sz w:val="21"/>
                <w:szCs w:val="21"/>
              </w:rPr>
            </w:pPr>
            <w:r>
              <w:rPr>
                <w:rFonts w:hint="eastAsia" w:cs="宋体"/>
                <w:color w:val="auto"/>
                <w:sz w:val="21"/>
                <w:szCs w:val="21"/>
              </w:rPr>
              <w:t>收尘灰</w:t>
            </w:r>
          </w:p>
        </w:tc>
        <w:tc>
          <w:tcPr>
            <w:tcW w:w="866" w:type="pct"/>
            <w:vMerge w:val="continue"/>
            <w:vAlign w:val="center"/>
          </w:tcPr>
          <w:p>
            <w:pPr>
              <w:pStyle w:val="435"/>
              <w:widowControl/>
              <w:snapToGrid w:val="0"/>
              <w:rPr>
                <w:color w:val="auto"/>
                <w:sz w:val="21"/>
                <w:szCs w:val="21"/>
              </w:rPr>
            </w:pPr>
          </w:p>
        </w:tc>
        <w:tc>
          <w:tcPr>
            <w:tcW w:w="701" w:type="pct"/>
            <w:vAlign w:val="center"/>
          </w:tcPr>
          <w:p>
            <w:pPr>
              <w:widowControl/>
              <w:snapToGrid w:val="0"/>
              <w:rPr>
                <w:rFonts w:ascii="Times New Roman" w:eastAsia="宋体"/>
                <w:color w:val="auto"/>
                <w:sz w:val="21"/>
                <w:szCs w:val="21"/>
              </w:rPr>
            </w:pPr>
            <w:r>
              <w:rPr>
                <w:rFonts w:ascii="Times New Roman" w:eastAsia="Times New Roman"/>
                <w:color w:val="auto"/>
                <w:spacing w:val="3"/>
                <w:sz w:val="20"/>
              </w:rPr>
              <w:t>030-001-99</w:t>
            </w:r>
          </w:p>
        </w:tc>
        <w:tc>
          <w:tcPr>
            <w:tcW w:w="511" w:type="pct"/>
            <w:vAlign w:val="center"/>
          </w:tcPr>
          <w:p>
            <w:pPr>
              <w:pStyle w:val="435"/>
              <w:widowControl/>
              <w:snapToGrid w:val="0"/>
              <w:rPr>
                <w:color w:val="auto"/>
                <w:sz w:val="21"/>
                <w:szCs w:val="21"/>
              </w:rPr>
            </w:pPr>
            <w:r>
              <w:rPr>
                <w:rFonts w:hint="eastAsia"/>
                <w:color w:val="auto"/>
                <w:sz w:val="21"/>
                <w:szCs w:val="21"/>
              </w:rPr>
              <w:t>0.069</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Merge w:val="continue"/>
            <w:vAlign w:val="center"/>
          </w:tcPr>
          <w:p>
            <w:pPr>
              <w:pStyle w:val="435"/>
              <w:widowControl/>
              <w:snapToGrid w:val="0"/>
              <w:rPr>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6</w:t>
            </w:r>
          </w:p>
        </w:tc>
        <w:tc>
          <w:tcPr>
            <w:tcW w:w="838" w:type="pct"/>
            <w:vAlign w:val="center"/>
          </w:tcPr>
          <w:p>
            <w:pPr>
              <w:pStyle w:val="435"/>
              <w:widowControl/>
              <w:snapToGrid w:val="0"/>
              <w:rPr>
                <w:color w:val="auto"/>
                <w:sz w:val="21"/>
                <w:szCs w:val="21"/>
              </w:rPr>
            </w:pPr>
            <w:r>
              <w:rPr>
                <w:rFonts w:hint="eastAsia" w:cs="宋体"/>
                <w:color w:val="auto"/>
                <w:sz w:val="21"/>
                <w:szCs w:val="21"/>
              </w:rPr>
              <w:t>废布袋</w:t>
            </w:r>
          </w:p>
        </w:tc>
        <w:tc>
          <w:tcPr>
            <w:tcW w:w="866" w:type="pct"/>
            <w:vMerge w:val="continue"/>
            <w:vAlign w:val="center"/>
          </w:tcPr>
          <w:p>
            <w:pPr>
              <w:pStyle w:val="435"/>
              <w:widowControl/>
              <w:snapToGrid w:val="0"/>
              <w:rPr>
                <w:color w:val="auto"/>
                <w:sz w:val="21"/>
                <w:szCs w:val="21"/>
              </w:rPr>
            </w:pPr>
          </w:p>
        </w:tc>
        <w:tc>
          <w:tcPr>
            <w:tcW w:w="701" w:type="pct"/>
            <w:vAlign w:val="center"/>
          </w:tcPr>
          <w:p>
            <w:pPr>
              <w:widowControl/>
              <w:snapToGrid w:val="0"/>
              <w:rPr>
                <w:rFonts w:ascii="Times New Roman" w:eastAsia="宋体"/>
                <w:color w:val="auto"/>
                <w:sz w:val="21"/>
                <w:szCs w:val="21"/>
              </w:rPr>
            </w:pPr>
            <w:r>
              <w:rPr>
                <w:rFonts w:ascii="Times New Roman" w:eastAsia="Times New Roman"/>
                <w:color w:val="auto"/>
                <w:spacing w:val="3"/>
                <w:sz w:val="20"/>
              </w:rPr>
              <w:t>030-001-99</w:t>
            </w:r>
          </w:p>
        </w:tc>
        <w:tc>
          <w:tcPr>
            <w:tcW w:w="511" w:type="pct"/>
            <w:vAlign w:val="center"/>
          </w:tcPr>
          <w:p>
            <w:pPr>
              <w:pStyle w:val="435"/>
              <w:widowControl/>
              <w:snapToGrid w:val="0"/>
              <w:rPr>
                <w:color w:val="auto"/>
                <w:sz w:val="21"/>
                <w:szCs w:val="21"/>
              </w:rPr>
            </w:pPr>
            <w:r>
              <w:rPr>
                <w:rFonts w:hint="eastAsia"/>
                <w:color w:val="auto"/>
                <w:sz w:val="21"/>
                <w:szCs w:val="21"/>
              </w:rPr>
              <w:t>0.005</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Align w:val="center"/>
          </w:tcPr>
          <w:p>
            <w:pPr>
              <w:pStyle w:val="435"/>
              <w:widowControl/>
              <w:snapToGrid w:val="0"/>
              <w:rPr>
                <w:color w:val="auto"/>
                <w:sz w:val="21"/>
                <w:szCs w:val="21"/>
              </w:rPr>
            </w:pPr>
            <w:r>
              <w:rPr>
                <w:rFonts w:hint="eastAsia" w:cs="宋体"/>
                <w:color w:val="auto"/>
                <w:sz w:val="21"/>
                <w:szCs w:val="21"/>
              </w:rPr>
              <w:t>废品回收站回收处理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7</w:t>
            </w:r>
          </w:p>
        </w:tc>
        <w:tc>
          <w:tcPr>
            <w:tcW w:w="838" w:type="pct"/>
            <w:vAlign w:val="center"/>
          </w:tcPr>
          <w:p>
            <w:pPr>
              <w:pStyle w:val="435"/>
              <w:widowControl/>
              <w:snapToGrid w:val="0"/>
              <w:rPr>
                <w:color w:val="auto"/>
                <w:sz w:val="21"/>
                <w:szCs w:val="21"/>
              </w:rPr>
            </w:pPr>
            <w:r>
              <w:rPr>
                <w:rFonts w:hint="eastAsia" w:cs="宋体"/>
                <w:color w:val="auto"/>
                <w:sz w:val="21"/>
                <w:szCs w:val="21"/>
              </w:rPr>
              <w:t>污泥</w:t>
            </w:r>
          </w:p>
        </w:tc>
        <w:tc>
          <w:tcPr>
            <w:tcW w:w="866" w:type="pct"/>
            <w:vAlign w:val="center"/>
          </w:tcPr>
          <w:p>
            <w:pPr>
              <w:pStyle w:val="435"/>
              <w:widowControl/>
              <w:snapToGrid w:val="0"/>
              <w:rPr>
                <w:color w:val="auto"/>
                <w:sz w:val="21"/>
                <w:szCs w:val="21"/>
              </w:rPr>
            </w:pPr>
            <w:r>
              <w:rPr>
                <w:rFonts w:hint="eastAsia"/>
                <w:color w:val="auto"/>
                <w:sz w:val="21"/>
                <w:szCs w:val="21"/>
              </w:rPr>
              <w:t>沉淀池</w:t>
            </w:r>
          </w:p>
        </w:tc>
        <w:tc>
          <w:tcPr>
            <w:tcW w:w="701" w:type="pct"/>
            <w:vAlign w:val="center"/>
          </w:tcPr>
          <w:p>
            <w:pPr>
              <w:pStyle w:val="435"/>
              <w:widowControl/>
              <w:snapToGrid w:val="0"/>
              <w:rPr>
                <w:color w:val="auto"/>
                <w:sz w:val="21"/>
                <w:szCs w:val="21"/>
              </w:rPr>
            </w:pPr>
            <w:r>
              <w:rPr>
                <w:rFonts w:eastAsia="Times New Roman"/>
                <w:color w:val="auto"/>
                <w:spacing w:val="3"/>
                <w:sz w:val="20"/>
              </w:rPr>
              <w:t>030-001-62</w:t>
            </w:r>
          </w:p>
        </w:tc>
        <w:tc>
          <w:tcPr>
            <w:tcW w:w="511" w:type="pct"/>
            <w:vAlign w:val="center"/>
          </w:tcPr>
          <w:p>
            <w:pPr>
              <w:pStyle w:val="435"/>
              <w:widowControl/>
              <w:snapToGrid w:val="0"/>
              <w:rPr>
                <w:color w:val="auto"/>
                <w:sz w:val="21"/>
                <w:szCs w:val="21"/>
              </w:rPr>
            </w:pPr>
            <w:r>
              <w:rPr>
                <w:rFonts w:hint="eastAsia"/>
                <w:color w:val="auto"/>
                <w:sz w:val="21"/>
                <w:szCs w:val="21"/>
              </w:rPr>
              <w:t>1.40</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Align w:val="center"/>
          </w:tcPr>
          <w:p>
            <w:pPr>
              <w:pStyle w:val="435"/>
              <w:widowControl/>
              <w:snapToGrid w:val="0"/>
              <w:rPr>
                <w:color w:val="auto"/>
                <w:sz w:val="21"/>
                <w:szCs w:val="21"/>
              </w:rPr>
            </w:pPr>
            <w:r>
              <w:rPr>
                <w:rFonts w:hint="eastAsia"/>
                <w:color w:val="auto"/>
                <w:sz w:val="21"/>
                <w:szCs w:val="21"/>
              </w:rPr>
              <w:t>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8</w:t>
            </w:r>
          </w:p>
        </w:tc>
        <w:tc>
          <w:tcPr>
            <w:tcW w:w="838" w:type="pct"/>
            <w:vAlign w:val="center"/>
          </w:tcPr>
          <w:p>
            <w:pPr>
              <w:pStyle w:val="435"/>
              <w:widowControl/>
              <w:snapToGrid w:val="0"/>
              <w:rPr>
                <w:rFonts w:cs="宋体"/>
                <w:color w:val="auto"/>
                <w:sz w:val="21"/>
                <w:szCs w:val="21"/>
              </w:rPr>
            </w:pPr>
            <w:r>
              <w:rPr>
                <w:rFonts w:hint="eastAsia" w:cs="宋体"/>
                <w:color w:val="auto"/>
                <w:sz w:val="21"/>
                <w:szCs w:val="21"/>
              </w:rPr>
              <w:t>饲料废包装袋</w:t>
            </w:r>
          </w:p>
        </w:tc>
        <w:tc>
          <w:tcPr>
            <w:tcW w:w="866" w:type="pct"/>
            <w:vAlign w:val="center"/>
          </w:tcPr>
          <w:p>
            <w:pPr>
              <w:pStyle w:val="435"/>
              <w:widowControl/>
              <w:snapToGrid w:val="0"/>
              <w:rPr>
                <w:color w:val="auto"/>
                <w:sz w:val="21"/>
                <w:szCs w:val="21"/>
              </w:rPr>
            </w:pPr>
            <w:r>
              <w:rPr>
                <w:rFonts w:hint="eastAsia"/>
                <w:color w:val="auto"/>
                <w:sz w:val="21"/>
                <w:szCs w:val="21"/>
              </w:rPr>
              <w:t>鸡舍</w:t>
            </w:r>
          </w:p>
        </w:tc>
        <w:tc>
          <w:tcPr>
            <w:tcW w:w="701" w:type="pct"/>
            <w:vAlign w:val="center"/>
          </w:tcPr>
          <w:p>
            <w:pPr>
              <w:pStyle w:val="435"/>
              <w:widowControl/>
              <w:snapToGrid w:val="0"/>
              <w:rPr>
                <w:rFonts w:eastAsia="Times New Roman"/>
                <w:color w:val="auto"/>
                <w:spacing w:val="3"/>
                <w:sz w:val="20"/>
              </w:rPr>
            </w:pPr>
            <w:r>
              <w:rPr>
                <w:rFonts w:eastAsia="Times New Roman"/>
                <w:color w:val="auto"/>
                <w:spacing w:val="3"/>
                <w:sz w:val="20"/>
              </w:rPr>
              <w:t>030-001-07</w:t>
            </w:r>
          </w:p>
        </w:tc>
        <w:tc>
          <w:tcPr>
            <w:tcW w:w="511" w:type="pct"/>
            <w:vAlign w:val="center"/>
          </w:tcPr>
          <w:p>
            <w:pPr>
              <w:pStyle w:val="435"/>
              <w:widowControl/>
              <w:snapToGrid w:val="0"/>
              <w:rPr>
                <w:color w:val="auto"/>
                <w:sz w:val="21"/>
                <w:szCs w:val="21"/>
              </w:rPr>
            </w:pPr>
            <w:r>
              <w:rPr>
                <w:rFonts w:hint="eastAsia"/>
                <w:color w:val="auto"/>
                <w:sz w:val="21"/>
                <w:szCs w:val="21"/>
              </w:rPr>
              <w:t>0.1</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一般固废</w:t>
            </w:r>
          </w:p>
        </w:tc>
        <w:tc>
          <w:tcPr>
            <w:tcW w:w="799" w:type="pct"/>
            <w:vAlign w:val="center"/>
          </w:tcPr>
          <w:p>
            <w:pPr>
              <w:pStyle w:val="435"/>
              <w:widowControl/>
              <w:snapToGrid w:val="0"/>
              <w:rPr>
                <w:color w:val="auto"/>
                <w:sz w:val="21"/>
                <w:szCs w:val="21"/>
              </w:rPr>
            </w:pPr>
            <w:r>
              <w:rPr>
                <w:rFonts w:hint="eastAsia" w:cs="宋体"/>
                <w:color w:val="auto"/>
                <w:sz w:val="21"/>
                <w:szCs w:val="21"/>
              </w:rPr>
              <w:t>回收站回收处理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9</w:t>
            </w:r>
          </w:p>
        </w:tc>
        <w:tc>
          <w:tcPr>
            <w:tcW w:w="838" w:type="pct"/>
            <w:vAlign w:val="center"/>
          </w:tcPr>
          <w:p>
            <w:pPr>
              <w:pStyle w:val="435"/>
              <w:widowControl/>
              <w:snapToGrid w:val="0"/>
              <w:rPr>
                <w:color w:val="auto"/>
                <w:sz w:val="21"/>
                <w:szCs w:val="21"/>
              </w:rPr>
            </w:pPr>
            <w:r>
              <w:rPr>
                <w:color w:val="auto"/>
                <w:sz w:val="21"/>
                <w:szCs w:val="21"/>
              </w:rPr>
              <w:t>生活垃圾</w:t>
            </w:r>
          </w:p>
        </w:tc>
        <w:tc>
          <w:tcPr>
            <w:tcW w:w="866" w:type="pct"/>
            <w:vAlign w:val="center"/>
          </w:tcPr>
          <w:p>
            <w:pPr>
              <w:pStyle w:val="435"/>
              <w:widowControl/>
              <w:snapToGrid w:val="0"/>
              <w:rPr>
                <w:color w:val="auto"/>
                <w:sz w:val="21"/>
                <w:szCs w:val="21"/>
              </w:rPr>
            </w:pPr>
            <w:r>
              <w:rPr>
                <w:color w:val="auto"/>
                <w:sz w:val="21"/>
                <w:szCs w:val="21"/>
              </w:rPr>
              <w:t>职工生活</w:t>
            </w:r>
          </w:p>
        </w:tc>
        <w:tc>
          <w:tcPr>
            <w:tcW w:w="701" w:type="pct"/>
            <w:vAlign w:val="center"/>
          </w:tcPr>
          <w:p>
            <w:pPr>
              <w:pStyle w:val="435"/>
              <w:widowControl/>
              <w:snapToGrid w:val="0"/>
              <w:rPr>
                <w:color w:val="auto"/>
                <w:sz w:val="21"/>
                <w:szCs w:val="21"/>
              </w:rPr>
            </w:pPr>
            <w:r>
              <w:rPr>
                <w:color w:val="auto"/>
                <w:sz w:val="21"/>
                <w:szCs w:val="21"/>
              </w:rPr>
              <w:t>/</w:t>
            </w:r>
          </w:p>
        </w:tc>
        <w:tc>
          <w:tcPr>
            <w:tcW w:w="511" w:type="pct"/>
            <w:vAlign w:val="center"/>
          </w:tcPr>
          <w:p>
            <w:pPr>
              <w:pStyle w:val="435"/>
              <w:widowControl/>
              <w:snapToGrid w:val="0"/>
              <w:rPr>
                <w:color w:val="auto"/>
                <w:sz w:val="21"/>
                <w:szCs w:val="21"/>
              </w:rPr>
            </w:pPr>
            <w:r>
              <w:rPr>
                <w:rFonts w:hint="eastAsia" w:cs="宋体"/>
                <w:color w:val="auto"/>
                <w:sz w:val="21"/>
                <w:szCs w:val="21"/>
              </w:rPr>
              <w:t>3.84</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color w:val="auto"/>
                <w:sz w:val="21"/>
                <w:szCs w:val="21"/>
              </w:rPr>
              <w:t>生活垃圾</w:t>
            </w:r>
          </w:p>
        </w:tc>
        <w:tc>
          <w:tcPr>
            <w:tcW w:w="799" w:type="pct"/>
            <w:vAlign w:val="center"/>
          </w:tcPr>
          <w:p>
            <w:pPr>
              <w:pStyle w:val="435"/>
              <w:widowControl/>
              <w:snapToGrid w:val="0"/>
              <w:rPr>
                <w:color w:val="auto"/>
                <w:sz w:val="21"/>
                <w:szCs w:val="21"/>
              </w:rPr>
            </w:pPr>
            <w:r>
              <w:rPr>
                <w:color w:val="auto"/>
                <w:sz w:val="21"/>
                <w:szCs w:val="21"/>
              </w:rPr>
              <w:t>交由环卫部门清运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274" w:type="pct"/>
            <w:vAlign w:val="center"/>
          </w:tcPr>
          <w:p>
            <w:pPr>
              <w:pStyle w:val="435"/>
              <w:widowControl/>
              <w:snapToGrid w:val="0"/>
              <w:rPr>
                <w:color w:val="auto"/>
                <w:sz w:val="21"/>
                <w:szCs w:val="21"/>
              </w:rPr>
            </w:pPr>
            <w:r>
              <w:rPr>
                <w:rFonts w:hint="eastAsia"/>
                <w:color w:val="auto"/>
                <w:sz w:val="21"/>
                <w:szCs w:val="21"/>
              </w:rPr>
              <w:t>10</w:t>
            </w:r>
          </w:p>
        </w:tc>
        <w:tc>
          <w:tcPr>
            <w:tcW w:w="838" w:type="pct"/>
            <w:vAlign w:val="center"/>
          </w:tcPr>
          <w:p>
            <w:pPr>
              <w:pStyle w:val="435"/>
              <w:widowControl/>
              <w:snapToGrid w:val="0"/>
              <w:rPr>
                <w:color w:val="auto"/>
                <w:sz w:val="21"/>
                <w:szCs w:val="21"/>
              </w:rPr>
            </w:pPr>
            <w:r>
              <w:rPr>
                <w:rFonts w:hint="eastAsia" w:cs="宋体"/>
                <w:color w:val="auto"/>
                <w:sz w:val="21"/>
                <w:szCs w:val="21"/>
              </w:rPr>
              <w:t>医疗废物</w:t>
            </w:r>
          </w:p>
        </w:tc>
        <w:tc>
          <w:tcPr>
            <w:tcW w:w="866" w:type="pct"/>
            <w:vAlign w:val="center"/>
          </w:tcPr>
          <w:p>
            <w:pPr>
              <w:pStyle w:val="435"/>
              <w:widowControl/>
              <w:snapToGrid w:val="0"/>
              <w:rPr>
                <w:color w:val="auto"/>
                <w:sz w:val="21"/>
                <w:szCs w:val="21"/>
              </w:rPr>
            </w:pPr>
            <w:r>
              <w:rPr>
                <w:rFonts w:hint="eastAsia"/>
                <w:color w:val="auto"/>
                <w:sz w:val="21"/>
                <w:szCs w:val="21"/>
              </w:rPr>
              <w:t>防疫</w:t>
            </w:r>
          </w:p>
        </w:tc>
        <w:tc>
          <w:tcPr>
            <w:tcW w:w="701" w:type="pct"/>
            <w:vAlign w:val="center"/>
          </w:tcPr>
          <w:p>
            <w:pPr>
              <w:pStyle w:val="435"/>
              <w:widowControl/>
              <w:snapToGrid w:val="0"/>
              <w:rPr>
                <w:color w:val="auto"/>
                <w:sz w:val="21"/>
                <w:szCs w:val="21"/>
              </w:rPr>
            </w:pPr>
            <w:r>
              <w:rPr>
                <w:rFonts w:hint="eastAsia" w:cs="宋体"/>
                <w:color w:val="auto"/>
                <w:sz w:val="21"/>
                <w:szCs w:val="21"/>
              </w:rPr>
              <w:t>HW01</w:t>
            </w:r>
          </w:p>
        </w:tc>
        <w:tc>
          <w:tcPr>
            <w:tcW w:w="511" w:type="pct"/>
            <w:vAlign w:val="center"/>
          </w:tcPr>
          <w:p>
            <w:pPr>
              <w:pStyle w:val="435"/>
              <w:widowControl/>
              <w:snapToGrid w:val="0"/>
              <w:rPr>
                <w:rFonts w:cs="宋体"/>
                <w:color w:val="auto"/>
                <w:sz w:val="21"/>
                <w:szCs w:val="21"/>
              </w:rPr>
            </w:pPr>
            <w:r>
              <w:rPr>
                <w:rFonts w:hint="eastAsia" w:cs="宋体"/>
                <w:color w:val="auto"/>
                <w:sz w:val="21"/>
                <w:szCs w:val="21"/>
              </w:rPr>
              <w:t>0.05</w:t>
            </w:r>
          </w:p>
        </w:tc>
        <w:tc>
          <w:tcPr>
            <w:tcW w:w="420" w:type="pct"/>
            <w:vAlign w:val="center"/>
          </w:tcPr>
          <w:p>
            <w:pPr>
              <w:pStyle w:val="435"/>
              <w:widowControl/>
              <w:snapToGrid w:val="0"/>
              <w:rPr>
                <w:color w:val="auto"/>
                <w:sz w:val="21"/>
                <w:szCs w:val="21"/>
              </w:rPr>
            </w:pPr>
            <w:r>
              <w:rPr>
                <w:color w:val="auto"/>
                <w:sz w:val="21"/>
                <w:szCs w:val="21"/>
              </w:rPr>
              <w:t>间歇</w:t>
            </w:r>
          </w:p>
        </w:tc>
        <w:tc>
          <w:tcPr>
            <w:tcW w:w="587" w:type="pct"/>
            <w:vAlign w:val="center"/>
          </w:tcPr>
          <w:p>
            <w:pPr>
              <w:pStyle w:val="435"/>
              <w:widowControl/>
              <w:snapToGrid w:val="0"/>
              <w:rPr>
                <w:color w:val="auto"/>
                <w:sz w:val="21"/>
                <w:szCs w:val="21"/>
              </w:rPr>
            </w:pPr>
            <w:r>
              <w:rPr>
                <w:rFonts w:hint="eastAsia"/>
                <w:color w:val="auto"/>
                <w:sz w:val="21"/>
                <w:szCs w:val="21"/>
              </w:rPr>
              <w:t>危险废物</w:t>
            </w:r>
          </w:p>
        </w:tc>
        <w:tc>
          <w:tcPr>
            <w:tcW w:w="799" w:type="pct"/>
            <w:vAlign w:val="center"/>
          </w:tcPr>
          <w:p>
            <w:pPr>
              <w:pStyle w:val="435"/>
              <w:widowControl/>
              <w:snapToGrid w:val="0"/>
              <w:rPr>
                <w:color w:val="auto"/>
                <w:sz w:val="21"/>
                <w:szCs w:val="21"/>
              </w:rPr>
            </w:pPr>
            <w:r>
              <w:rPr>
                <w:rFonts w:hint="eastAsia" w:cs="宋体"/>
                <w:color w:val="auto"/>
                <w:sz w:val="21"/>
                <w:szCs w:val="21"/>
              </w:rPr>
              <w:t>委托有资质单位清运处置</w:t>
            </w:r>
          </w:p>
        </w:tc>
      </w:tr>
    </w:tbl>
    <w:p>
      <w:pPr>
        <w:pStyle w:val="421"/>
        <w:ind w:firstLine="497"/>
        <w:rPr>
          <w:color w:val="auto"/>
          <w:u w:val="single"/>
        </w:rPr>
      </w:pPr>
      <w:r>
        <w:rPr>
          <w:color w:val="auto"/>
          <w:sz w:val="24"/>
          <w:szCs w:val="24"/>
          <w:u w:val="single"/>
        </w:rPr>
        <w:t>本项目</w:t>
      </w:r>
      <w:r>
        <w:rPr>
          <w:rFonts w:hint="eastAsia"/>
          <w:color w:val="auto"/>
          <w:sz w:val="24"/>
          <w:szCs w:val="24"/>
          <w:u w:val="single"/>
          <w:lang w:val="en-US" w:eastAsia="zh-CN"/>
        </w:rPr>
        <w:t>设有11个</w:t>
      </w:r>
      <w:r>
        <w:rPr>
          <w:color w:val="auto"/>
          <w:sz w:val="24"/>
          <w:szCs w:val="24"/>
          <w:u w:val="single"/>
        </w:rPr>
        <w:t>一般工业固体废物暂存</w:t>
      </w:r>
      <w:r>
        <w:rPr>
          <w:rFonts w:hint="eastAsia"/>
          <w:color w:val="auto"/>
          <w:sz w:val="24"/>
          <w:szCs w:val="24"/>
          <w:u w:val="single"/>
          <w:lang w:eastAsia="zh-CN"/>
        </w:rPr>
        <w:t>区，一个</w:t>
      </w:r>
      <w:r>
        <w:rPr>
          <w:color w:val="auto"/>
          <w:sz w:val="24"/>
          <w:szCs w:val="24"/>
          <w:u w:val="single"/>
        </w:rPr>
        <w:t>置</w:t>
      </w:r>
      <w:r>
        <w:rPr>
          <w:rFonts w:hint="eastAsia"/>
          <w:color w:val="auto"/>
          <w:sz w:val="24"/>
          <w:szCs w:val="24"/>
          <w:u w:val="single"/>
          <w:lang w:val="en-US" w:eastAsia="zh-CN"/>
        </w:rPr>
        <w:t>于东侧锅炉房内</w:t>
      </w:r>
      <w:r>
        <w:rPr>
          <w:color w:val="auto"/>
          <w:sz w:val="24"/>
          <w:szCs w:val="24"/>
          <w:u w:val="single"/>
        </w:rPr>
        <w:t>，约</w:t>
      </w:r>
      <w:r>
        <w:rPr>
          <w:rFonts w:hint="eastAsia"/>
          <w:color w:val="auto"/>
          <w:sz w:val="24"/>
          <w:szCs w:val="24"/>
          <w:u w:val="single"/>
        </w:rPr>
        <w:t>5</w:t>
      </w:r>
      <w:r>
        <w:rPr>
          <w:color w:val="auto"/>
          <w:sz w:val="24"/>
          <w:szCs w:val="24"/>
          <w:u w:val="single"/>
        </w:rPr>
        <w:t>0m</w:t>
      </w:r>
      <w:r>
        <w:rPr>
          <w:color w:val="auto"/>
          <w:sz w:val="24"/>
          <w:szCs w:val="24"/>
          <w:u w:val="single"/>
          <w:vertAlign w:val="superscript"/>
        </w:rPr>
        <w:t>2</w:t>
      </w:r>
      <w:r>
        <w:rPr>
          <w:color w:val="auto"/>
          <w:sz w:val="24"/>
          <w:szCs w:val="24"/>
          <w:u w:val="single"/>
        </w:rPr>
        <w:t>，</w:t>
      </w:r>
      <w:r>
        <w:rPr>
          <w:rFonts w:hint="eastAsia"/>
          <w:color w:val="auto"/>
          <w:sz w:val="24"/>
          <w:szCs w:val="24"/>
          <w:u w:val="single"/>
          <w:lang w:val="en-US" w:eastAsia="zh-CN"/>
        </w:rPr>
        <w:t>主要暂存废布袋、饲料废包装袋等；另外10个位于10个鸡舍内，共计约100</w:t>
      </w:r>
      <w:r>
        <w:rPr>
          <w:color w:val="auto"/>
          <w:sz w:val="24"/>
          <w:szCs w:val="24"/>
          <w:u w:val="single"/>
        </w:rPr>
        <w:t>m</w:t>
      </w:r>
      <w:r>
        <w:rPr>
          <w:color w:val="auto"/>
          <w:sz w:val="24"/>
          <w:szCs w:val="24"/>
          <w:u w:val="single"/>
          <w:vertAlign w:val="superscript"/>
        </w:rPr>
        <w:t>2</w:t>
      </w:r>
      <w:r>
        <w:rPr>
          <w:rFonts w:hint="eastAsia"/>
          <w:color w:val="auto"/>
          <w:sz w:val="24"/>
          <w:szCs w:val="24"/>
          <w:u w:val="single"/>
          <w:lang w:val="en-US" w:eastAsia="zh-CN"/>
        </w:rPr>
        <w:t>，主要暂存包装好的鸡粪、饲料残渣和散落的毛羽。同时设有一间危险废物暂存间，位于厂区西南侧</w:t>
      </w:r>
      <w:r>
        <w:rPr>
          <w:rFonts w:hint="eastAsia"/>
          <w:color w:val="auto"/>
          <w:sz w:val="24"/>
          <w:szCs w:val="24"/>
          <w:u w:val="single"/>
          <w:lang w:eastAsia="zh-CN"/>
        </w:rPr>
        <w:t>，</w:t>
      </w:r>
      <w:r>
        <w:rPr>
          <w:color w:val="auto"/>
          <w:sz w:val="24"/>
          <w:szCs w:val="24"/>
          <w:u w:val="single"/>
        </w:rPr>
        <w:t>约</w:t>
      </w:r>
      <w:r>
        <w:rPr>
          <w:rFonts w:hint="eastAsia"/>
          <w:color w:val="auto"/>
          <w:sz w:val="24"/>
          <w:szCs w:val="24"/>
          <w:u w:val="single"/>
        </w:rPr>
        <w:t>5</w:t>
      </w:r>
      <w:r>
        <w:rPr>
          <w:color w:val="auto"/>
          <w:sz w:val="24"/>
          <w:szCs w:val="24"/>
          <w:u w:val="single"/>
        </w:rPr>
        <w:t>m</w:t>
      </w:r>
      <w:r>
        <w:rPr>
          <w:color w:val="auto"/>
          <w:sz w:val="24"/>
          <w:szCs w:val="24"/>
          <w:u w:val="single"/>
          <w:vertAlign w:val="superscript"/>
        </w:rPr>
        <w:t>2</w:t>
      </w:r>
      <w:r>
        <w:rPr>
          <w:color w:val="auto"/>
          <w:sz w:val="24"/>
          <w:szCs w:val="24"/>
          <w:u w:val="single"/>
        </w:rPr>
        <w:t>，</w:t>
      </w:r>
      <w:r>
        <w:rPr>
          <w:rFonts w:hint="eastAsia"/>
          <w:color w:val="auto"/>
          <w:sz w:val="24"/>
          <w:szCs w:val="24"/>
          <w:u w:val="single"/>
          <w:lang w:val="en-US" w:eastAsia="zh-CN"/>
        </w:rPr>
        <w:t>用于暂存</w:t>
      </w:r>
      <w:r>
        <w:rPr>
          <w:rFonts w:hint="eastAsia"/>
          <w:color w:val="auto"/>
          <w:kern w:val="2"/>
          <w:sz w:val="24"/>
          <w:szCs w:val="24"/>
          <w:u w:val="single"/>
        </w:rPr>
        <w:t>医疗废物</w:t>
      </w:r>
      <w:r>
        <w:rPr>
          <w:rFonts w:hint="eastAsia"/>
          <w:color w:val="auto"/>
          <w:sz w:val="24"/>
          <w:szCs w:val="24"/>
          <w:lang w:eastAsia="zh-CN"/>
        </w:rPr>
        <w:t>。</w:t>
      </w:r>
      <w:r>
        <w:rPr>
          <w:color w:val="auto"/>
          <w:sz w:val="24"/>
          <w:szCs w:val="24"/>
        </w:rPr>
        <w:t>一般工业固体废物与危险废物分开存放。一般工业固体废物暂存场所建设应参照《一般工业固体废物贮存和填埋污染控制标准》</w:t>
      </w:r>
      <w:r>
        <w:rPr>
          <w:rFonts w:hint="eastAsia"/>
          <w:color w:val="auto"/>
          <w:sz w:val="24"/>
          <w:szCs w:val="24"/>
        </w:rPr>
        <w:t>（</w:t>
      </w:r>
      <w:r>
        <w:rPr>
          <w:color w:val="auto"/>
          <w:sz w:val="24"/>
          <w:szCs w:val="24"/>
        </w:rPr>
        <w:t>GB18599-2020</w:t>
      </w:r>
      <w:r>
        <w:rPr>
          <w:rFonts w:hint="eastAsia"/>
          <w:color w:val="auto"/>
          <w:sz w:val="24"/>
          <w:szCs w:val="24"/>
        </w:rPr>
        <w:t>）</w:t>
      </w:r>
      <w:r>
        <w:rPr>
          <w:color w:val="auto"/>
          <w:sz w:val="24"/>
          <w:szCs w:val="24"/>
        </w:rPr>
        <w:t>的要求进行建设，各类固体废物分类收集，不得相互混合，贮存、处置场的竣工，暂存必须经环境保护行政主管部门验收合格后，方可投入生产或使用；一般工业固体废物的种类和数量，详细记录在案，长期保存，供随时查阅。</w:t>
      </w:r>
    </w:p>
    <w:p>
      <w:pPr>
        <w:pStyle w:val="436"/>
        <w:snapToGrid w:val="0"/>
        <w:ind w:firstLine="497"/>
        <w:rPr>
          <w:rFonts w:ascii="Times New Roman" w:eastAsia="宋体" w:cs="Times New Roman"/>
          <w:color w:val="auto"/>
          <w:szCs w:val="24"/>
          <w:lang w:val="en-US"/>
        </w:rPr>
      </w:pPr>
      <w:r>
        <w:rPr>
          <w:rFonts w:ascii="Times New Roman" w:eastAsia="宋体" w:cs="Times New Roman"/>
          <w:color w:val="auto"/>
          <w:szCs w:val="24"/>
          <w:lang w:val="en-US"/>
        </w:rPr>
        <w:t>危险废物暂存间应按照《危险废物贮存污染控制标准》</w:t>
      </w:r>
      <w:r>
        <w:rPr>
          <w:rFonts w:hint="eastAsia" w:ascii="Times New Roman" w:eastAsia="宋体" w:cs="Times New Roman"/>
          <w:color w:val="auto"/>
          <w:szCs w:val="24"/>
          <w:lang w:val="en-US"/>
        </w:rPr>
        <w:t>（GB18597-2023）</w:t>
      </w:r>
      <w:r>
        <w:rPr>
          <w:rFonts w:ascii="Times New Roman" w:eastAsia="宋体" w:cs="Times New Roman"/>
          <w:color w:val="auto"/>
          <w:szCs w:val="24"/>
          <w:lang w:val="en-US"/>
        </w:rPr>
        <w:t>的相关要求进行建设，贮存危险废物符合国家环境保护标准的防护措施，危险废物暂存周期一般不超过</w:t>
      </w:r>
      <w:r>
        <w:rPr>
          <w:rFonts w:hint="eastAsia" w:ascii="Times New Roman" w:eastAsia="宋体" w:cs="Times New Roman"/>
          <w:color w:val="auto"/>
          <w:szCs w:val="24"/>
          <w:lang w:val="en-US" w:eastAsia="zh-CN"/>
        </w:rPr>
        <w:t>一</w:t>
      </w:r>
      <w:r>
        <w:rPr>
          <w:rFonts w:ascii="Times New Roman" w:eastAsia="宋体" w:cs="Times New Roman"/>
          <w:color w:val="auto"/>
          <w:szCs w:val="24"/>
          <w:lang w:val="en-US"/>
        </w:rPr>
        <w:t>年。</w:t>
      </w:r>
    </w:p>
    <w:p>
      <w:pPr>
        <w:pStyle w:val="5"/>
        <w:numPr>
          <w:ilvl w:val="0"/>
          <w:numId w:val="0"/>
        </w:numPr>
        <w:tabs>
          <w:tab w:val="clear" w:pos="864"/>
        </w:tabs>
        <w:spacing w:before="0" w:after="0" w:line="360" w:lineRule="auto"/>
        <w:rPr>
          <w:rFonts w:ascii="Times New Roman" w:hAnsi="Times New Roman" w:eastAsia="宋体"/>
          <w:color w:val="auto"/>
        </w:rPr>
      </w:pPr>
      <w:bookmarkStart w:id="433" w:name="_Toc23116"/>
      <w:bookmarkStart w:id="434" w:name="_Toc9721"/>
      <w:r>
        <w:rPr>
          <w:rFonts w:ascii="Times New Roman" w:hAnsi="Times New Roman" w:eastAsia="宋体"/>
          <w:color w:val="auto"/>
        </w:rPr>
        <w:t>5.</w:t>
      </w:r>
      <w:r>
        <w:rPr>
          <w:rFonts w:hint="eastAsia" w:ascii="Times New Roman" w:hAnsi="Times New Roman" w:eastAsia="宋体"/>
          <w:color w:val="auto"/>
        </w:rPr>
        <w:t>2.8</w:t>
      </w:r>
      <w:r>
        <w:rPr>
          <w:rFonts w:ascii="Times New Roman" w:hAnsi="Times New Roman" w:eastAsia="宋体"/>
          <w:color w:val="auto"/>
        </w:rPr>
        <w:t>.1疫病对人群健康的影响</w:t>
      </w:r>
    </w:p>
    <w:p>
      <w:pPr>
        <w:spacing w:line="360" w:lineRule="auto"/>
        <w:ind w:firstLine="496" w:firstLineChars="200"/>
        <w:rPr>
          <w:rFonts w:ascii="Times New Roman" w:eastAsia="宋体"/>
          <w:color w:val="auto"/>
        </w:rPr>
      </w:pPr>
      <w:r>
        <w:rPr>
          <w:rFonts w:ascii="Times New Roman" w:eastAsia="宋体"/>
          <w:color w:val="auto"/>
        </w:rPr>
        <w:t>疫病是畜牧业的大敌，项目实施过程中必须贯彻“防重于治”的方针，建立严格的卫生防疫制度。人禽共患传染病和寄生虫病可以通过家禽传染，也可以通过吃肉或其他方式传染。带病的畜禽、皮毛、血液、粪便、骨骼、肉尸、污水等，往往都会带有各种病菌、病毒和寄生虫、虫卵等，处理不好就会传染给人。人禽共患的传染病的有以下预防措施：</w:t>
      </w:r>
    </w:p>
    <w:p>
      <w:pPr>
        <w:spacing w:line="360" w:lineRule="auto"/>
        <w:ind w:firstLine="496" w:firstLineChars="200"/>
        <w:rPr>
          <w:rFonts w:ascii="Times New Roman" w:eastAsia="宋体"/>
          <w:color w:val="auto"/>
        </w:rPr>
      </w:pPr>
      <w:r>
        <w:rPr>
          <w:rFonts w:ascii="Times New Roman" w:eastAsia="宋体"/>
          <w:color w:val="auto"/>
        </w:rPr>
        <w:t>（1）管理传染源。严格隔离病死鸡，严禁剥皮或煮食。</w:t>
      </w:r>
    </w:p>
    <w:p>
      <w:pPr>
        <w:spacing w:line="360" w:lineRule="auto"/>
        <w:ind w:firstLine="496" w:firstLineChars="200"/>
        <w:rPr>
          <w:rFonts w:ascii="Times New Roman" w:eastAsia="宋体"/>
          <w:color w:val="auto"/>
        </w:rPr>
      </w:pPr>
      <w:r>
        <w:rPr>
          <w:rFonts w:ascii="Times New Roman" w:eastAsia="宋体"/>
          <w:color w:val="auto"/>
        </w:rPr>
        <w:t>（2）切断传播途径。必要时封锁病区，对病人的衣服、用具等分别采取煮沸、拍百分、过氧乙酸等消毒灭菌措施，对染菌及可疑染菌者应予严格消毒。</w:t>
      </w:r>
    </w:p>
    <w:p>
      <w:pPr>
        <w:spacing w:line="360" w:lineRule="auto"/>
        <w:ind w:firstLine="496" w:firstLineChars="200"/>
        <w:rPr>
          <w:rFonts w:ascii="Times New Roman" w:eastAsia="宋体"/>
          <w:color w:val="auto"/>
        </w:rPr>
      </w:pPr>
      <w:r>
        <w:rPr>
          <w:rFonts w:ascii="Times New Roman" w:eastAsia="宋体"/>
          <w:color w:val="auto"/>
        </w:rPr>
        <w:t>（3）保护易感者。加强卫生宣教，养成良好的卫生习惯，防止皮肤受伤，如有皮肤破损，立即涂抹3%~5%碘酒，以免感染。</w:t>
      </w:r>
    </w:p>
    <w:p>
      <w:pPr>
        <w:spacing w:line="360" w:lineRule="auto"/>
        <w:ind w:firstLine="496" w:firstLineChars="200"/>
        <w:rPr>
          <w:rFonts w:ascii="Times New Roman" w:eastAsia="宋体"/>
          <w:color w:val="auto"/>
        </w:rPr>
      </w:pPr>
      <w:r>
        <w:rPr>
          <w:rFonts w:ascii="Times New Roman" w:eastAsia="宋体"/>
          <w:color w:val="auto"/>
        </w:rPr>
        <w:t>（4）制定制度。为防止这些危害，保证食肉的安全卫生，国家规定所有畜禽肉都必须经过指定的检验机构，由于专职检验人员检验合格后方能出售，从而保障消费者身体健康，以及防止由于各种污染而造成得问对人类健康的危害。</w:t>
      </w:r>
    </w:p>
    <w:p>
      <w:pPr>
        <w:pStyle w:val="5"/>
        <w:numPr>
          <w:ilvl w:val="0"/>
          <w:numId w:val="0"/>
        </w:numPr>
        <w:tabs>
          <w:tab w:val="clear" w:pos="864"/>
        </w:tabs>
        <w:spacing w:before="0" w:after="0" w:line="360" w:lineRule="auto"/>
        <w:rPr>
          <w:rFonts w:ascii="Times New Roman" w:hAnsi="Times New Roman" w:eastAsia="宋体"/>
          <w:color w:val="auto"/>
        </w:rPr>
      </w:pPr>
      <w:r>
        <w:rPr>
          <w:rFonts w:ascii="Times New Roman" w:hAnsi="Times New Roman" w:eastAsia="宋体"/>
          <w:color w:val="auto"/>
        </w:rPr>
        <w:t>5.2.5.</w:t>
      </w:r>
      <w:r>
        <w:rPr>
          <w:rFonts w:hint="eastAsia" w:ascii="Times New Roman" w:hAnsi="Times New Roman" w:eastAsia="宋体"/>
          <w:color w:val="auto"/>
        </w:rPr>
        <w:t>2</w:t>
      </w:r>
      <w:r>
        <w:rPr>
          <w:rFonts w:ascii="Times New Roman" w:hAnsi="Times New Roman" w:eastAsia="宋体"/>
          <w:color w:val="auto"/>
        </w:rPr>
        <w:t>固废管理要求</w:t>
      </w:r>
      <w:bookmarkEnd w:id="433"/>
      <w:bookmarkEnd w:id="434"/>
    </w:p>
    <w:p>
      <w:pPr>
        <w:spacing w:line="360" w:lineRule="auto"/>
        <w:ind w:firstLine="482"/>
        <w:rPr>
          <w:rFonts w:ascii="Times New Roman" w:eastAsia="宋体"/>
          <w:color w:val="auto"/>
          <w:lang w:val="zh-CN"/>
        </w:rPr>
      </w:pPr>
      <w:bookmarkStart w:id="435" w:name="_Toc13177"/>
      <w:r>
        <w:rPr>
          <w:rFonts w:hint="eastAsia" w:ascii="Times New Roman" w:eastAsia="宋体"/>
          <w:color w:val="auto"/>
        </w:rPr>
        <w:t>1</w:t>
      </w:r>
      <w:r>
        <w:rPr>
          <w:rFonts w:hint="eastAsia" w:ascii="Times New Roman" w:eastAsia="宋体"/>
          <w:color w:val="auto"/>
          <w:lang w:eastAsia="zh-CN"/>
        </w:rPr>
        <w:t>、</w:t>
      </w:r>
      <w:r>
        <w:rPr>
          <w:rFonts w:hint="eastAsia" w:ascii="Times New Roman" w:eastAsia="宋体"/>
          <w:color w:val="auto"/>
          <w:lang w:val="zh-CN"/>
        </w:rPr>
        <w:t>一般固废管理要求</w:t>
      </w:r>
      <w:bookmarkEnd w:id="435"/>
    </w:p>
    <w:p>
      <w:pPr>
        <w:spacing w:line="360" w:lineRule="auto"/>
        <w:ind w:firstLine="482"/>
        <w:rPr>
          <w:rFonts w:ascii="Times New Roman" w:eastAsia="宋体"/>
          <w:color w:val="auto"/>
          <w:lang w:val="zh-CN"/>
        </w:rPr>
      </w:pPr>
      <w:r>
        <w:rPr>
          <w:rFonts w:hint="eastAsia" w:ascii="Times New Roman" w:eastAsia="宋体"/>
          <w:color w:val="auto"/>
          <w:lang w:val="zh-CN"/>
        </w:rPr>
        <w:t>一般工业固废贮存场所的建设需符合《一般工业固体废物贮存和填埋污染控制标准》（GB18599-2020）中的相关要求；做到防渗漏、防雨淋、防扬尘等环境保护要求，并按照《环境保护图形标志》（GB1556.2-1995）设置环境保护图形标志</w:t>
      </w:r>
    </w:p>
    <w:p>
      <w:pPr>
        <w:spacing w:line="360" w:lineRule="auto"/>
        <w:ind w:firstLine="482"/>
        <w:rPr>
          <w:rFonts w:ascii="Times New Roman" w:eastAsia="宋体"/>
          <w:color w:val="auto"/>
        </w:rPr>
      </w:pPr>
      <w:bookmarkStart w:id="436" w:name="_Toc23543"/>
      <w:r>
        <w:rPr>
          <w:rFonts w:hint="eastAsia" w:ascii="Times New Roman" w:eastAsia="宋体"/>
          <w:color w:val="auto"/>
        </w:rPr>
        <w:t>2、危险废物</w:t>
      </w:r>
      <w:r>
        <w:rPr>
          <w:rFonts w:hint="eastAsia" w:ascii="Times New Roman" w:eastAsia="宋体"/>
          <w:color w:val="auto"/>
          <w:lang w:val="zh-CN"/>
        </w:rPr>
        <w:t>管理要求</w:t>
      </w:r>
      <w:bookmarkEnd w:id="436"/>
    </w:p>
    <w:p>
      <w:pPr>
        <w:pStyle w:val="150"/>
        <w:snapToGrid w:val="0"/>
        <w:ind w:firstLine="373"/>
        <w:rPr>
          <w:rFonts w:ascii="Times New Roman" w:eastAsia="宋体"/>
          <w:color w:val="auto"/>
        </w:rPr>
      </w:pPr>
      <w:r>
        <w:rPr>
          <w:rFonts w:ascii="Times New Roman" w:eastAsia="宋体"/>
          <w:color w:val="auto"/>
        </w:rPr>
        <w:t>（1）须做好危险废物情况的纪录，记录上须注明危险废物的名称、来源、数量、特性和包装容器的类别、入库日期、堆放库位、废物出库日期及接收单位名称，并对各类固废分类堆存。</w:t>
      </w:r>
    </w:p>
    <w:p>
      <w:pPr>
        <w:spacing w:line="360" w:lineRule="auto"/>
        <w:ind w:firstLine="482"/>
        <w:rPr>
          <w:rFonts w:ascii="Times New Roman" w:eastAsia="宋体"/>
          <w:color w:val="auto"/>
          <w:lang w:val="zh-CN"/>
        </w:rPr>
      </w:pPr>
      <w:r>
        <w:rPr>
          <w:rFonts w:ascii="Times New Roman" w:eastAsia="宋体"/>
          <w:color w:val="auto"/>
        </w:rPr>
        <w:t>（2）加强固废在厂内和厂外的转运管理，严格废渣转运通道，尽量减少固废撒落，对撒落的固废进行及时清扫，避免二次污染。</w:t>
      </w:r>
    </w:p>
    <w:p>
      <w:pPr>
        <w:spacing w:line="360" w:lineRule="auto"/>
        <w:ind w:firstLine="482"/>
        <w:rPr>
          <w:rFonts w:ascii="Times New Roman" w:eastAsia="宋体"/>
          <w:color w:val="auto"/>
          <w:lang w:val="zh-CN"/>
        </w:rPr>
      </w:pPr>
      <w:bookmarkStart w:id="437" w:name="_Toc6158"/>
      <w:r>
        <w:rPr>
          <w:rFonts w:ascii="Times New Roman" w:eastAsia="宋体"/>
          <w:color w:val="auto"/>
          <w:lang w:val="zh-CN"/>
        </w:rPr>
        <w:t>（3）定期对库进行检查，发现破损，应及时进行修理。</w:t>
      </w:r>
      <w:bookmarkEnd w:id="437"/>
    </w:p>
    <w:p>
      <w:pPr>
        <w:spacing w:line="360" w:lineRule="auto"/>
        <w:ind w:firstLine="482"/>
        <w:rPr>
          <w:rFonts w:ascii="Times New Roman" w:eastAsia="宋体"/>
          <w:color w:val="auto"/>
        </w:rPr>
      </w:pPr>
      <w:r>
        <w:rPr>
          <w:rFonts w:ascii="Times New Roman" w:eastAsia="宋体"/>
          <w:color w:val="auto"/>
          <w:lang w:val="zh-CN"/>
        </w:rPr>
        <w:t>（4）收集、贮存、运输、利用、处置危险废物的设施、场所，危险废物</w:t>
      </w:r>
      <w:r>
        <w:rPr>
          <w:rFonts w:ascii="Times New Roman" w:eastAsia="宋体"/>
          <w:color w:val="auto"/>
        </w:rPr>
        <w:t>的容器和包装物必须按</w:t>
      </w:r>
      <w:r>
        <w:rPr>
          <w:rFonts w:hint="eastAsia" w:ascii="Times New Roman" w:eastAsia="宋体"/>
          <w:color w:val="auto"/>
        </w:rPr>
        <w:t>《危险废物贮存污染控制标准》（GB18597-2023）、</w:t>
      </w:r>
      <w:r>
        <w:rPr>
          <w:rFonts w:ascii="Times New Roman" w:eastAsia="宋体"/>
          <w:color w:val="auto"/>
        </w:rPr>
        <w:t>《环境保护图形标志-固体废物贮存（处置）场》（GB15562.2-1995）</w:t>
      </w:r>
      <w:r>
        <w:rPr>
          <w:rFonts w:hint="eastAsia" w:ascii="Times New Roman" w:eastAsia="宋体"/>
          <w:color w:val="auto"/>
        </w:rPr>
        <w:t>、</w:t>
      </w:r>
      <w:r>
        <w:rPr>
          <w:rFonts w:hint="eastAsia" w:ascii="Times New Roman" w:eastAsia="宋体"/>
          <w:color w:val="auto"/>
          <w:szCs w:val="22"/>
        </w:rPr>
        <w:t>《 危险废物识别标志设置技术规范》</w:t>
      </w:r>
      <w:r>
        <w:rPr>
          <w:rFonts w:hint="eastAsia" w:ascii="Times New Roman"/>
          <w:color w:val="auto"/>
          <w:kern w:val="21"/>
          <w:szCs w:val="24"/>
        </w:rPr>
        <w:t>（HJ 1276-2022）</w:t>
      </w:r>
      <w:r>
        <w:rPr>
          <w:rFonts w:ascii="Times New Roman" w:eastAsia="宋体"/>
          <w:color w:val="auto"/>
        </w:rPr>
        <w:t>所示标签设置危险废物识别标志。</w:t>
      </w:r>
    </w:p>
    <w:p>
      <w:pPr>
        <w:pStyle w:val="150"/>
        <w:snapToGrid w:val="0"/>
        <w:ind w:firstLine="373"/>
        <w:rPr>
          <w:rFonts w:ascii="Times New Roman" w:eastAsia="宋体"/>
          <w:color w:val="auto"/>
        </w:rPr>
      </w:pPr>
      <w:r>
        <w:rPr>
          <w:rFonts w:ascii="Times New Roman" w:eastAsia="宋体"/>
          <w:color w:val="auto"/>
        </w:rPr>
        <w:t>（5）按照危险废物特性分类进行收集、贮存，危险废物包装容器上标识明确；危险废物按种类分别存放，且不同类废物间有明显的间隔（如过道等）。</w:t>
      </w:r>
    </w:p>
    <w:p>
      <w:pPr>
        <w:pStyle w:val="150"/>
        <w:snapToGrid w:val="0"/>
        <w:ind w:firstLine="373"/>
        <w:rPr>
          <w:rFonts w:ascii="Times New Roman" w:eastAsia="宋体"/>
          <w:color w:val="auto"/>
        </w:rPr>
      </w:pPr>
      <w:r>
        <w:rPr>
          <w:rFonts w:ascii="Times New Roman" w:eastAsia="宋体"/>
          <w:color w:val="auto"/>
        </w:rPr>
        <w:t>（6）加强对危险固废的日常管理，并按国家有关危险废物管理办法，办理好危险废物的贮存、转移手续。</w:t>
      </w:r>
    </w:p>
    <w:p>
      <w:pPr>
        <w:pStyle w:val="150"/>
        <w:snapToGrid w:val="0"/>
        <w:ind w:firstLine="373"/>
        <w:rPr>
          <w:rFonts w:ascii="Times New Roman" w:eastAsia="宋体"/>
          <w:color w:val="auto"/>
        </w:rPr>
      </w:pPr>
      <w:r>
        <w:rPr>
          <w:rFonts w:ascii="Times New Roman" w:eastAsia="宋体"/>
          <w:color w:val="auto"/>
        </w:rPr>
        <w:t>（7）在转移危险废物前，向环保部门报批危险废物转移计划，并得到批准。</w:t>
      </w:r>
    </w:p>
    <w:p>
      <w:pPr>
        <w:pStyle w:val="150"/>
        <w:snapToGrid w:val="0"/>
        <w:ind w:firstLine="373"/>
        <w:rPr>
          <w:rFonts w:ascii="Times New Roman" w:eastAsia="宋体"/>
          <w:color w:val="auto"/>
        </w:rPr>
      </w:pPr>
      <w:r>
        <w:rPr>
          <w:rFonts w:ascii="Times New Roman" w:eastAsia="宋体"/>
          <w:color w:val="auto"/>
        </w:rPr>
        <w:t>（8）转移危险废物的，按照《危险废物转移管理办法》有关规定，如实填写转移联单中产生单位栏目，并加盖公章。</w:t>
      </w:r>
    </w:p>
    <w:p>
      <w:pPr>
        <w:spacing w:line="360" w:lineRule="auto"/>
        <w:ind w:firstLine="482"/>
        <w:rPr>
          <w:rFonts w:ascii="Times New Roman" w:eastAsia="宋体"/>
          <w:color w:val="auto"/>
        </w:rPr>
      </w:pPr>
      <w:bookmarkStart w:id="438" w:name="_Toc11525"/>
      <w:r>
        <w:rPr>
          <w:rFonts w:ascii="Times New Roman" w:eastAsia="宋体"/>
          <w:color w:val="auto"/>
        </w:rPr>
        <w:t>（9）建立危险废物贮存台账，并如实记录危险废物贮存情况。</w:t>
      </w:r>
      <w:bookmarkEnd w:id="438"/>
    </w:p>
    <w:p>
      <w:pPr>
        <w:pStyle w:val="150"/>
        <w:snapToGrid w:val="0"/>
        <w:ind w:firstLine="373"/>
        <w:rPr>
          <w:rFonts w:ascii="Times New Roman" w:eastAsia="宋体"/>
          <w:color w:val="auto"/>
        </w:rPr>
      </w:pPr>
      <w:r>
        <w:rPr>
          <w:rFonts w:ascii="Times New Roman" w:eastAsia="宋体"/>
          <w:color w:val="auto"/>
        </w:rPr>
        <w:t>（10）有与危险废物经营单位签订的委托利用、处置危险废物合同。</w:t>
      </w:r>
    </w:p>
    <w:p>
      <w:pPr>
        <w:pStyle w:val="150"/>
        <w:snapToGrid w:val="0"/>
        <w:ind w:firstLine="373"/>
        <w:rPr>
          <w:rFonts w:ascii="Times New Roman" w:eastAsia="宋体"/>
          <w:color w:val="auto"/>
        </w:rPr>
      </w:pPr>
      <w:r>
        <w:rPr>
          <w:rFonts w:ascii="Times New Roman" w:eastAsia="宋体"/>
          <w:color w:val="auto"/>
        </w:rPr>
        <w:t>（11）贮存期限不超过一年；延长贮存期限的，报经环保部门批准。</w:t>
      </w:r>
    </w:p>
    <w:p>
      <w:pPr>
        <w:pStyle w:val="150"/>
        <w:snapToGrid w:val="0"/>
        <w:ind w:firstLine="373"/>
        <w:rPr>
          <w:rFonts w:ascii="Times New Roman" w:eastAsia="宋体"/>
          <w:color w:val="auto"/>
        </w:rPr>
      </w:pPr>
      <w:r>
        <w:rPr>
          <w:rFonts w:ascii="Times New Roman" w:eastAsia="宋体"/>
          <w:color w:val="auto"/>
        </w:rPr>
        <w:t>（12）相关管理人员和从事危险废物收集、运送、暂存、利用和处置等工作人员掌握国家相关法律法规、规章和有关规范性文件的规定；熟悉本单位指定的危险废物管理规章制度、工作流程和应急预案等各项要求；掌握危险废物分类收集、运送、暂存的正确方法和操作程序。</w:t>
      </w:r>
    </w:p>
    <w:p>
      <w:pPr>
        <w:pStyle w:val="5"/>
        <w:numPr>
          <w:ilvl w:val="0"/>
          <w:numId w:val="0"/>
        </w:numPr>
        <w:tabs>
          <w:tab w:val="clear" w:pos="864"/>
        </w:tabs>
        <w:spacing w:before="0" w:after="0" w:line="360" w:lineRule="auto"/>
        <w:rPr>
          <w:rFonts w:ascii="Times New Roman" w:hAnsi="Times New Roman" w:eastAsia="宋体"/>
          <w:color w:val="auto"/>
        </w:rPr>
      </w:pPr>
      <w:bookmarkStart w:id="439" w:name="_Toc12244"/>
      <w:bookmarkStart w:id="440" w:name="_Toc31117"/>
      <w:r>
        <w:rPr>
          <w:rFonts w:ascii="Times New Roman" w:hAnsi="Times New Roman" w:eastAsia="宋体"/>
          <w:color w:val="auto"/>
        </w:rPr>
        <w:t>5.</w:t>
      </w:r>
      <w:r>
        <w:rPr>
          <w:rFonts w:hint="eastAsia" w:ascii="Times New Roman" w:hAnsi="Times New Roman" w:eastAsia="宋体"/>
          <w:color w:val="auto"/>
        </w:rPr>
        <w:t>2.8</w:t>
      </w:r>
      <w:r>
        <w:rPr>
          <w:rFonts w:ascii="Times New Roman" w:hAnsi="Times New Roman" w:eastAsia="宋体"/>
          <w:color w:val="auto"/>
        </w:rPr>
        <w:t>.2恶臭气体对人群健康的影响</w:t>
      </w:r>
    </w:p>
    <w:p>
      <w:pPr>
        <w:spacing w:line="360" w:lineRule="auto"/>
        <w:ind w:firstLine="496" w:firstLineChars="200"/>
        <w:rPr>
          <w:rFonts w:ascii="Times New Roman" w:eastAsia="宋体"/>
          <w:color w:val="auto"/>
        </w:rPr>
      </w:pPr>
      <w:r>
        <w:rPr>
          <w:rFonts w:ascii="Times New Roman" w:eastAsia="宋体"/>
          <w:color w:val="auto"/>
        </w:rPr>
        <w:t>恶臭气体浓度对人体的影响大致可以分为四种情况：</w:t>
      </w:r>
    </w:p>
    <w:p>
      <w:pPr>
        <w:spacing w:line="360" w:lineRule="auto"/>
        <w:ind w:firstLine="482"/>
        <w:rPr>
          <w:rFonts w:ascii="Times New Roman" w:eastAsia="宋体"/>
          <w:color w:val="auto"/>
          <w:lang w:val="zh-CN"/>
        </w:rPr>
      </w:pPr>
      <w:r>
        <w:rPr>
          <w:rFonts w:ascii="Times New Roman" w:eastAsia="宋体"/>
          <w:color w:val="auto"/>
          <w:lang w:val="zh-CN"/>
        </w:rPr>
        <w:t>（1）不产生直接或间接的影响；</w:t>
      </w:r>
    </w:p>
    <w:p>
      <w:pPr>
        <w:spacing w:line="360" w:lineRule="auto"/>
        <w:ind w:firstLine="496" w:firstLineChars="200"/>
        <w:rPr>
          <w:rFonts w:ascii="Times New Roman" w:eastAsia="宋体"/>
          <w:color w:val="auto"/>
        </w:rPr>
      </w:pPr>
      <w:r>
        <w:rPr>
          <w:rFonts w:ascii="Times New Roman" w:eastAsia="宋体"/>
          <w:color w:val="auto"/>
        </w:rPr>
        <w:t>（2）恶臭气体的浓度已对植物产生危害，则将影响人的眼睛，使其视力下降；</w:t>
      </w:r>
    </w:p>
    <w:p>
      <w:pPr>
        <w:spacing w:line="360" w:lineRule="auto"/>
        <w:ind w:firstLine="496" w:firstLineChars="200"/>
        <w:rPr>
          <w:rFonts w:ascii="Times New Roman" w:eastAsia="宋体"/>
          <w:color w:val="auto"/>
        </w:rPr>
      </w:pPr>
      <w:r>
        <w:rPr>
          <w:rFonts w:ascii="Times New Roman" w:eastAsia="宋体"/>
          <w:color w:val="auto"/>
        </w:rPr>
        <w:t>（3）对人的中枢神经产生障碍和病变，并引起慢性病及缩短生命；</w:t>
      </w:r>
    </w:p>
    <w:p>
      <w:pPr>
        <w:spacing w:line="360" w:lineRule="auto"/>
        <w:ind w:firstLine="496" w:firstLineChars="200"/>
        <w:rPr>
          <w:rFonts w:ascii="Times New Roman" w:eastAsia="宋体"/>
          <w:color w:val="auto"/>
        </w:rPr>
      </w:pPr>
      <w:r>
        <w:rPr>
          <w:rFonts w:ascii="Times New Roman" w:eastAsia="宋体"/>
          <w:color w:val="auto"/>
        </w:rPr>
        <w:t>（4）引发急性病，并有可能引起死亡。</w:t>
      </w:r>
    </w:p>
    <w:p>
      <w:pPr>
        <w:spacing w:line="360" w:lineRule="auto"/>
        <w:ind w:firstLine="496" w:firstLineChars="200"/>
        <w:rPr>
          <w:rFonts w:ascii="Times New Roman" w:eastAsia="宋体"/>
          <w:color w:val="auto"/>
        </w:rPr>
      </w:pPr>
      <w:r>
        <w:rPr>
          <w:rFonts w:ascii="Times New Roman" w:eastAsia="宋体"/>
          <w:color w:val="auto"/>
        </w:rPr>
        <w:t>恶臭气体污染对人体的影响一般仅停留在a、b的水平浓度上。当然，如果发生大规模恶臭污染事件，会使恶臭气体污染的浓度达到c、d的水平上。</w:t>
      </w:r>
    </w:p>
    <w:p>
      <w:pPr>
        <w:spacing w:line="360" w:lineRule="auto"/>
        <w:ind w:firstLine="496" w:firstLineChars="200"/>
        <w:rPr>
          <w:rFonts w:ascii="Times New Roman" w:eastAsia="宋体"/>
          <w:color w:val="auto"/>
        </w:rPr>
      </w:pPr>
      <w:r>
        <w:rPr>
          <w:rFonts w:ascii="Times New Roman" w:eastAsia="宋体"/>
          <w:color w:val="auto"/>
        </w:rPr>
        <w:t>单项恶臭气体对人体影响，如硫化氢气体浓度为0.007ppm时，影响人眼睛对光的反射。硫化氢气体浓度为10ppm是刺激人眼睛的最小浓度。又如氨浓度为17ppm时，人在此环境中暴露7~8h，则尿中的氨量增加，同时氧的消耗量降低，呼吸频率下降。</w:t>
      </w:r>
    </w:p>
    <w:p>
      <w:pPr>
        <w:spacing w:line="360" w:lineRule="auto"/>
        <w:ind w:firstLine="496" w:firstLineChars="200"/>
        <w:rPr>
          <w:rFonts w:ascii="Times New Roman" w:eastAsia="宋体"/>
          <w:color w:val="auto"/>
        </w:rPr>
      </w:pPr>
      <w:r>
        <w:rPr>
          <w:rFonts w:ascii="Times New Roman" w:eastAsia="宋体"/>
          <w:color w:val="auto"/>
        </w:rPr>
        <w:t>本项目采用干清粪工艺可实现鸡粪日产日清，减少鸡粪在鸡舍内的存放时间。</w:t>
      </w:r>
      <w:r>
        <w:rPr>
          <w:rFonts w:hint="eastAsia" w:ascii="Times New Roman" w:eastAsia="宋体"/>
          <w:color w:val="auto"/>
        </w:rPr>
        <w:t>场区</w:t>
      </w:r>
      <w:r>
        <w:rPr>
          <w:rFonts w:ascii="Times New Roman" w:eastAsia="宋体"/>
          <w:color w:val="auto"/>
        </w:rPr>
        <w:t>内地面经常打扫，并喷洒石灰，蚊蝇滋长季节喷洒消毒液（百毒杀、澳洁康），杜绝蚊蝇的生长，降低臭气无组织排放。</w:t>
      </w:r>
      <w:r>
        <w:rPr>
          <w:rFonts w:hint="eastAsia" w:ascii="Times New Roman" w:eastAsia="宋体"/>
          <w:color w:val="auto"/>
        </w:rPr>
        <w:t>场区</w:t>
      </w:r>
      <w:r>
        <w:rPr>
          <w:rFonts w:ascii="Times New Roman" w:eastAsia="宋体"/>
          <w:color w:val="auto"/>
        </w:rPr>
        <w:t>广种花草树木，道路两边种植乔灌木、杨树、柳树等，厂界边缘地带形成多层防护林带，以降低恶臭污染的影响程度。综上所述，通过采取上述措施后项目产生的恶臭气体对人群健康的影响较小。</w:t>
      </w:r>
    </w:p>
    <w:p>
      <w:pPr>
        <w:keepNext/>
        <w:keepLines/>
        <w:spacing w:before="160" w:after="163" w:line="360" w:lineRule="auto"/>
        <w:outlineLvl w:val="3"/>
        <w:rPr>
          <w:rFonts w:ascii="Times New Roman" w:eastAsia="宋体"/>
          <w:b/>
          <w:bCs/>
          <w:color w:val="auto"/>
          <w:kern w:val="2"/>
          <w:szCs w:val="28"/>
        </w:rPr>
      </w:pPr>
      <w:r>
        <w:rPr>
          <w:rFonts w:ascii="Times New Roman" w:eastAsia="宋体"/>
          <w:b/>
          <w:bCs/>
          <w:color w:val="auto"/>
          <w:kern w:val="2"/>
          <w:szCs w:val="28"/>
        </w:rPr>
        <w:t>5.2.</w:t>
      </w:r>
      <w:r>
        <w:rPr>
          <w:rFonts w:hint="eastAsia" w:ascii="Times New Roman" w:eastAsia="宋体"/>
          <w:b/>
          <w:bCs/>
          <w:color w:val="auto"/>
          <w:kern w:val="2"/>
          <w:szCs w:val="28"/>
        </w:rPr>
        <w:t>9</w:t>
      </w:r>
      <w:r>
        <w:rPr>
          <w:rFonts w:ascii="Times New Roman" w:eastAsia="宋体"/>
          <w:b/>
          <w:bCs/>
          <w:color w:val="auto"/>
          <w:kern w:val="2"/>
          <w:szCs w:val="28"/>
        </w:rPr>
        <w:t>.</w:t>
      </w:r>
      <w:r>
        <w:rPr>
          <w:rFonts w:hint="eastAsia" w:ascii="Times New Roman" w:eastAsia="宋体"/>
          <w:b/>
          <w:bCs/>
          <w:color w:val="auto"/>
          <w:kern w:val="2"/>
          <w:szCs w:val="28"/>
        </w:rPr>
        <w:t>2</w:t>
      </w:r>
      <w:r>
        <w:rPr>
          <w:rFonts w:ascii="Times New Roman" w:eastAsia="宋体"/>
          <w:b/>
          <w:bCs/>
          <w:color w:val="auto"/>
          <w:kern w:val="2"/>
          <w:szCs w:val="28"/>
        </w:rPr>
        <w:t>风险识别</w:t>
      </w:r>
    </w:p>
    <w:p>
      <w:pPr>
        <w:spacing w:line="360" w:lineRule="auto"/>
        <w:ind w:firstLine="482"/>
        <w:rPr>
          <w:rFonts w:ascii="Times New Roman" w:eastAsia="宋体"/>
          <w:color w:val="auto"/>
          <w:lang w:val="zh-TW"/>
        </w:rPr>
      </w:pPr>
      <w:bookmarkStart w:id="441" w:name="_Toc27990"/>
      <w:bookmarkStart w:id="442" w:name="_Toc31071"/>
      <w:bookmarkStart w:id="443" w:name="_Toc20794"/>
      <w:r>
        <w:rPr>
          <w:rFonts w:hint="eastAsia" w:ascii="Times New Roman" w:eastAsia="宋体"/>
          <w:color w:val="auto"/>
        </w:rPr>
        <w:t>1、</w:t>
      </w:r>
      <w:r>
        <w:rPr>
          <w:rFonts w:hint="eastAsia" w:ascii="Times New Roman" w:eastAsia="宋体"/>
          <w:color w:val="auto"/>
          <w:lang w:val="zh-TW"/>
        </w:rPr>
        <w:t>物质危险性识别</w:t>
      </w:r>
      <w:bookmarkEnd w:id="441"/>
      <w:bookmarkEnd w:id="442"/>
      <w:bookmarkEnd w:id="443"/>
    </w:p>
    <w:p>
      <w:pPr>
        <w:spacing w:line="360" w:lineRule="auto"/>
        <w:ind w:firstLine="496" w:firstLineChars="200"/>
        <w:jc w:val="left"/>
        <w:rPr>
          <w:rFonts w:ascii="Times New Roman" w:eastAsia="宋体"/>
          <w:color w:val="auto"/>
          <w:szCs w:val="22"/>
        </w:rPr>
      </w:pPr>
      <w:r>
        <w:rPr>
          <w:rFonts w:hint="eastAsia" w:ascii="Times New Roman" w:eastAsia="宋体"/>
          <w:color w:val="auto"/>
          <w:szCs w:val="22"/>
          <w:lang w:val="zh-TW"/>
        </w:rPr>
        <w:t>根据《建设项目环境风险评价技术导则》（HJ169-2018），本项目涉及的危险物质判断结果详见5.</w:t>
      </w:r>
      <w:r>
        <w:rPr>
          <w:rFonts w:hint="eastAsia" w:ascii="Times New Roman" w:eastAsia="宋体"/>
          <w:color w:val="auto"/>
          <w:szCs w:val="22"/>
        </w:rPr>
        <w:t>3</w:t>
      </w:r>
      <w:r>
        <w:rPr>
          <w:rFonts w:hint="eastAsia" w:ascii="Times New Roman" w:eastAsia="宋体"/>
          <w:color w:val="auto"/>
          <w:szCs w:val="22"/>
          <w:lang w:val="zh-TW"/>
        </w:rPr>
        <w:t>小节中表5.</w:t>
      </w:r>
      <w:r>
        <w:rPr>
          <w:rFonts w:hint="eastAsia" w:ascii="Times New Roman" w:eastAsia="宋体"/>
          <w:color w:val="auto"/>
          <w:szCs w:val="22"/>
        </w:rPr>
        <w:t>3-1</w:t>
      </w:r>
      <w:r>
        <w:rPr>
          <w:rFonts w:hint="eastAsia" w:ascii="Times New Roman" w:eastAsia="宋体"/>
          <w:color w:val="auto"/>
          <w:szCs w:val="22"/>
          <w:lang w:val="zh-TW"/>
        </w:rPr>
        <w:t>，</w:t>
      </w:r>
      <w:r>
        <w:rPr>
          <w:rFonts w:hint="eastAsia" w:ascii="Times New Roman" w:eastAsia="宋体"/>
          <w:color w:val="auto"/>
          <w:szCs w:val="22"/>
        </w:rPr>
        <w:t>经统计，企业涉及的物质属于《建设项目环境风险评价技术导则》（HJ169-2018）附录B危险物质有：柴油、危险废物等。</w:t>
      </w:r>
    </w:p>
    <w:p>
      <w:pPr>
        <w:spacing w:line="360" w:lineRule="auto"/>
        <w:ind w:firstLine="482"/>
        <w:rPr>
          <w:rFonts w:ascii="Times New Roman" w:eastAsia="宋体"/>
          <w:color w:val="auto"/>
        </w:rPr>
      </w:pPr>
      <w:bookmarkStart w:id="444" w:name="_Toc8874"/>
      <w:r>
        <w:rPr>
          <w:rFonts w:hint="eastAsia" w:ascii="Times New Roman" w:eastAsia="宋体"/>
          <w:color w:val="auto"/>
        </w:rPr>
        <w:t>2、生产系统危险性识别</w:t>
      </w:r>
      <w:bookmarkEnd w:id="444"/>
    </w:p>
    <w:p>
      <w:pPr>
        <w:spacing w:line="360" w:lineRule="auto"/>
        <w:ind w:firstLine="482"/>
        <w:rPr>
          <w:rFonts w:ascii="Times New Roman" w:eastAsia="宋体"/>
          <w:color w:val="auto"/>
          <w:lang w:val="zh-CN"/>
        </w:rPr>
      </w:pPr>
      <w:bookmarkStart w:id="445" w:name="_Toc2507"/>
      <w:r>
        <w:rPr>
          <w:rFonts w:hint="eastAsia" w:ascii="Times New Roman" w:eastAsia="宋体"/>
          <w:color w:val="auto"/>
          <w:lang w:val="zh-CN"/>
        </w:rPr>
        <w:t>（1）</w:t>
      </w:r>
      <w:r>
        <w:rPr>
          <w:rFonts w:hint="eastAsia" w:ascii="Times New Roman" w:eastAsia="宋体"/>
          <w:color w:val="auto"/>
        </w:rPr>
        <w:t>沉淀</w:t>
      </w:r>
      <w:r>
        <w:rPr>
          <w:rFonts w:hint="eastAsia" w:ascii="Times New Roman" w:eastAsia="宋体"/>
          <w:color w:val="auto"/>
          <w:lang w:val="zh-CN"/>
        </w:rPr>
        <w:t>池发生渗漏或者排污管道发生破损、渗漏等。</w:t>
      </w:r>
      <w:bookmarkEnd w:id="445"/>
    </w:p>
    <w:p>
      <w:pPr>
        <w:spacing w:line="360" w:lineRule="auto"/>
        <w:ind w:firstLine="496" w:firstLineChars="200"/>
        <w:jc w:val="left"/>
        <w:rPr>
          <w:rFonts w:ascii="Times New Roman" w:eastAsia="宋体"/>
          <w:color w:val="auto"/>
          <w:szCs w:val="22"/>
        </w:rPr>
      </w:pPr>
      <w:r>
        <w:rPr>
          <w:rFonts w:hint="eastAsia" w:ascii="Times New Roman" w:eastAsia="宋体"/>
          <w:color w:val="auto"/>
          <w:szCs w:val="22"/>
        </w:rPr>
        <w:t>（2）若柴油桶发生泄漏时，可能会导致泄漏的柴油进入土壤，并污染土壤环境和地下水环境。</w:t>
      </w:r>
      <w:r>
        <w:rPr>
          <w:rFonts w:ascii="Times New Roman" w:eastAsia="宋体"/>
          <w:color w:val="auto"/>
          <w:szCs w:val="22"/>
        </w:rPr>
        <w:t>此外，燃油在装卸、存储过程中，流动、振荡和冲击都会产生静电，静电会产生火花，火花能量达到一定值也会引发燃烧爆炸。</w:t>
      </w:r>
    </w:p>
    <w:p>
      <w:pPr>
        <w:spacing w:line="360" w:lineRule="auto"/>
        <w:ind w:firstLine="482"/>
        <w:rPr>
          <w:rFonts w:ascii="Times New Roman" w:eastAsia="宋体"/>
          <w:color w:val="auto"/>
          <w:lang w:val="zh-CN"/>
        </w:rPr>
      </w:pPr>
      <w:bookmarkStart w:id="446" w:name="_Toc24125"/>
      <w:r>
        <w:rPr>
          <w:rFonts w:hint="eastAsia" w:ascii="Times New Roman" w:eastAsia="宋体"/>
          <w:color w:val="auto"/>
          <w:lang w:val="zh-CN"/>
        </w:rPr>
        <w:t>3、危险物质向环境转移的途径识别</w:t>
      </w:r>
      <w:bookmarkEnd w:id="446"/>
    </w:p>
    <w:p>
      <w:pPr>
        <w:spacing w:line="360" w:lineRule="auto"/>
        <w:ind w:firstLine="496" w:firstLineChars="200"/>
        <w:jc w:val="left"/>
        <w:rPr>
          <w:rFonts w:hAnsi="宋体" w:eastAsia="宋体" w:cs="宋体"/>
          <w:color w:val="auto"/>
          <w:szCs w:val="24"/>
        </w:rPr>
      </w:pPr>
      <w:r>
        <w:rPr>
          <w:rFonts w:hAnsi="宋体" w:eastAsia="宋体" w:cs="宋体"/>
          <w:color w:val="auto"/>
          <w:szCs w:val="24"/>
        </w:rPr>
        <w:t xml:space="preserve">根据项目特点及涉及的危险物质，项目存在的环境风险及影响途径主要有： </w:t>
      </w:r>
    </w:p>
    <w:p>
      <w:pPr>
        <w:spacing w:line="360" w:lineRule="auto"/>
        <w:ind w:firstLine="496" w:firstLineChars="200"/>
        <w:jc w:val="left"/>
        <w:rPr>
          <w:rFonts w:hAnsi="宋体" w:eastAsia="宋体" w:cs="宋体"/>
          <w:color w:val="auto"/>
          <w:szCs w:val="24"/>
        </w:rPr>
      </w:pPr>
      <w:r>
        <w:rPr>
          <w:rFonts w:hAnsi="宋体" w:eastAsia="宋体" w:cs="宋体"/>
          <w:color w:val="auto"/>
          <w:szCs w:val="24"/>
        </w:rPr>
        <w:t xml:space="preserve">（1）柴油发生泄漏，可能会导致泄漏的柴油进入土壤，并污染土壤环境和地下水环境；柴油发生泄漏，导致火灾事故，对大气、地表水环境造成污染。 </w:t>
      </w:r>
    </w:p>
    <w:p>
      <w:pPr>
        <w:spacing w:line="360" w:lineRule="auto"/>
        <w:ind w:firstLine="496" w:firstLineChars="200"/>
        <w:jc w:val="left"/>
        <w:rPr>
          <w:rFonts w:hAnsi="宋体" w:eastAsia="宋体" w:cs="宋体"/>
          <w:color w:val="auto"/>
          <w:szCs w:val="24"/>
        </w:rPr>
      </w:pPr>
      <w:r>
        <w:rPr>
          <w:rFonts w:hAnsi="宋体" w:eastAsia="宋体" w:cs="宋体"/>
          <w:color w:val="auto"/>
          <w:szCs w:val="24"/>
        </w:rPr>
        <w:t>（2）</w:t>
      </w:r>
      <w:r>
        <w:rPr>
          <w:rFonts w:hint="eastAsia" w:hAnsi="宋体" w:eastAsia="宋体" w:cs="宋体"/>
          <w:color w:val="auto"/>
          <w:szCs w:val="24"/>
        </w:rPr>
        <w:t>沉淀池</w:t>
      </w:r>
      <w:r>
        <w:rPr>
          <w:rFonts w:hAnsi="宋体" w:eastAsia="宋体" w:cs="宋体"/>
          <w:color w:val="auto"/>
          <w:szCs w:val="24"/>
        </w:rPr>
        <w:t xml:space="preserve">、集污管网等发生泄漏，造成地下水、地表水环境污染。 </w:t>
      </w:r>
    </w:p>
    <w:p>
      <w:pPr>
        <w:spacing w:line="360" w:lineRule="auto"/>
        <w:ind w:firstLine="496" w:firstLineChars="200"/>
        <w:jc w:val="left"/>
        <w:rPr>
          <w:rFonts w:hAnsi="宋体" w:eastAsia="宋体" w:cs="宋体"/>
          <w:color w:val="auto"/>
          <w:szCs w:val="24"/>
        </w:rPr>
      </w:pPr>
      <w:r>
        <w:rPr>
          <w:rFonts w:hint="eastAsia" w:hAnsi="宋体" w:eastAsia="宋体" w:cs="宋体"/>
          <w:color w:val="auto"/>
          <w:szCs w:val="24"/>
        </w:rPr>
        <w:t>（3）危险废物洒落或泄漏.</w:t>
      </w:r>
    </w:p>
    <w:p>
      <w:pPr>
        <w:spacing w:line="360" w:lineRule="auto"/>
        <w:ind w:firstLine="496" w:firstLineChars="200"/>
        <w:jc w:val="left"/>
        <w:rPr>
          <w:rFonts w:hAnsi="宋体" w:eastAsia="宋体" w:cs="宋体"/>
          <w:color w:val="auto"/>
          <w:szCs w:val="24"/>
        </w:rPr>
      </w:pPr>
      <w:r>
        <w:rPr>
          <w:rFonts w:hAnsi="宋体" w:eastAsia="宋体" w:cs="宋体"/>
          <w:color w:val="auto"/>
          <w:szCs w:val="24"/>
        </w:rPr>
        <w:t>（</w:t>
      </w:r>
      <w:r>
        <w:rPr>
          <w:rFonts w:hint="eastAsia" w:hAnsi="宋体" w:eastAsia="宋体" w:cs="宋体"/>
          <w:color w:val="auto"/>
          <w:szCs w:val="24"/>
        </w:rPr>
        <w:t>4</w:t>
      </w:r>
      <w:r>
        <w:rPr>
          <w:rFonts w:hAnsi="宋体" w:eastAsia="宋体" w:cs="宋体"/>
          <w:color w:val="auto"/>
          <w:szCs w:val="24"/>
        </w:rPr>
        <w:t xml:space="preserve">）鸡场发生疫情，可能会发生人群健康风险。 </w:t>
      </w:r>
    </w:p>
    <w:p>
      <w:pPr>
        <w:spacing w:line="360" w:lineRule="auto"/>
        <w:ind w:firstLine="496" w:firstLineChars="200"/>
        <w:jc w:val="left"/>
        <w:rPr>
          <w:rFonts w:ascii="Times New Roman" w:eastAsia="宋体"/>
          <w:color w:val="auto"/>
          <w:szCs w:val="22"/>
        </w:rPr>
      </w:pPr>
      <w:r>
        <w:rPr>
          <w:rFonts w:hAnsi="宋体" w:eastAsia="宋体" w:cs="宋体"/>
          <w:color w:val="auto"/>
          <w:szCs w:val="24"/>
        </w:rPr>
        <w:t>危险物质向环境转移的途径识别详见</w:t>
      </w:r>
      <w:r>
        <w:rPr>
          <w:rFonts w:hint="eastAsia" w:hAnsi="宋体" w:eastAsia="宋体" w:cs="宋体"/>
          <w:color w:val="auto"/>
          <w:szCs w:val="24"/>
        </w:rPr>
        <w:t>下表</w:t>
      </w:r>
      <w:r>
        <w:rPr>
          <w:rFonts w:hAnsi="宋体" w:eastAsia="宋体" w:cs="宋体"/>
          <w:color w:val="auto"/>
          <w:szCs w:val="24"/>
        </w:rPr>
        <w:t>。</w:t>
      </w:r>
    </w:p>
    <w:p>
      <w:pPr>
        <w:jc w:val="center"/>
        <w:rPr>
          <w:rFonts w:ascii="Times New Roman" w:eastAsia="宋体"/>
          <w:b/>
          <w:color w:val="auto"/>
          <w:sz w:val="21"/>
        </w:rPr>
      </w:pPr>
      <w:r>
        <w:rPr>
          <w:rFonts w:ascii="Times New Roman" w:eastAsia="宋体"/>
          <w:b/>
          <w:color w:val="auto"/>
          <w:sz w:val="21"/>
        </w:rPr>
        <w:t>表5.2-2</w:t>
      </w:r>
      <w:r>
        <w:rPr>
          <w:rFonts w:hint="eastAsia" w:ascii="Times New Roman" w:eastAsia="宋体"/>
          <w:b/>
          <w:color w:val="auto"/>
          <w:sz w:val="21"/>
        </w:rPr>
        <w:t>6</w:t>
      </w:r>
      <w:r>
        <w:rPr>
          <w:rFonts w:ascii="Times New Roman" w:eastAsia="宋体"/>
          <w:b/>
          <w:color w:val="auto"/>
          <w:sz w:val="21"/>
        </w:rPr>
        <w:t>建设项目环境风险识别表</w:t>
      </w:r>
    </w:p>
    <w:tbl>
      <w:tblPr>
        <w:tblStyle w:val="4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240"/>
        <w:gridCol w:w="1274"/>
        <w:gridCol w:w="1981"/>
        <w:gridCol w:w="1559"/>
        <w:gridCol w:w="17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序号</w:t>
            </w:r>
          </w:p>
        </w:tc>
        <w:tc>
          <w:tcPr>
            <w:tcW w:w="728"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危险单元</w:t>
            </w:r>
          </w:p>
        </w:tc>
        <w:tc>
          <w:tcPr>
            <w:tcW w:w="748"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风险源</w:t>
            </w:r>
          </w:p>
        </w:tc>
        <w:tc>
          <w:tcPr>
            <w:tcW w:w="1163"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主要危险物质</w:t>
            </w:r>
          </w:p>
        </w:tc>
        <w:tc>
          <w:tcPr>
            <w:tcW w:w="915"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环境风险类型</w:t>
            </w:r>
          </w:p>
        </w:tc>
        <w:tc>
          <w:tcPr>
            <w:tcW w:w="1030"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可能受影响的环境敏感目标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1</w:t>
            </w:r>
          </w:p>
        </w:tc>
        <w:tc>
          <w:tcPr>
            <w:tcW w:w="728"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柴油发电机</w:t>
            </w:r>
          </w:p>
        </w:tc>
        <w:tc>
          <w:tcPr>
            <w:tcW w:w="748"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柴油桶</w:t>
            </w:r>
          </w:p>
        </w:tc>
        <w:tc>
          <w:tcPr>
            <w:tcW w:w="1163"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柴油</w:t>
            </w:r>
          </w:p>
        </w:tc>
        <w:tc>
          <w:tcPr>
            <w:tcW w:w="915" w:type="pct"/>
            <w:tcBorders>
              <w:tl2br w:val="nil"/>
              <w:tr2bl w:val="nil"/>
            </w:tcBorders>
            <w:vAlign w:val="center"/>
          </w:tcPr>
          <w:p>
            <w:pPr>
              <w:autoSpaceDE w:val="0"/>
              <w:autoSpaceDN w:val="0"/>
              <w:adjustRightInd w:val="0"/>
              <w:jc w:val="center"/>
              <w:rPr>
                <w:rFonts w:ascii="Times New Roman" w:eastAsia="宋体"/>
                <w:bCs/>
                <w:color w:val="auto"/>
                <w:kern w:val="2"/>
                <w:sz w:val="21"/>
                <w:szCs w:val="21"/>
              </w:rPr>
            </w:pPr>
            <w:r>
              <w:rPr>
                <w:rFonts w:ascii="Times New Roman" w:eastAsia="宋体"/>
                <w:color w:val="auto"/>
                <w:sz w:val="21"/>
                <w:szCs w:val="21"/>
              </w:rPr>
              <w:t>泄漏，火灾、爆炸</w:t>
            </w:r>
          </w:p>
        </w:tc>
        <w:tc>
          <w:tcPr>
            <w:tcW w:w="1030"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周围环境及人群健康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415"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2</w:t>
            </w:r>
          </w:p>
        </w:tc>
        <w:tc>
          <w:tcPr>
            <w:tcW w:w="728"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沉淀池</w:t>
            </w:r>
          </w:p>
        </w:tc>
        <w:tc>
          <w:tcPr>
            <w:tcW w:w="748"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废水</w:t>
            </w:r>
          </w:p>
        </w:tc>
        <w:tc>
          <w:tcPr>
            <w:tcW w:w="1163"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CODcr、NH</w:t>
            </w:r>
            <w:r>
              <w:rPr>
                <w:rFonts w:ascii="Times New Roman" w:eastAsia="宋体"/>
                <w:bCs/>
                <w:color w:val="auto"/>
                <w:kern w:val="2"/>
                <w:sz w:val="21"/>
                <w:szCs w:val="21"/>
                <w:vertAlign w:val="subscript"/>
              </w:rPr>
              <w:t>3</w:t>
            </w:r>
            <w:r>
              <w:rPr>
                <w:rFonts w:ascii="Times New Roman" w:eastAsia="宋体"/>
                <w:bCs/>
                <w:color w:val="auto"/>
                <w:kern w:val="2"/>
                <w:sz w:val="21"/>
                <w:szCs w:val="21"/>
              </w:rPr>
              <w:t>-N、BOD</w:t>
            </w:r>
            <w:r>
              <w:rPr>
                <w:rFonts w:ascii="Times New Roman" w:eastAsia="宋体"/>
                <w:bCs/>
                <w:color w:val="auto"/>
                <w:kern w:val="2"/>
                <w:sz w:val="21"/>
                <w:szCs w:val="21"/>
                <w:vertAlign w:val="subscript"/>
              </w:rPr>
              <w:t>5</w:t>
            </w:r>
            <w:r>
              <w:rPr>
                <w:rFonts w:ascii="Times New Roman" w:eastAsia="宋体"/>
                <w:bCs/>
                <w:color w:val="auto"/>
                <w:kern w:val="2"/>
                <w:sz w:val="21"/>
                <w:szCs w:val="21"/>
              </w:rPr>
              <w:t>、SS、TP、TN、粪大肠菌群等</w:t>
            </w:r>
          </w:p>
        </w:tc>
        <w:tc>
          <w:tcPr>
            <w:tcW w:w="915"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泄漏</w:t>
            </w:r>
          </w:p>
        </w:tc>
        <w:tc>
          <w:tcPr>
            <w:tcW w:w="1030"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周围水环境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3</w:t>
            </w:r>
          </w:p>
        </w:tc>
        <w:tc>
          <w:tcPr>
            <w:tcW w:w="728"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人群健康</w:t>
            </w:r>
          </w:p>
        </w:tc>
        <w:tc>
          <w:tcPr>
            <w:tcW w:w="748"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病鸡</w:t>
            </w:r>
          </w:p>
        </w:tc>
        <w:tc>
          <w:tcPr>
            <w:tcW w:w="1163"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疾病</w:t>
            </w:r>
          </w:p>
        </w:tc>
        <w:tc>
          <w:tcPr>
            <w:tcW w:w="915"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疾病事故</w:t>
            </w:r>
          </w:p>
        </w:tc>
        <w:tc>
          <w:tcPr>
            <w:tcW w:w="1030" w:type="pct"/>
            <w:tcBorders>
              <w:tl2br w:val="nil"/>
              <w:tr2bl w:val="nil"/>
            </w:tcBorders>
            <w:vAlign w:val="center"/>
          </w:tcPr>
          <w:p>
            <w:pPr>
              <w:jc w:val="center"/>
              <w:rPr>
                <w:rFonts w:ascii="Times New Roman" w:eastAsia="宋体"/>
                <w:bCs/>
                <w:color w:val="auto"/>
                <w:kern w:val="2"/>
                <w:sz w:val="21"/>
                <w:szCs w:val="21"/>
              </w:rPr>
            </w:pPr>
            <w:r>
              <w:rPr>
                <w:rFonts w:ascii="Times New Roman" w:eastAsia="宋体"/>
                <w:bCs/>
                <w:color w:val="auto"/>
                <w:kern w:val="2"/>
                <w:sz w:val="21"/>
                <w:szCs w:val="21"/>
              </w:rPr>
              <w:t>人群健康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4</w:t>
            </w:r>
          </w:p>
        </w:tc>
        <w:tc>
          <w:tcPr>
            <w:tcW w:w="728"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危废暂存间</w:t>
            </w:r>
          </w:p>
        </w:tc>
        <w:tc>
          <w:tcPr>
            <w:tcW w:w="748"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危险废物</w:t>
            </w:r>
          </w:p>
        </w:tc>
        <w:tc>
          <w:tcPr>
            <w:tcW w:w="1163"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危险废物</w:t>
            </w:r>
          </w:p>
        </w:tc>
        <w:tc>
          <w:tcPr>
            <w:tcW w:w="915"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泄漏</w:t>
            </w:r>
          </w:p>
        </w:tc>
        <w:tc>
          <w:tcPr>
            <w:tcW w:w="1030" w:type="pct"/>
            <w:tcBorders>
              <w:tl2br w:val="nil"/>
              <w:tr2bl w:val="nil"/>
            </w:tcBorders>
            <w:vAlign w:val="center"/>
          </w:tcPr>
          <w:p>
            <w:pPr>
              <w:jc w:val="center"/>
              <w:rPr>
                <w:rFonts w:ascii="Times New Roman" w:eastAsia="宋体"/>
                <w:bCs/>
                <w:color w:val="auto"/>
                <w:kern w:val="2"/>
                <w:sz w:val="21"/>
                <w:szCs w:val="21"/>
              </w:rPr>
            </w:pPr>
            <w:r>
              <w:rPr>
                <w:rFonts w:hint="eastAsia" w:ascii="Times New Roman" w:eastAsia="宋体"/>
                <w:bCs/>
                <w:color w:val="auto"/>
                <w:kern w:val="2"/>
                <w:sz w:val="21"/>
                <w:szCs w:val="21"/>
              </w:rPr>
              <w:t>土壤</w:t>
            </w:r>
          </w:p>
        </w:tc>
      </w:tr>
    </w:tbl>
    <w:p>
      <w:pPr>
        <w:pStyle w:val="5"/>
        <w:numPr>
          <w:ilvl w:val="0"/>
          <w:numId w:val="0"/>
        </w:numPr>
        <w:tabs>
          <w:tab w:val="clear" w:pos="864"/>
        </w:tabs>
        <w:spacing w:before="0" w:after="0" w:line="360" w:lineRule="auto"/>
        <w:rPr>
          <w:rFonts w:ascii="Times New Roman" w:hAnsi="Times New Roman" w:eastAsia="宋体"/>
          <w:color w:val="auto"/>
        </w:rPr>
      </w:pPr>
      <w:r>
        <w:rPr>
          <w:rFonts w:hint="eastAsia" w:ascii="Times New Roman" w:hAnsi="Times New Roman" w:eastAsia="宋体"/>
          <w:color w:val="auto"/>
        </w:rPr>
        <w:t>5</w:t>
      </w:r>
      <w:r>
        <w:rPr>
          <w:rFonts w:ascii="Times New Roman" w:hAnsi="Times New Roman" w:eastAsia="宋体"/>
          <w:color w:val="auto"/>
        </w:rPr>
        <w:t>.</w:t>
      </w:r>
      <w:r>
        <w:rPr>
          <w:rFonts w:hint="eastAsia" w:ascii="Times New Roman" w:hAnsi="Times New Roman" w:eastAsia="宋体"/>
          <w:color w:val="auto"/>
        </w:rPr>
        <w:t>2.5</w:t>
      </w:r>
      <w:r>
        <w:rPr>
          <w:rFonts w:ascii="Times New Roman" w:hAnsi="Times New Roman" w:eastAsia="宋体"/>
          <w:color w:val="auto"/>
        </w:rPr>
        <w:t>.3固废影响评价小结</w:t>
      </w:r>
      <w:bookmarkEnd w:id="439"/>
      <w:bookmarkEnd w:id="440"/>
    </w:p>
    <w:p>
      <w:pPr>
        <w:spacing w:line="360" w:lineRule="auto"/>
        <w:ind w:firstLine="496" w:firstLineChars="200"/>
        <w:rPr>
          <w:rFonts w:ascii="Times New Roman" w:eastAsia="宋体"/>
          <w:color w:val="auto"/>
        </w:rPr>
      </w:pPr>
      <w:r>
        <w:rPr>
          <w:rFonts w:ascii="Times New Roman" w:eastAsia="宋体"/>
          <w:snapToGrid w:val="0"/>
          <w:color w:val="auto"/>
        </w:rPr>
        <w:t>按照湖南省关于固体废物转移处置的有关要求，该项目产生的危险废物，如果需要进行跨省转移处置仍需通过各级环保部门进行行政审批。以上所有固废要按照“减量化、资源化、无害化”处理原则，加强固体废物的内部管理，建立固体废物产生、外运、处置及最终去向的详细账单，按废物转移交换处置管理办法实施追踪管理；各类固废在厂内暂存措施应分别按照《一般工业固体废物贮存和填埋场污染控制标准》（GB18599-2020）和《危险废物储存污染控制标准》（</w:t>
      </w:r>
      <w:r>
        <w:rPr>
          <w:rFonts w:hint="eastAsia" w:ascii="Times New Roman" w:eastAsia="宋体"/>
          <w:snapToGrid w:val="0"/>
          <w:color w:val="auto"/>
        </w:rPr>
        <w:t>GB18597-2023</w:t>
      </w:r>
      <w:r>
        <w:rPr>
          <w:rFonts w:ascii="Times New Roman" w:eastAsia="宋体"/>
          <w:snapToGrid w:val="0"/>
          <w:color w:val="auto"/>
        </w:rPr>
        <w:t>）实施，采取防渗透、防泄漏、防中途流失措施，并落实安全管理责任，确保固废零排放，避免发生二次污染。</w:t>
      </w:r>
      <w:r>
        <w:rPr>
          <w:rFonts w:ascii="Times New Roman" w:eastAsia="宋体"/>
          <w:color w:val="auto"/>
          <w:szCs w:val="24"/>
        </w:rPr>
        <w:t>因此，本项目产生的固体废物均可得到合理处置，不会造成二次污染，对周边环境影响较小。</w:t>
      </w:r>
    </w:p>
    <w:p>
      <w:pPr>
        <w:pStyle w:val="4"/>
        <w:spacing w:before="0" w:after="0" w:line="360" w:lineRule="auto"/>
        <w:rPr>
          <w:rFonts w:hint="eastAsia" w:ascii="Times New Roman" w:eastAsia="宋体"/>
          <w:b/>
          <w:bCs/>
          <w:color w:val="auto"/>
          <w:sz w:val="24"/>
        </w:rPr>
      </w:pPr>
      <w:bookmarkStart w:id="447" w:name="_Toc16621"/>
      <w:bookmarkStart w:id="448" w:name="_Toc30183"/>
      <w:bookmarkStart w:id="449" w:name="_Toc26113"/>
      <w:r>
        <w:rPr>
          <w:rFonts w:hint="eastAsia" w:ascii="Times New Roman" w:eastAsia="宋体"/>
          <w:b/>
          <w:bCs/>
          <w:color w:val="auto"/>
          <w:sz w:val="24"/>
        </w:rPr>
        <w:t>5.2.6生态环境影响分析</w:t>
      </w:r>
      <w:bookmarkEnd w:id="447"/>
      <w:bookmarkEnd w:id="448"/>
      <w:bookmarkEnd w:id="449"/>
    </w:p>
    <w:p>
      <w:pPr>
        <w:spacing w:line="360" w:lineRule="auto"/>
        <w:ind w:firstLine="496" w:firstLineChars="200"/>
        <w:rPr>
          <w:rFonts w:ascii="Times New Roman" w:eastAsia="宋体"/>
          <w:color w:val="auto"/>
          <w:kern w:val="2"/>
        </w:rPr>
      </w:pPr>
      <w:bookmarkStart w:id="450" w:name="_Toc18496"/>
      <w:bookmarkStart w:id="451" w:name="_Toc2898"/>
      <w:r>
        <w:rPr>
          <w:rFonts w:hint="eastAsia" w:ascii="Times New Roman" w:eastAsia="宋体"/>
          <w:color w:val="auto"/>
          <w:kern w:val="2"/>
        </w:rPr>
        <w:t>根据《环境影响评价技术导则生态影响》（HJ19-2022），本项目为生态影响评价等级三级评价，三级评价可采用图形叠置法、生态机理法、类比分析法等预测分析工程对土地利用、植被、野生动植物等的影响。本项目养殖项目，类比岳阳县岳阳湘佳牧业有限公司前进养殖场（年产80万羽肉鸡，占地范围内生态环境类似），主要生态影响如下。</w:t>
      </w:r>
    </w:p>
    <w:p>
      <w:pPr>
        <w:spacing w:line="360" w:lineRule="auto"/>
        <w:ind w:firstLine="482"/>
        <w:rPr>
          <w:rFonts w:ascii="Times New Roman" w:eastAsia="宋体"/>
          <w:color w:val="auto"/>
        </w:rPr>
      </w:pPr>
      <w:bookmarkStart w:id="452" w:name="_Toc469"/>
      <w:bookmarkStart w:id="453" w:name="_Toc9153"/>
      <w:r>
        <w:rPr>
          <w:rFonts w:hint="eastAsia" w:ascii="Times New Roman" w:eastAsia="宋体"/>
          <w:color w:val="auto"/>
        </w:rPr>
        <w:t>1、土地利用影响</w:t>
      </w:r>
      <w:bookmarkEnd w:id="452"/>
      <w:bookmarkEnd w:id="453"/>
    </w:p>
    <w:p>
      <w:pPr>
        <w:spacing w:line="360" w:lineRule="auto"/>
        <w:ind w:firstLine="482"/>
        <w:rPr>
          <w:rFonts w:ascii="Times New Roman" w:eastAsia="宋体"/>
          <w:color w:val="auto"/>
        </w:rPr>
      </w:pPr>
      <w:r>
        <w:rPr>
          <w:rFonts w:hint="eastAsia" w:ascii="Times New Roman" w:eastAsia="宋体"/>
          <w:color w:val="auto"/>
          <w:lang w:val="zh-CN"/>
        </w:rPr>
        <w:t>项目未建设前土地利用现状</w:t>
      </w:r>
      <w:r>
        <w:rPr>
          <w:rFonts w:hint="eastAsia" w:ascii="Times New Roman" w:eastAsia="宋体"/>
          <w:color w:val="auto"/>
        </w:rPr>
        <w:t>主要</w:t>
      </w:r>
      <w:r>
        <w:rPr>
          <w:rFonts w:hint="eastAsia" w:ascii="Times New Roman" w:eastAsia="宋体"/>
          <w:color w:val="auto"/>
          <w:lang w:val="zh-CN"/>
        </w:rPr>
        <w:t>为林地，项目的建设将完全改变土地利用现状。养殖场场内建成为混凝土地面，占地范围内原有的林木、灌木、草丛等植被将全部剥离，表面植被遭到破坏。项目建成后，在场内及四周加强绿化，绿化以树、灌、草等相结合的形式。绿化不仅能降噪降低恶臭的环境功能，另一方面也有利于地表水径流的吸收，有利于水土保持，减少土地侵蚀。</w:t>
      </w:r>
    </w:p>
    <w:p>
      <w:pPr>
        <w:spacing w:line="360" w:lineRule="auto"/>
        <w:ind w:firstLine="482"/>
        <w:rPr>
          <w:rFonts w:ascii="Times New Roman" w:eastAsia="宋体"/>
          <w:color w:val="auto"/>
        </w:rPr>
      </w:pPr>
      <w:bookmarkStart w:id="454" w:name="_Toc14393"/>
      <w:bookmarkStart w:id="455" w:name="_Toc28741"/>
      <w:r>
        <w:rPr>
          <w:rFonts w:hint="eastAsia" w:ascii="Times New Roman" w:eastAsia="宋体"/>
          <w:color w:val="auto"/>
        </w:rPr>
        <w:t>2、水土流失影响</w:t>
      </w:r>
      <w:bookmarkEnd w:id="454"/>
      <w:bookmarkEnd w:id="455"/>
    </w:p>
    <w:p>
      <w:pPr>
        <w:spacing w:line="360" w:lineRule="auto"/>
        <w:ind w:firstLine="482"/>
        <w:jc w:val="left"/>
        <w:rPr>
          <w:rFonts w:ascii="Times New Roman" w:eastAsia="宋体"/>
          <w:color w:val="auto"/>
          <w:kern w:val="2"/>
        </w:rPr>
      </w:pPr>
      <w:r>
        <w:rPr>
          <w:rFonts w:hint="eastAsia" w:ascii="Times New Roman" w:eastAsia="宋体"/>
          <w:color w:val="auto"/>
          <w:kern w:val="2"/>
        </w:rPr>
        <w:t>项目建成后，所在地的地表将由林地变为人工建筑地面。地面径流系数将发生变化，由于人工建筑地面属于硬地表，地表径流较难下渗，降雨较易形成地表径流进入周边山体，而山林泥土则可以起到蓄水作用，对地表径流有一定的蓄纳缓冲功能。本项目平面布置基本按照现有的地表径流流向设计，场内雨水顺地势流入南侧鱼塘和灌溉水渠。项目在场内种植树木，降低地表径流流量及流速，增强地表的固土能力，从而减轻地表侵蚀，有效减少水土流失。</w:t>
      </w:r>
    </w:p>
    <w:p>
      <w:pPr>
        <w:spacing w:line="360" w:lineRule="auto"/>
        <w:ind w:firstLine="482"/>
        <w:rPr>
          <w:rFonts w:ascii="Times New Roman" w:eastAsia="宋体"/>
          <w:color w:val="auto"/>
        </w:rPr>
      </w:pPr>
      <w:bookmarkStart w:id="456" w:name="_Toc9161"/>
      <w:bookmarkStart w:id="457" w:name="_Toc14891"/>
      <w:r>
        <w:rPr>
          <w:rFonts w:hint="eastAsia" w:ascii="Times New Roman" w:eastAsia="宋体"/>
          <w:color w:val="auto"/>
        </w:rPr>
        <w:t>3、对动植物的影响</w:t>
      </w:r>
      <w:bookmarkEnd w:id="456"/>
      <w:bookmarkEnd w:id="457"/>
    </w:p>
    <w:p>
      <w:pPr>
        <w:spacing w:line="360" w:lineRule="auto"/>
        <w:ind w:firstLine="496" w:firstLineChars="200"/>
        <w:rPr>
          <w:rFonts w:ascii="Times New Roman" w:eastAsia="宋体"/>
          <w:color w:val="auto"/>
          <w:kern w:val="2"/>
        </w:rPr>
      </w:pPr>
      <w:r>
        <w:rPr>
          <w:rFonts w:hint="eastAsia" w:ascii="Times New Roman" w:eastAsia="宋体"/>
          <w:color w:val="auto"/>
          <w:kern w:val="2"/>
        </w:rPr>
        <w:t>项目建设前，场区范围内主要是山地，地表植被主要是乔木、灌木、杂草等当地常见物种，没有珍稀植被，本项目建成后，土地硬化，植被遭到破坏，对植物生态系统造成了一定程度的损坏，项目建成后，在养殖场内种植一定的苗木，均为当地常见种，尽量减少对植被生态系统多样性的破坏。</w:t>
      </w:r>
    </w:p>
    <w:p>
      <w:pPr>
        <w:spacing w:line="360" w:lineRule="auto"/>
        <w:ind w:firstLine="496" w:firstLineChars="200"/>
        <w:rPr>
          <w:rFonts w:ascii="Times New Roman" w:eastAsia="宋体"/>
          <w:color w:val="auto"/>
          <w:kern w:val="2"/>
        </w:rPr>
      </w:pPr>
      <w:r>
        <w:rPr>
          <w:rFonts w:hint="eastAsia" w:ascii="Times New Roman" w:eastAsia="宋体"/>
          <w:color w:val="auto"/>
          <w:kern w:val="2"/>
        </w:rPr>
        <w:t>项目所在地区域内无珍稀野生动物，只有一些小型只有一些小型啮齿类动物和鸟类，项目实施后，随着绿化种植，施工时的人为干扰消失，一部分外迁动物又会回归，对该地区动物生态系统影响不大。</w:t>
      </w:r>
    </w:p>
    <w:p>
      <w:pPr>
        <w:spacing w:line="360" w:lineRule="auto"/>
        <w:ind w:firstLine="496" w:firstLineChars="200"/>
        <w:rPr>
          <w:rFonts w:ascii="Times New Roman" w:eastAsia="宋体"/>
          <w:color w:val="auto"/>
          <w:kern w:val="2"/>
        </w:rPr>
      </w:pPr>
      <w:r>
        <w:rPr>
          <w:rFonts w:hint="eastAsia" w:ascii="Times New Roman" w:eastAsia="宋体"/>
          <w:color w:val="auto"/>
          <w:kern w:val="2"/>
        </w:rPr>
        <w:t>本项目实施后对对当地动植物生态环境影响不大。</w:t>
      </w:r>
    </w:p>
    <w:p>
      <w:pPr>
        <w:pStyle w:val="4"/>
        <w:spacing w:before="0" w:after="0" w:line="360" w:lineRule="auto"/>
        <w:rPr>
          <w:rFonts w:hint="eastAsia" w:ascii="Times New Roman" w:eastAsia="宋体"/>
          <w:b/>
          <w:bCs/>
          <w:color w:val="auto"/>
          <w:sz w:val="24"/>
        </w:rPr>
      </w:pPr>
      <w:bookmarkStart w:id="458" w:name="_Toc7183"/>
      <w:r>
        <w:rPr>
          <w:rFonts w:hint="eastAsia" w:ascii="Times New Roman" w:eastAsia="宋体"/>
          <w:b/>
          <w:bCs/>
          <w:color w:val="auto"/>
          <w:sz w:val="24"/>
        </w:rPr>
        <w:t>5.2.7土壤环境影响分析</w:t>
      </w:r>
      <w:bookmarkEnd w:id="458"/>
    </w:p>
    <w:p>
      <w:pPr>
        <w:spacing w:line="360" w:lineRule="auto"/>
        <w:ind w:firstLine="496" w:firstLineChars="200"/>
        <w:rPr>
          <w:rFonts w:ascii="Times New Roman" w:eastAsia="宋体"/>
          <w:color w:val="auto"/>
          <w:kern w:val="2"/>
        </w:rPr>
      </w:pPr>
      <w:r>
        <w:rPr>
          <w:rFonts w:ascii="Times New Roman" w:eastAsia="宋体"/>
          <w:color w:val="auto"/>
          <w:kern w:val="2"/>
        </w:rPr>
        <w:t>本项目属于污染影响型，土壤评价工作等级为三级，根据《环境影响评价技术导则—土壤环境（试行）》（HJ964-2018），采用定性描述法进行预测。</w:t>
      </w:r>
    </w:p>
    <w:p>
      <w:pPr>
        <w:pStyle w:val="173"/>
        <w:ind w:firstLine="497"/>
        <w:rPr>
          <w:rFonts w:ascii="Times New Roman" w:eastAsia="宋体"/>
          <w:color w:val="auto"/>
        </w:rPr>
      </w:pPr>
      <w:r>
        <w:rPr>
          <w:rFonts w:ascii="Times New Roman" w:eastAsia="宋体"/>
          <w:color w:val="auto"/>
        </w:rPr>
        <w:t>（1）土壤环境影响类型及途径</w:t>
      </w:r>
    </w:p>
    <w:p>
      <w:pPr>
        <w:spacing w:line="360" w:lineRule="auto"/>
        <w:ind w:firstLine="496" w:firstLineChars="200"/>
        <w:rPr>
          <w:rFonts w:ascii="Times New Roman" w:eastAsia="宋体"/>
          <w:color w:val="auto"/>
          <w:kern w:val="2"/>
        </w:rPr>
      </w:pPr>
      <w:r>
        <w:rPr>
          <w:rFonts w:ascii="Times New Roman" w:eastAsia="宋体"/>
          <w:color w:val="auto"/>
          <w:kern w:val="2"/>
        </w:rPr>
        <w:t>根据《环境影响评价技术导则土壤环境（试行）》（HJ964-2018），本项目为污染影响型项目。项目运行过程中对土壤环境的影响途径主要为垂直入渗及地面漫流影响。项目污水输送全部采用管道输送，管道材质优良，材质并做表面的防腐、防锈蚀处理，减轻管道腐蚀造成的渗漏，并进行定期检查，防止跑冒漏滴的现象发生，从而减轻对项目区及周边土壤环境的影响。</w:t>
      </w:r>
    </w:p>
    <w:p>
      <w:pPr>
        <w:spacing w:line="360" w:lineRule="auto"/>
        <w:ind w:firstLine="496" w:firstLineChars="200"/>
        <w:rPr>
          <w:rFonts w:ascii="Times New Roman" w:eastAsia="宋体"/>
          <w:color w:val="auto"/>
          <w:kern w:val="2"/>
        </w:rPr>
      </w:pPr>
      <w:r>
        <w:rPr>
          <w:rFonts w:ascii="Times New Roman" w:eastAsia="宋体"/>
          <w:color w:val="auto"/>
          <w:kern w:val="2"/>
        </w:rPr>
        <w:t>本项目运行过程中，生活污水与生产废水一起排入</w:t>
      </w:r>
      <w:r>
        <w:rPr>
          <w:rFonts w:hint="eastAsia" w:ascii="Times New Roman" w:eastAsia="宋体"/>
          <w:color w:val="auto"/>
          <w:kern w:val="2"/>
        </w:rPr>
        <w:t>沉淀池</w:t>
      </w:r>
      <w:r>
        <w:rPr>
          <w:rFonts w:ascii="Times New Roman" w:eastAsia="宋体"/>
          <w:color w:val="auto"/>
          <w:kern w:val="2"/>
        </w:rPr>
        <w:t>，</w:t>
      </w:r>
      <w:r>
        <w:rPr>
          <w:rFonts w:hint="eastAsia" w:ascii="Times New Roman" w:eastAsia="宋体"/>
          <w:color w:val="auto"/>
          <w:kern w:val="2"/>
          <w:szCs w:val="24"/>
        </w:rPr>
        <w:t>后外运至新华养殖场处理。</w:t>
      </w:r>
      <w:r>
        <w:rPr>
          <w:rFonts w:ascii="Times New Roman" w:eastAsia="宋体"/>
          <w:color w:val="auto"/>
          <w:kern w:val="2"/>
        </w:rPr>
        <w:t>项目生产及环保设施均采取了相应的防渗措施，防渗区域包括</w:t>
      </w:r>
      <w:r>
        <w:rPr>
          <w:rFonts w:hint="eastAsia" w:ascii="Times New Roman" w:eastAsia="宋体"/>
          <w:color w:val="auto"/>
          <w:kern w:val="2"/>
        </w:rPr>
        <w:t>鸡</w:t>
      </w:r>
      <w:r>
        <w:rPr>
          <w:rFonts w:ascii="Times New Roman" w:eastAsia="宋体"/>
          <w:color w:val="auto"/>
          <w:kern w:val="2"/>
        </w:rPr>
        <w:t>舍、污水</w:t>
      </w:r>
      <w:r>
        <w:rPr>
          <w:rFonts w:hint="eastAsia" w:ascii="Times New Roman" w:eastAsia="宋体"/>
          <w:color w:val="auto"/>
          <w:kern w:val="2"/>
        </w:rPr>
        <w:t>沉淀池</w:t>
      </w:r>
      <w:r>
        <w:rPr>
          <w:rFonts w:ascii="Times New Roman" w:eastAsia="宋体"/>
          <w:color w:val="auto"/>
          <w:kern w:val="2"/>
        </w:rPr>
        <w:t>及污水管</w:t>
      </w:r>
      <w:r>
        <w:rPr>
          <w:rFonts w:hint="eastAsia" w:ascii="Times New Roman" w:eastAsia="宋体"/>
          <w:color w:val="auto"/>
          <w:kern w:val="2"/>
          <w:lang w:val="en-US" w:eastAsia="zh-CN"/>
        </w:rPr>
        <w:t>、</w:t>
      </w:r>
      <w:r>
        <w:rPr>
          <w:rFonts w:ascii="Times New Roman" w:eastAsia="宋体"/>
          <w:color w:val="auto"/>
          <w:kern w:val="2"/>
        </w:rPr>
        <w:t>医疗废物暂存间等。</w:t>
      </w:r>
    </w:p>
    <w:p>
      <w:pPr>
        <w:spacing w:line="360" w:lineRule="auto"/>
        <w:ind w:firstLine="496" w:firstLineChars="200"/>
        <w:rPr>
          <w:rFonts w:ascii="Times New Roman" w:eastAsia="宋体"/>
          <w:color w:val="auto"/>
          <w:kern w:val="2"/>
        </w:rPr>
      </w:pPr>
      <w:r>
        <w:rPr>
          <w:rFonts w:ascii="Times New Roman" w:eastAsia="宋体"/>
          <w:color w:val="auto"/>
          <w:kern w:val="2"/>
        </w:rPr>
        <w:t>因此，正常运行过程中，项目对土壤环境的影响途径主要为在出现管道破裂、贮存池容积不足等非正常情况下，可行导致废水形成地面漫流，从而污染项目区土壤。另外，如果污水处理收集设施底部出现裂缝或发生破损，废水会通过垂直入渗，进而污染周边的土壤。</w:t>
      </w:r>
    </w:p>
    <w:p>
      <w:pPr>
        <w:pStyle w:val="173"/>
        <w:ind w:firstLine="497"/>
        <w:rPr>
          <w:rFonts w:ascii="Times New Roman" w:eastAsia="宋体"/>
          <w:color w:val="auto"/>
        </w:rPr>
      </w:pPr>
      <w:r>
        <w:rPr>
          <w:rFonts w:ascii="Times New Roman" w:eastAsia="宋体"/>
          <w:color w:val="auto"/>
        </w:rPr>
        <w:t>（</w:t>
      </w:r>
      <w:r>
        <w:rPr>
          <w:rFonts w:hint="eastAsia" w:ascii="Times New Roman" w:eastAsia="宋体"/>
          <w:color w:val="auto"/>
        </w:rPr>
        <w:t>2</w:t>
      </w:r>
      <w:r>
        <w:rPr>
          <w:rFonts w:ascii="Times New Roman" w:eastAsia="宋体"/>
          <w:color w:val="auto"/>
        </w:rPr>
        <w:t>）非正常情况下对土壤的影响分析</w:t>
      </w:r>
    </w:p>
    <w:p>
      <w:pPr>
        <w:spacing w:line="360" w:lineRule="auto"/>
        <w:ind w:firstLine="496" w:firstLineChars="200"/>
        <w:rPr>
          <w:rFonts w:ascii="Times New Roman" w:eastAsia="宋体"/>
          <w:color w:val="auto"/>
          <w:kern w:val="2"/>
        </w:rPr>
      </w:pPr>
      <w:r>
        <w:rPr>
          <w:rFonts w:ascii="Times New Roman" w:eastAsia="宋体"/>
          <w:color w:val="auto"/>
          <w:kern w:val="2"/>
        </w:rPr>
        <w:t>项目在出现</w:t>
      </w:r>
      <w:r>
        <w:rPr>
          <w:rFonts w:hint="eastAsia" w:ascii="Times New Roman" w:eastAsia="宋体"/>
          <w:color w:val="auto"/>
          <w:kern w:val="2"/>
          <w:lang w:val="en-US" w:eastAsia="zh-CN"/>
        </w:rPr>
        <w:t>收集</w:t>
      </w:r>
      <w:r>
        <w:rPr>
          <w:rFonts w:ascii="Times New Roman" w:eastAsia="宋体"/>
          <w:color w:val="auto"/>
          <w:kern w:val="2"/>
        </w:rPr>
        <w:t>管道破裂、</w:t>
      </w:r>
      <w:r>
        <w:rPr>
          <w:rFonts w:hint="eastAsia" w:ascii="Times New Roman" w:eastAsia="宋体"/>
          <w:color w:val="auto"/>
          <w:kern w:val="2"/>
        </w:rPr>
        <w:t>沉淀池</w:t>
      </w:r>
      <w:r>
        <w:rPr>
          <w:rFonts w:ascii="Times New Roman" w:eastAsia="宋体"/>
          <w:color w:val="auto"/>
          <w:kern w:val="2"/>
        </w:rPr>
        <w:t>容积不足等非正常情况下，可能导致废水形成地面漫流，从而污染项目区土壤。另外，如果污水处理收集设施底部出现裂缝或发生破损，废水会通过垂直入渗，进而污染周边的土壤。</w:t>
      </w:r>
    </w:p>
    <w:p>
      <w:pPr>
        <w:spacing w:line="360" w:lineRule="auto"/>
        <w:ind w:firstLine="496" w:firstLineChars="200"/>
        <w:rPr>
          <w:rFonts w:ascii="Times New Roman" w:eastAsia="宋体"/>
          <w:color w:val="auto"/>
          <w:kern w:val="2"/>
        </w:rPr>
      </w:pPr>
      <w:r>
        <w:rPr>
          <w:rFonts w:ascii="Times New Roman" w:eastAsia="宋体"/>
          <w:color w:val="auto"/>
          <w:kern w:val="2"/>
        </w:rPr>
        <w:t>本项目废水中主要污染物为COD、BOD</w:t>
      </w:r>
      <w:r>
        <w:rPr>
          <w:rFonts w:ascii="Times New Roman" w:eastAsia="宋体"/>
          <w:color w:val="auto"/>
          <w:kern w:val="2"/>
          <w:vertAlign w:val="subscript"/>
        </w:rPr>
        <w:t>5</w:t>
      </w:r>
      <w:r>
        <w:rPr>
          <w:rFonts w:ascii="Times New Roman" w:eastAsia="宋体"/>
          <w:color w:val="auto"/>
          <w:kern w:val="2"/>
        </w:rPr>
        <w:t>、NH</w:t>
      </w:r>
      <w:r>
        <w:rPr>
          <w:rFonts w:ascii="Times New Roman" w:eastAsia="宋体"/>
          <w:color w:val="auto"/>
          <w:kern w:val="2"/>
          <w:vertAlign w:val="subscript"/>
        </w:rPr>
        <w:t>3</w:t>
      </w:r>
      <w:r>
        <w:rPr>
          <w:rFonts w:ascii="Times New Roman" w:eastAsia="宋体"/>
          <w:color w:val="auto"/>
          <w:kern w:val="2"/>
        </w:rPr>
        <w:t>-N、总磷等，若废水中污染物大量进入土壤环境将会造成土壤胶结，影响其通气透气性，进而抑制土壤中细菌活动，降低土壤酶活性。</w:t>
      </w:r>
    </w:p>
    <w:p>
      <w:pPr>
        <w:spacing w:line="360" w:lineRule="auto"/>
        <w:ind w:firstLine="496" w:firstLineChars="200"/>
        <w:rPr>
          <w:rFonts w:ascii="Times New Roman" w:eastAsia="宋体"/>
          <w:color w:val="auto"/>
          <w:kern w:val="2"/>
          <w:szCs w:val="22"/>
        </w:rPr>
      </w:pPr>
      <w:r>
        <w:rPr>
          <w:rFonts w:ascii="Times New Roman" w:eastAsia="宋体"/>
          <w:color w:val="auto"/>
          <w:kern w:val="2"/>
          <w:szCs w:val="22"/>
        </w:rPr>
        <w:t>项目产生的废水为</w:t>
      </w:r>
      <w:r>
        <w:rPr>
          <w:rFonts w:hint="eastAsia" w:ascii="Times New Roman" w:eastAsia="宋体"/>
          <w:color w:val="auto"/>
          <w:kern w:val="2"/>
          <w:szCs w:val="22"/>
        </w:rPr>
        <w:t>养殖</w:t>
      </w:r>
      <w:r>
        <w:rPr>
          <w:rFonts w:ascii="Times New Roman" w:eastAsia="宋体"/>
          <w:color w:val="auto"/>
          <w:kern w:val="2"/>
          <w:szCs w:val="22"/>
        </w:rPr>
        <w:t>废水及生活污水，</w:t>
      </w:r>
      <w:r>
        <w:rPr>
          <w:rFonts w:hint="eastAsia" w:ascii="Times New Roman" w:eastAsia="宋体"/>
          <w:color w:val="auto"/>
          <w:kern w:val="2"/>
          <w:szCs w:val="22"/>
        </w:rPr>
        <w:t>项目废水量为1360.8</w:t>
      </w:r>
      <w:r>
        <w:rPr>
          <w:rFonts w:ascii="Times New Roman" w:eastAsia="宋体"/>
          <w:color w:val="auto"/>
          <w:kern w:val="2"/>
          <w:szCs w:val="22"/>
        </w:rPr>
        <w:t>m</w:t>
      </w:r>
      <w:r>
        <w:rPr>
          <w:rFonts w:ascii="Times New Roman" w:eastAsia="宋体"/>
          <w:color w:val="auto"/>
          <w:kern w:val="2"/>
          <w:szCs w:val="22"/>
          <w:vertAlign w:val="superscript"/>
        </w:rPr>
        <w:t>3</w:t>
      </w:r>
      <w:r>
        <w:rPr>
          <w:rFonts w:ascii="Times New Roman" w:eastAsia="宋体"/>
          <w:color w:val="auto"/>
          <w:kern w:val="2"/>
          <w:szCs w:val="22"/>
        </w:rPr>
        <w:t>/d。</w:t>
      </w:r>
      <w:r>
        <w:rPr>
          <w:rFonts w:hint="eastAsia" w:ascii="Times New Roman" w:eastAsia="宋体"/>
          <w:color w:val="auto"/>
          <w:kern w:val="2"/>
          <w:szCs w:val="22"/>
        </w:rPr>
        <w:t>本项目在污水处理区设置一个400m</w:t>
      </w:r>
      <w:r>
        <w:rPr>
          <w:rFonts w:hint="eastAsia" w:ascii="Times New Roman" w:eastAsia="宋体"/>
          <w:color w:val="auto"/>
          <w:kern w:val="2"/>
          <w:szCs w:val="22"/>
          <w:vertAlign w:val="superscript"/>
        </w:rPr>
        <w:t>3</w:t>
      </w:r>
      <w:r>
        <w:rPr>
          <w:rFonts w:hint="eastAsia" w:ascii="Times New Roman" w:eastAsia="宋体"/>
          <w:color w:val="auto"/>
          <w:kern w:val="2"/>
          <w:szCs w:val="22"/>
        </w:rPr>
        <w:t>的沉淀池，能够容纳本项目一栏次的废水量，</w:t>
      </w:r>
      <w:r>
        <w:rPr>
          <w:rFonts w:ascii="Times New Roman" w:eastAsia="宋体"/>
          <w:color w:val="auto"/>
          <w:kern w:val="2"/>
          <w:szCs w:val="22"/>
        </w:rPr>
        <w:t>能够保证项目废水不会出现因污水站维修等原因外溢现象，可有效避免废水因地面漫流污染土壤。</w:t>
      </w:r>
    </w:p>
    <w:p>
      <w:pPr>
        <w:spacing w:line="360" w:lineRule="auto"/>
        <w:ind w:firstLine="496" w:firstLineChars="200"/>
        <w:rPr>
          <w:rFonts w:ascii="Times New Roman" w:eastAsia="宋体"/>
          <w:color w:val="auto"/>
          <w:kern w:val="2"/>
        </w:rPr>
      </w:pPr>
      <w:r>
        <w:rPr>
          <w:rFonts w:ascii="Times New Roman" w:eastAsia="宋体"/>
          <w:color w:val="auto"/>
          <w:kern w:val="2"/>
        </w:rPr>
        <w:t>项目生产及环保设施均采取相应的防渗措施，防渗区域包括</w:t>
      </w:r>
      <w:r>
        <w:rPr>
          <w:rFonts w:hint="eastAsia" w:ascii="Times New Roman" w:eastAsia="宋体"/>
          <w:color w:val="auto"/>
          <w:kern w:val="2"/>
        </w:rPr>
        <w:t>鸡</w:t>
      </w:r>
      <w:r>
        <w:rPr>
          <w:rFonts w:ascii="Times New Roman" w:eastAsia="宋体"/>
          <w:color w:val="auto"/>
          <w:kern w:val="2"/>
        </w:rPr>
        <w:t>舍、污水</w:t>
      </w:r>
      <w:r>
        <w:rPr>
          <w:rFonts w:hint="eastAsia" w:ascii="Times New Roman" w:eastAsia="宋体"/>
          <w:color w:val="auto"/>
          <w:kern w:val="2"/>
        </w:rPr>
        <w:t>沉淀池</w:t>
      </w:r>
      <w:r>
        <w:rPr>
          <w:rFonts w:ascii="Times New Roman" w:eastAsia="宋体"/>
          <w:color w:val="auto"/>
          <w:kern w:val="2"/>
        </w:rPr>
        <w:t>及污水管</w:t>
      </w:r>
      <w:r>
        <w:rPr>
          <w:rFonts w:hint="eastAsia" w:ascii="Times New Roman" w:eastAsia="宋体"/>
          <w:color w:val="auto"/>
          <w:kern w:val="2"/>
          <w:lang w:val="en-US" w:eastAsia="zh-CN"/>
        </w:rPr>
        <w:t>和</w:t>
      </w:r>
      <w:r>
        <w:rPr>
          <w:rFonts w:ascii="Times New Roman" w:eastAsia="宋体"/>
          <w:color w:val="auto"/>
          <w:kern w:val="2"/>
        </w:rPr>
        <w:t>医疗废物暂存间等。在采取相应的防渗措施后，项目污水通过垂直入渗影响土壤环境概率较小，且本项目废水中主要污染物为COD、BOD</w:t>
      </w:r>
      <w:r>
        <w:rPr>
          <w:rFonts w:ascii="Times New Roman" w:eastAsia="宋体"/>
          <w:color w:val="auto"/>
          <w:kern w:val="2"/>
          <w:vertAlign w:val="subscript"/>
        </w:rPr>
        <w:t>5</w:t>
      </w:r>
      <w:r>
        <w:rPr>
          <w:rFonts w:ascii="Times New Roman" w:eastAsia="宋体"/>
          <w:color w:val="auto"/>
          <w:kern w:val="2"/>
        </w:rPr>
        <w:t>、NH</w:t>
      </w:r>
      <w:r>
        <w:rPr>
          <w:rFonts w:ascii="Times New Roman" w:eastAsia="宋体"/>
          <w:color w:val="auto"/>
          <w:kern w:val="2"/>
          <w:vertAlign w:val="subscript"/>
        </w:rPr>
        <w:t>3</w:t>
      </w:r>
      <w:r>
        <w:rPr>
          <w:rFonts w:ascii="Times New Roman" w:eastAsia="宋体"/>
          <w:color w:val="auto"/>
          <w:kern w:val="2"/>
        </w:rPr>
        <w:t>-N、总磷等，对土壤环境影响不大。</w:t>
      </w:r>
    </w:p>
    <w:p>
      <w:pPr>
        <w:pStyle w:val="173"/>
        <w:ind w:firstLine="497"/>
        <w:rPr>
          <w:rFonts w:ascii="Times New Roman" w:eastAsia="宋体"/>
          <w:color w:val="auto"/>
        </w:rPr>
      </w:pPr>
      <w:r>
        <w:rPr>
          <w:rFonts w:ascii="Times New Roman" w:eastAsia="宋体"/>
          <w:color w:val="auto"/>
        </w:rPr>
        <w:t>（</w:t>
      </w:r>
      <w:r>
        <w:rPr>
          <w:rFonts w:hint="eastAsia" w:ascii="Times New Roman" w:eastAsia="宋体"/>
          <w:color w:val="auto"/>
        </w:rPr>
        <w:t>3</w:t>
      </w:r>
      <w:r>
        <w:rPr>
          <w:rFonts w:ascii="Times New Roman" w:eastAsia="宋体"/>
          <w:color w:val="auto"/>
        </w:rPr>
        <w:t>）小结</w:t>
      </w:r>
    </w:p>
    <w:p>
      <w:pPr>
        <w:adjustRightInd w:val="0"/>
        <w:snapToGrid w:val="0"/>
        <w:spacing w:line="360" w:lineRule="auto"/>
        <w:ind w:firstLine="496" w:firstLineChars="200"/>
        <w:rPr>
          <w:rFonts w:ascii="Times New Roman" w:eastAsia="宋体"/>
          <w:color w:val="auto"/>
          <w:kern w:val="2"/>
        </w:rPr>
      </w:pPr>
      <w:r>
        <w:rPr>
          <w:rFonts w:ascii="Times New Roman" w:eastAsia="宋体"/>
          <w:color w:val="auto"/>
          <w:kern w:val="2"/>
        </w:rPr>
        <w:t>项目区设置有废水贮存池，可保证事故状态下废水不外溢，可有效避免废水因地面漫流污染土壤。项目生产及环保设施均采取相应的防渗措施，污水通过垂直入渗影响土壤环境概率较小，且本项目废水中主要污染物为 COD、BOD</w:t>
      </w:r>
      <w:r>
        <w:rPr>
          <w:rFonts w:ascii="Times New Roman" w:eastAsia="宋体"/>
          <w:color w:val="auto"/>
          <w:kern w:val="2"/>
          <w:vertAlign w:val="subscript"/>
        </w:rPr>
        <w:t>5</w:t>
      </w:r>
      <w:r>
        <w:rPr>
          <w:rFonts w:ascii="Times New Roman" w:eastAsia="宋体"/>
          <w:color w:val="auto"/>
          <w:kern w:val="2"/>
        </w:rPr>
        <w:t>、NH</w:t>
      </w:r>
      <w:r>
        <w:rPr>
          <w:rFonts w:ascii="Times New Roman" w:eastAsia="宋体"/>
          <w:color w:val="auto"/>
          <w:kern w:val="2"/>
          <w:vertAlign w:val="subscript"/>
        </w:rPr>
        <w:t>3</w:t>
      </w:r>
      <w:r>
        <w:rPr>
          <w:rFonts w:ascii="Times New Roman" w:eastAsia="宋体"/>
          <w:color w:val="auto"/>
          <w:kern w:val="2"/>
        </w:rPr>
        <w:t>-N、总磷等，对土壤环境影响不大。</w:t>
      </w:r>
    </w:p>
    <w:p>
      <w:pPr>
        <w:spacing w:line="360" w:lineRule="auto"/>
        <w:ind w:firstLine="496" w:firstLineChars="200"/>
        <w:rPr>
          <w:rFonts w:ascii="Times New Roman" w:eastAsia="宋体"/>
          <w:color w:val="auto"/>
          <w:kern w:val="2"/>
        </w:rPr>
      </w:pPr>
      <w:r>
        <w:rPr>
          <w:rFonts w:ascii="Times New Roman" w:eastAsia="宋体"/>
          <w:color w:val="auto"/>
          <w:kern w:val="2"/>
        </w:rPr>
        <w:t>综上所述，项目在采取相应的措施后，对项目区及周边土壤环境影响不大。</w:t>
      </w:r>
    </w:p>
    <w:p>
      <w:pPr>
        <w:pStyle w:val="4"/>
        <w:spacing w:before="0" w:after="0" w:line="360" w:lineRule="auto"/>
        <w:rPr>
          <w:rFonts w:hint="eastAsia" w:ascii="Times New Roman" w:eastAsia="宋体"/>
          <w:b/>
          <w:bCs/>
          <w:color w:val="auto"/>
          <w:sz w:val="24"/>
        </w:rPr>
      </w:pPr>
      <w:bookmarkStart w:id="459" w:name="_Toc15505"/>
      <w:r>
        <w:rPr>
          <w:rFonts w:hint="eastAsia" w:ascii="Times New Roman" w:eastAsia="宋体"/>
          <w:b/>
          <w:bCs/>
          <w:color w:val="auto"/>
          <w:sz w:val="24"/>
        </w:rPr>
        <w:t>5.2.8对人群健康的影响分析</w:t>
      </w:r>
      <w:bookmarkEnd w:id="450"/>
      <w:bookmarkEnd w:id="451"/>
      <w:bookmarkEnd w:id="459"/>
    </w:p>
    <w:p>
      <w:pPr>
        <w:pStyle w:val="4"/>
        <w:spacing w:before="0" w:after="0" w:line="360" w:lineRule="auto"/>
        <w:rPr>
          <w:rFonts w:hint="eastAsia" w:ascii="Times New Roman" w:eastAsia="宋体"/>
          <w:b/>
          <w:bCs/>
          <w:color w:val="auto"/>
          <w:sz w:val="24"/>
        </w:rPr>
      </w:pPr>
      <w:bookmarkStart w:id="460" w:name="_Toc24654"/>
      <w:r>
        <w:rPr>
          <w:rFonts w:hint="eastAsia" w:ascii="Times New Roman" w:eastAsia="宋体"/>
          <w:b/>
          <w:bCs/>
          <w:color w:val="auto"/>
          <w:sz w:val="24"/>
        </w:rPr>
        <w:t>5.2.9环境风险分析</w:t>
      </w:r>
      <w:bookmarkEnd w:id="460"/>
    </w:p>
    <w:p>
      <w:pPr>
        <w:adjustRightInd w:val="0"/>
        <w:snapToGrid w:val="0"/>
        <w:spacing w:line="360" w:lineRule="auto"/>
        <w:ind w:firstLine="496" w:firstLineChars="200"/>
        <w:rPr>
          <w:rFonts w:ascii="Times New Roman" w:eastAsia="宋体"/>
          <w:color w:val="auto"/>
          <w:kern w:val="2"/>
          <w:szCs w:val="24"/>
        </w:rPr>
      </w:pPr>
      <w:r>
        <w:rPr>
          <w:rFonts w:ascii="Times New Roman" w:eastAsia="宋体"/>
          <w:color w:val="auto"/>
          <w:kern w:val="2"/>
          <w:szCs w:val="24"/>
        </w:rPr>
        <w:t>根据《建设项目环境风险评价技术导则》（HJ169-2018）规定，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pPr>
        <w:keepNext/>
        <w:keepLines/>
        <w:spacing w:before="160" w:after="163" w:line="360" w:lineRule="auto"/>
        <w:outlineLvl w:val="3"/>
        <w:rPr>
          <w:rFonts w:ascii="Times New Roman" w:eastAsia="宋体"/>
          <w:b/>
          <w:bCs/>
          <w:color w:val="auto"/>
          <w:kern w:val="2"/>
          <w:szCs w:val="28"/>
        </w:rPr>
      </w:pPr>
      <w:r>
        <w:rPr>
          <w:rFonts w:ascii="Times New Roman" w:eastAsia="宋体"/>
          <w:b/>
          <w:bCs/>
          <w:color w:val="auto"/>
          <w:kern w:val="2"/>
          <w:szCs w:val="28"/>
        </w:rPr>
        <w:t>5.2.</w:t>
      </w:r>
      <w:r>
        <w:rPr>
          <w:rFonts w:hint="eastAsia" w:ascii="Times New Roman" w:eastAsia="宋体"/>
          <w:b/>
          <w:bCs/>
          <w:color w:val="auto"/>
          <w:kern w:val="2"/>
          <w:szCs w:val="28"/>
        </w:rPr>
        <w:t>9</w:t>
      </w:r>
      <w:r>
        <w:rPr>
          <w:rFonts w:ascii="Times New Roman" w:eastAsia="宋体"/>
          <w:b/>
          <w:bCs/>
          <w:color w:val="auto"/>
          <w:kern w:val="2"/>
          <w:szCs w:val="28"/>
        </w:rPr>
        <w:t>.1</w:t>
      </w:r>
      <w:r>
        <w:rPr>
          <w:rFonts w:hint="eastAsia" w:ascii="Times New Roman" w:eastAsia="宋体"/>
          <w:b/>
          <w:bCs/>
          <w:color w:val="auto"/>
          <w:kern w:val="2"/>
          <w:szCs w:val="28"/>
        </w:rPr>
        <w:t>风险调查</w:t>
      </w:r>
    </w:p>
    <w:p>
      <w:pPr>
        <w:spacing w:line="360" w:lineRule="auto"/>
        <w:ind w:firstLine="482"/>
        <w:rPr>
          <w:rFonts w:ascii="Times New Roman" w:eastAsia="宋体"/>
          <w:color w:val="auto"/>
          <w:lang w:val="zh-CN"/>
        </w:rPr>
      </w:pPr>
      <w:r>
        <w:rPr>
          <w:rFonts w:hint="eastAsia" w:ascii="Times New Roman" w:eastAsia="宋体"/>
          <w:color w:val="auto"/>
        </w:rPr>
        <w:t>（1）建设项目风险源调查</w:t>
      </w:r>
    </w:p>
    <w:p>
      <w:pPr>
        <w:spacing w:line="360" w:lineRule="auto"/>
        <w:ind w:firstLine="482"/>
        <w:rPr>
          <w:rFonts w:ascii="Times New Roman" w:eastAsia="宋体"/>
          <w:color w:val="auto"/>
          <w:lang w:val="zh-CN"/>
        </w:rPr>
      </w:pPr>
      <w:r>
        <w:rPr>
          <w:rFonts w:hint="eastAsia" w:ascii="Times New Roman" w:eastAsia="宋体"/>
          <w:color w:val="auto"/>
        </w:rPr>
        <w:t>①</w:t>
      </w:r>
      <w:r>
        <w:rPr>
          <w:rFonts w:hint="eastAsia" w:ascii="Times New Roman" w:eastAsia="宋体"/>
          <w:color w:val="auto"/>
          <w:lang w:val="zh-CN"/>
        </w:rPr>
        <w:t>危险物质调查</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根据《建设项目环境风险评价技术导则》（HJ 169-2018）附录B识别，本项目涉及的环境风险物质为柴油</w:t>
      </w:r>
      <w:r>
        <w:rPr>
          <w:rFonts w:hint="eastAsia" w:ascii="Times New Roman" w:eastAsia="宋体"/>
          <w:color w:val="auto"/>
          <w:kern w:val="2"/>
          <w:szCs w:val="24"/>
          <w:lang w:val="en-US" w:eastAsia="zh-CN"/>
        </w:rPr>
        <w:t>、</w:t>
      </w:r>
      <w:r>
        <w:rPr>
          <w:rFonts w:hint="eastAsia" w:ascii="Times New Roman" w:eastAsia="宋体"/>
          <w:color w:val="auto"/>
          <w:kern w:val="2"/>
          <w:szCs w:val="24"/>
          <w:lang w:eastAsia="zh-CN"/>
        </w:rPr>
        <w:t>医疗废物</w:t>
      </w:r>
      <w:r>
        <w:rPr>
          <w:rFonts w:hint="eastAsia" w:ascii="Times New Roman" w:eastAsia="宋体"/>
          <w:color w:val="auto"/>
          <w:kern w:val="2"/>
          <w:szCs w:val="24"/>
          <w:lang w:val="en-US" w:eastAsia="zh-CN"/>
        </w:rPr>
        <w:t>、消毒液和药剂</w:t>
      </w:r>
      <w:r>
        <w:rPr>
          <w:rFonts w:ascii="Times New Roman" w:eastAsia="宋体"/>
          <w:color w:val="auto"/>
          <w:kern w:val="2"/>
          <w:szCs w:val="24"/>
        </w:rPr>
        <w:t>。</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本项目设有柴油发电机，用于备用电源，采用柴油燃烧发电。柴油主要是烷烃、烯烃、环烷烃等组成的混合物。相对密度0.85，熔点-29.56</w:t>
      </w:r>
      <w:r>
        <w:rPr>
          <w:rFonts w:hint="eastAsia" w:hAnsi="宋体" w:eastAsia="宋体" w:cs="宋体"/>
          <w:color w:val="auto"/>
          <w:kern w:val="2"/>
          <w:szCs w:val="24"/>
        </w:rPr>
        <w:t>℃</w:t>
      </w:r>
      <w:r>
        <w:rPr>
          <w:rFonts w:ascii="Times New Roman" w:eastAsia="宋体"/>
          <w:color w:val="auto"/>
          <w:kern w:val="2"/>
          <w:szCs w:val="24"/>
        </w:rPr>
        <w:t>，沸点180~370</w:t>
      </w:r>
      <w:r>
        <w:rPr>
          <w:rFonts w:hint="eastAsia" w:hAnsi="宋体" w:eastAsia="宋体" w:cs="宋体"/>
          <w:color w:val="auto"/>
          <w:kern w:val="2"/>
          <w:szCs w:val="24"/>
        </w:rPr>
        <w:t>℃</w:t>
      </w:r>
      <w:r>
        <w:rPr>
          <w:rFonts w:ascii="Times New Roman" w:eastAsia="宋体"/>
          <w:color w:val="auto"/>
          <w:kern w:val="2"/>
          <w:szCs w:val="24"/>
        </w:rPr>
        <w:t>，闪点大于65</w:t>
      </w:r>
      <w:r>
        <w:rPr>
          <w:rFonts w:hint="eastAsia" w:hAnsi="宋体" w:eastAsia="宋体" w:cs="宋体"/>
          <w:color w:val="auto"/>
          <w:kern w:val="2"/>
          <w:szCs w:val="24"/>
        </w:rPr>
        <w:t>℃</w:t>
      </w:r>
      <w:r>
        <w:rPr>
          <w:rFonts w:ascii="Times New Roman" w:eastAsia="宋体"/>
          <w:color w:val="auto"/>
          <w:kern w:val="2"/>
          <w:szCs w:val="24"/>
        </w:rPr>
        <w:t>，蒸汽密闭为4，蒸汽压4.0Kpa，具有易燃、易爆等特性。若遇明火、高温或与氧化剂接触，易发生火灾和爆炸的危险。分解和燃烧产物为一氧化碳、二氧化碳和硫化物。</w:t>
      </w:r>
    </w:p>
    <w:p>
      <w:pPr>
        <w:jc w:val="center"/>
        <w:rPr>
          <w:rFonts w:ascii="Times New Roman" w:eastAsia="宋体"/>
          <w:b/>
          <w:color w:val="auto"/>
          <w:sz w:val="21"/>
        </w:rPr>
      </w:pPr>
      <w:r>
        <w:rPr>
          <w:rFonts w:ascii="Times New Roman" w:eastAsia="宋体"/>
          <w:b/>
          <w:color w:val="auto"/>
          <w:sz w:val="21"/>
        </w:rPr>
        <w:t>表5.2-</w:t>
      </w:r>
      <w:r>
        <w:rPr>
          <w:rFonts w:hint="eastAsia" w:ascii="Times New Roman" w:eastAsia="宋体"/>
          <w:b/>
          <w:color w:val="auto"/>
          <w:sz w:val="21"/>
        </w:rPr>
        <w:t>20</w:t>
      </w:r>
      <w:r>
        <w:rPr>
          <w:rFonts w:ascii="Times New Roman" w:eastAsia="宋体"/>
          <w:b/>
          <w:color w:val="auto"/>
          <w:sz w:val="21"/>
          <w:szCs w:val="24"/>
        </w:rPr>
        <w:t>柴油的化学性质及危险特性</w:t>
      </w:r>
    </w:p>
    <w:tbl>
      <w:tblPr>
        <w:tblStyle w:val="47"/>
        <w:tblW w:w="0" w:type="auto"/>
        <w:tblInd w:w="-34"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700"/>
        <w:gridCol w:w="2691"/>
        <w:gridCol w:w="139"/>
        <w:gridCol w:w="428"/>
        <w:gridCol w:w="1582"/>
        <w:gridCol w:w="260"/>
        <w:gridCol w:w="175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8556" w:type="dxa"/>
            <w:gridSpan w:val="7"/>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危险性概述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危险性类别：</w:t>
            </w:r>
          </w:p>
        </w:tc>
        <w:tc>
          <w:tcPr>
            <w:tcW w:w="3260" w:type="dxa"/>
            <w:gridSpan w:val="3"/>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第3.3类高闪点、易燃液体</w:t>
            </w:r>
          </w:p>
        </w:tc>
        <w:tc>
          <w:tcPr>
            <w:tcW w:w="1843"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爆炸危险：</w:t>
            </w:r>
          </w:p>
        </w:tc>
        <w:tc>
          <w:tcPr>
            <w:tcW w:w="1751"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易燃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侵入途径：</w:t>
            </w:r>
          </w:p>
        </w:tc>
        <w:tc>
          <w:tcPr>
            <w:tcW w:w="3260" w:type="dxa"/>
            <w:gridSpan w:val="3"/>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吸入、食入、经皮吸收</w:t>
            </w:r>
          </w:p>
        </w:tc>
        <w:tc>
          <w:tcPr>
            <w:tcW w:w="1843"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有害燃烧产物：</w:t>
            </w:r>
          </w:p>
        </w:tc>
        <w:tc>
          <w:tcPr>
            <w:tcW w:w="1751"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CO、CO</w:t>
            </w:r>
            <w:r>
              <w:rPr>
                <w:rFonts w:ascii="Times New Roman" w:eastAsia="宋体"/>
                <w:color w:val="auto"/>
                <w:kern w:val="2"/>
                <w:sz w:val="21"/>
                <w:szCs w:val="21"/>
                <w:vertAlign w:val="subscript"/>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环境危害：</w:t>
            </w:r>
          </w:p>
        </w:tc>
        <w:tc>
          <w:tcPr>
            <w:tcW w:w="6854" w:type="dxa"/>
            <w:gridSpan w:val="6"/>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该物质对环境有危害，应特别注意对地表水、土壤、大气和饮用水的污染。</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8556" w:type="dxa"/>
            <w:gridSpan w:val="7"/>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理化特性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外观及性状：</w:t>
            </w:r>
          </w:p>
        </w:tc>
        <w:tc>
          <w:tcPr>
            <w:tcW w:w="2693"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稍有粘性的棕色液体</w:t>
            </w:r>
          </w:p>
        </w:tc>
        <w:tc>
          <w:tcPr>
            <w:tcW w:w="2150" w:type="dxa"/>
            <w:gridSpan w:val="3"/>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主要用途：</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用作柴油机的燃料</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闪点（</w:t>
            </w:r>
            <w:r>
              <w:rPr>
                <w:rFonts w:hint="eastAsia" w:hAnsi="宋体" w:eastAsia="宋体" w:cs="宋体"/>
                <w:color w:val="auto"/>
                <w:kern w:val="2"/>
                <w:sz w:val="21"/>
                <w:szCs w:val="21"/>
              </w:rPr>
              <w:t>℃</w:t>
            </w:r>
            <w:r>
              <w:rPr>
                <w:rFonts w:ascii="Times New Roman" w:eastAsia="宋体"/>
                <w:color w:val="auto"/>
                <w:kern w:val="2"/>
                <w:sz w:val="21"/>
                <w:szCs w:val="21"/>
              </w:rPr>
              <w:t>）：</w:t>
            </w:r>
          </w:p>
        </w:tc>
        <w:tc>
          <w:tcPr>
            <w:tcW w:w="2693"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45~55</w:t>
            </w:r>
          </w:p>
        </w:tc>
        <w:tc>
          <w:tcPr>
            <w:tcW w:w="2150" w:type="dxa"/>
            <w:gridSpan w:val="3"/>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相对密度（水=1）</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0.87~0.9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沸点（</w:t>
            </w:r>
            <w:r>
              <w:rPr>
                <w:rFonts w:hint="eastAsia" w:hAnsi="宋体" w:eastAsia="宋体" w:cs="宋体"/>
                <w:color w:val="auto"/>
                <w:kern w:val="2"/>
                <w:sz w:val="21"/>
                <w:szCs w:val="21"/>
              </w:rPr>
              <w:t>℃</w:t>
            </w:r>
            <w:r>
              <w:rPr>
                <w:rFonts w:ascii="Times New Roman" w:eastAsia="宋体"/>
                <w:color w:val="auto"/>
                <w:kern w:val="2"/>
                <w:sz w:val="21"/>
                <w:szCs w:val="21"/>
              </w:rPr>
              <w:t>）：</w:t>
            </w:r>
          </w:p>
        </w:tc>
        <w:tc>
          <w:tcPr>
            <w:tcW w:w="2693"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200~350</w:t>
            </w:r>
          </w:p>
        </w:tc>
        <w:tc>
          <w:tcPr>
            <w:tcW w:w="2150" w:type="dxa"/>
            <w:gridSpan w:val="3"/>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爆炸上限%（V/V）：</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4.5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自然点（</w:t>
            </w:r>
            <w:r>
              <w:rPr>
                <w:rFonts w:hint="eastAsia" w:hAnsi="宋体" w:eastAsia="宋体" w:cs="宋体"/>
                <w:color w:val="auto"/>
                <w:kern w:val="2"/>
                <w:sz w:val="21"/>
                <w:szCs w:val="21"/>
              </w:rPr>
              <w:t>℃</w:t>
            </w:r>
            <w:r>
              <w:rPr>
                <w:rFonts w:ascii="Times New Roman" w:eastAsia="宋体"/>
                <w:color w:val="auto"/>
                <w:kern w:val="2"/>
                <w:sz w:val="21"/>
                <w:szCs w:val="21"/>
              </w:rPr>
              <w:t>）：</w:t>
            </w:r>
          </w:p>
        </w:tc>
        <w:tc>
          <w:tcPr>
            <w:tcW w:w="2693" w:type="dxa"/>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257</w:t>
            </w:r>
          </w:p>
        </w:tc>
        <w:tc>
          <w:tcPr>
            <w:tcW w:w="2150" w:type="dxa"/>
            <w:gridSpan w:val="3"/>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爆炸下限%（V/V）：</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溶解性：</w:t>
            </w:r>
          </w:p>
        </w:tc>
        <w:tc>
          <w:tcPr>
            <w:tcW w:w="6854" w:type="dxa"/>
            <w:gridSpan w:val="6"/>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溶于水，易溶于苯、二硫化碳、醇、易溶于脂肪。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8556" w:type="dxa"/>
            <w:gridSpan w:val="7"/>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稳定性及化学活性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稳定性：</w:t>
            </w:r>
          </w:p>
        </w:tc>
        <w:tc>
          <w:tcPr>
            <w:tcW w:w="2832"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稳定</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避免接触的条件：</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明火、高热</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禁配物：</w:t>
            </w:r>
          </w:p>
        </w:tc>
        <w:tc>
          <w:tcPr>
            <w:tcW w:w="2832"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强氧化剂</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聚合危害：</w:t>
            </w:r>
          </w:p>
        </w:tc>
        <w:tc>
          <w:tcPr>
            <w:tcW w:w="2011" w:type="dxa"/>
            <w:gridSpan w:val="2"/>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不聚合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分解产物：</w:t>
            </w:r>
          </w:p>
        </w:tc>
        <w:tc>
          <w:tcPr>
            <w:tcW w:w="6854" w:type="dxa"/>
            <w:gridSpan w:val="6"/>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CO、CO</w:t>
            </w:r>
            <w:r>
              <w:rPr>
                <w:rFonts w:ascii="Times New Roman" w:eastAsia="宋体"/>
                <w:color w:val="auto"/>
                <w:kern w:val="2"/>
                <w:sz w:val="21"/>
                <w:szCs w:val="21"/>
                <w:vertAlign w:val="subscript"/>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8556" w:type="dxa"/>
            <w:gridSpan w:val="7"/>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毒理学资料</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急性毒性：</w:t>
            </w:r>
          </w:p>
        </w:tc>
        <w:tc>
          <w:tcPr>
            <w:tcW w:w="6854" w:type="dxa"/>
            <w:gridSpan w:val="6"/>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LD50 LC50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急性中毒：</w:t>
            </w:r>
          </w:p>
        </w:tc>
        <w:tc>
          <w:tcPr>
            <w:tcW w:w="6854" w:type="dxa"/>
            <w:gridSpan w:val="6"/>
            <w:tcBorders>
              <w:tl2br w:val="nil"/>
              <w:tr2bl w:val="nil"/>
            </w:tcBorders>
            <w:vAlign w:val="center"/>
          </w:tcPr>
          <w:p>
            <w:pPr>
              <w:spacing w:after="120"/>
              <w:jc w:val="center"/>
              <w:rPr>
                <w:rFonts w:ascii="Times New Roman" w:eastAsia="宋体"/>
                <w:color w:val="auto"/>
                <w:kern w:val="2"/>
                <w:sz w:val="21"/>
                <w:szCs w:val="21"/>
              </w:rPr>
            </w:pPr>
            <w:r>
              <w:rPr>
                <w:rFonts w:ascii="Times New Roman" w:eastAsia="宋体"/>
                <w:color w:val="auto"/>
                <w:kern w:val="2"/>
                <w:sz w:val="21"/>
                <w:szCs w:val="21"/>
              </w:rPr>
              <w:t>皮肤接触柴油可引起接触性皮炎、油性痤疮，吸入可引起吸入性肺炎，能经胎盘进入胎儿血中。</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刺激性：</w:t>
            </w:r>
          </w:p>
        </w:tc>
        <w:tc>
          <w:tcPr>
            <w:tcW w:w="6854" w:type="dxa"/>
            <w:gridSpan w:val="6"/>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具有刺激作用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1702" w:type="dxa"/>
            <w:tcBorders>
              <w:tl2br w:val="nil"/>
              <w:tr2bl w:val="nil"/>
            </w:tcBorders>
          </w:tcPr>
          <w:p>
            <w:pPr>
              <w:jc w:val="center"/>
              <w:rPr>
                <w:rFonts w:ascii="Times New Roman" w:eastAsia="宋体"/>
                <w:color w:val="auto"/>
                <w:kern w:val="2"/>
                <w:sz w:val="21"/>
                <w:szCs w:val="21"/>
              </w:rPr>
            </w:pPr>
            <w:r>
              <w:rPr>
                <w:rFonts w:ascii="Times New Roman" w:eastAsia="宋体"/>
                <w:color w:val="auto"/>
                <w:kern w:val="2"/>
                <w:sz w:val="21"/>
                <w:szCs w:val="21"/>
              </w:rPr>
              <w:t>最高允许浓度：</w:t>
            </w:r>
          </w:p>
        </w:tc>
        <w:tc>
          <w:tcPr>
            <w:tcW w:w="6854" w:type="dxa"/>
            <w:gridSpan w:val="6"/>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目前无标准</w:t>
            </w:r>
          </w:p>
        </w:tc>
      </w:tr>
    </w:tbl>
    <w:p>
      <w:pPr>
        <w:spacing w:line="360" w:lineRule="auto"/>
        <w:ind w:firstLine="482"/>
        <w:rPr>
          <w:rFonts w:ascii="Times New Roman" w:eastAsia="宋体"/>
          <w:color w:val="auto"/>
        </w:rPr>
      </w:pPr>
      <w:r>
        <w:rPr>
          <w:rFonts w:hint="eastAsia" w:ascii="Times New Roman" w:eastAsia="宋体"/>
          <w:color w:val="auto"/>
        </w:rPr>
        <w:t>②环境敏感目标调查</w:t>
      </w:r>
    </w:p>
    <w:p>
      <w:pPr>
        <w:adjustRightInd w:val="0"/>
        <w:snapToGrid w:val="0"/>
        <w:spacing w:line="360" w:lineRule="auto"/>
        <w:ind w:firstLine="496" w:firstLineChars="200"/>
        <w:rPr>
          <w:rFonts w:ascii="Times New Roman" w:eastAsia="宋体"/>
          <w:color w:val="auto"/>
          <w:kern w:val="2"/>
          <w:szCs w:val="24"/>
        </w:rPr>
      </w:pPr>
      <w:r>
        <w:rPr>
          <w:rFonts w:ascii="Times New Roman" w:eastAsia="宋体"/>
          <w:color w:val="auto"/>
          <w:kern w:val="2"/>
          <w:szCs w:val="24"/>
        </w:rPr>
        <w:t>项目周边主要</w:t>
      </w:r>
      <w:r>
        <w:rPr>
          <w:rFonts w:hint="eastAsia" w:ascii="Times New Roman" w:eastAsia="宋体"/>
          <w:color w:val="auto"/>
          <w:kern w:val="2"/>
          <w:szCs w:val="24"/>
        </w:rPr>
        <w:t>环境敏感目标</w:t>
      </w:r>
      <w:r>
        <w:rPr>
          <w:rFonts w:ascii="Times New Roman" w:eastAsia="宋体"/>
          <w:color w:val="auto"/>
          <w:kern w:val="2"/>
          <w:szCs w:val="24"/>
        </w:rPr>
        <w:t>情况详见表5.2-2</w:t>
      </w:r>
      <w:r>
        <w:rPr>
          <w:rFonts w:hint="eastAsia" w:ascii="Times New Roman" w:eastAsia="宋体"/>
          <w:color w:val="auto"/>
          <w:kern w:val="2"/>
          <w:szCs w:val="24"/>
        </w:rPr>
        <w:t>3</w:t>
      </w:r>
      <w:r>
        <w:rPr>
          <w:rFonts w:ascii="Times New Roman" w:eastAsia="宋体"/>
          <w:color w:val="auto"/>
          <w:kern w:val="2"/>
          <w:szCs w:val="24"/>
        </w:rPr>
        <w:t>。</w:t>
      </w:r>
    </w:p>
    <w:p>
      <w:pPr>
        <w:pStyle w:val="437"/>
        <w:adjustRightInd w:val="0"/>
        <w:snapToGrid w:val="0"/>
        <w:spacing w:line="360" w:lineRule="auto"/>
        <w:ind w:firstLine="496" w:firstLineChars="200"/>
        <w:rPr>
          <w:rFonts w:ascii="Times New Roman" w:eastAsia="宋体"/>
          <w:color w:val="auto"/>
          <w:kern w:val="2"/>
          <w:szCs w:val="24"/>
        </w:rPr>
      </w:pPr>
      <w:r>
        <w:rPr>
          <w:rFonts w:ascii="Times New Roman" w:eastAsia="宋体"/>
          <w:color w:val="auto"/>
          <w:kern w:val="2"/>
          <w:szCs w:val="24"/>
        </w:rPr>
        <w:t>根据《建设项目环境风险评价技术导则》（HJ169-2018）相关要求，通过对评价范围内大气环境、地表水环境、地下水环境可能受影响的环境敏感目标进行调查。项目周围主要环境敏感目标分布情况详见下表。</w:t>
      </w:r>
    </w:p>
    <w:p>
      <w:pPr>
        <w:snapToGrid w:val="0"/>
        <w:spacing w:line="360" w:lineRule="auto"/>
        <w:jc w:val="center"/>
        <w:rPr>
          <w:rFonts w:ascii="Times New Roman"/>
          <w:b/>
          <w:bCs/>
          <w:color w:val="auto"/>
          <w:sz w:val="21"/>
          <w:szCs w:val="21"/>
        </w:rPr>
      </w:pPr>
      <w:r>
        <w:rPr>
          <w:rFonts w:ascii="Times New Roman" w:eastAsia="宋体"/>
          <w:b/>
          <w:color w:val="auto"/>
          <w:sz w:val="21"/>
          <w:szCs w:val="21"/>
        </w:rPr>
        <w:t>表5.2-2</w:t>
      </w:r>
      <w:r>
        <w:rPr>
          <w:rFonts w:hint="eastAsia" w:ascii="Times New Roman" w:eastAsia="宋体"/>
          <w:b/>
          <w:color w:val="auto"/>
          <w:sz w:val="21"/>
          <w:szCs w:val="21"/>
        </w:rPr>
        <w:t>3</w:t>
      </w:r>
      <w:r>
        <w:rPr>
          <w:rFonts w:ascii="Times New Roman"/>
          <w:b/>
          <w:bCs/>
          <w:color w:val="auto"/>
          <w:sz w:val="21"/>
          <w:szCs w:val="21"/>
        </w:rPr>
        <w:t>建设项目环境敏感特征表</w:t>
      </w:r>
    </w:p>
    <w:tbl>
      <w:tblPr>
        <w:tblStyle w:val="47"/>
        <w:tblW w:w="528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28" w:type="dxa"/>
          <w:left w:w="0" w:type="dxa"/>
          <w:bottom w:w="28" w:type="dxa"/>
          <w:right w:w="0" w:type="dxa"/>
        </w:tblCellMar>
      </w:tblPr>
      <w:tblGrid>
        <w:gridCol w:w="775"/>
        <w:gridCol w:w="661"/>
        <w:gridCol w:w="1746"/>
        <w:gridCol w:w="1115"/>
        <w:gridCol w:w="157"/>
        <w:gridCol w:w="213"/>
        <w:gridCol w:w="1087"/>
        <w:gridCol w:w="99"/>
        <w:gridCol w:w="374"/>
        <w:gridCol w:w="1092"/>
        <w:gridCol w:w="60"/>
        <w:gridCol w:w="14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Align w:val="center"/>
          </w:tcPr>
          <w:p>
            <w:pPr>
              <w:snapToGrid w:val="0"/>
              <w:jc w:val="center"/>
              <w:rPr>
                <w:rFonts w:hAnsi="宋体" w:eastAsia="宋体" w:cs="宋体"/>
                <w:b/>
                <w:bCs/>
                <w:color w:val="auto"/>
                <w:sz w:val="21"/>
                <w:szCs w:val="21"/>
              </w:rPr>
            </w:pPr>
            <w:r>
              <w:rPr>
                <w:rFonts w:hint="eastAsia" w:hAnsi="宋体" w:eastAsia="宋体" w:cs="宋体"/>
                <w:b/>
                <w:bCs/>
                <w:color w:val="auto"/>
                <w:sz w:val="21"/>
                <w:szCs w:val="21"/>
              </w:rPr>
              <w:t>类别</w:t>
            </w:r>
          </w:p>
        </w:tc>
        <w:tc>
          <w:tcPr>
            <w:tcW w:w="4559" w:type="pct"/>
            <w:gridSpan w:val="11"/>
            <w:vAlign w:val="center"/>
          </w:tcPr>
          <w:p>
            <w:pPr>
              <w:snapToGrid w:val="0"/>
              <w:jc w:val="center"/>
              <w:rPr>
                <w:rFonts w:hAnsi="宋体" w:eastAsia="宋体" w:cs="宋体"/>
                <w:b/>
                <w:bCs/>
                <w:color w:val="auto"/>
                <w:sz w:val="21"/>
                <w:szCs w:val="21"/>
              </w:rPr>
            </w:pPr>
            <w:r>
              <w:rPr>
                <w:rFonts w:hint="eastAsia" w:hAnsi="宋体" w:eastAsia="宋体" w:cs="宋体"/>
                <w:b/>
                <w:bCs/>
                <w:color w:val="auto"/>
                <w:sz w:val="21"/>
                <w:szCs w:val="21"/>
              </w:rPr>
              <w:t>环境敏感特征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restar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环境空气</w:t>
            </w:r>
          </w:p>
        </w:tc>
        <w:tc>
          <w:tcPr>
            <w:tcW w:w="4559" w:type="pct"/>
            <w:gridSpan w:val="11"/>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厂址周边5km范围内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序号</w:t>
            </w:r>
          </w:p>
        </w:tc>
        <w:tc>
          <w:tcPr>
            <w:tcW w:w="991"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敏感目标名称</w:t>
            </w:r>
          </w:p>
        </w:tc>
        <w:tc>
          <w:tcPr>
            <w:tcW w:w="633"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相对方位</w:t>
            </w:r>
          </w:p>
        </w:tc>
        <w:tc>
          <w:tcPr>
            <w:tcW w:w="882" w:type="pct"/>
            <w:gridSpan w:val="4"/>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距离/m</w:t>
            </w:r>
          </w:p>
        </w:tc>
        <w:tc>
          <w:tcPr>
            <w:tcW w:w="831"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属性</w:t>
            </w:r>
          </w:p>
        </w:tc>
        <w:tc>
          <w:tcPr>
            <w:tcW w:w="844"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人口数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袁家屋</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SW</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190-1120</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47户</w:t>
            </w:r>
            <w:r>
              <w:rPr>
                <w:rFonts w:hint="eastAsia" w:ascii="Times New Roman" w:eastAsia="宋体"/>
                <w:color w:val="auto"/>
                <w:sz w:val="21"/>
                <w:szCs w:val="21"/>
                <w:lang w:val="en-US" w:eastAsia="zh-CN"/>
              </w:rPr>
              <w:t>/165人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60"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2</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细蒋家</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E</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520-920</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34户</w:t>
            </w:r>
            <w:r>
              <w:rPr>
                <w:rFonts w:hint="eastAsia" w:ascii="Times New Roman" w:eastAsia="宋体"/>
                <w:color w:val="auto"/>
                <w:kern w:val="2"/>
                <w:sz w:val="21"/>
                <w:szCs w:val="21"/>
                <w:lang w:val="en-US" w:eastAsia="zh-CN"/>
              </w:rPr>
              <w:t>/119人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8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3</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易家细屋</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S</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418-901</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59户</w:t>
            </w:r>
            <w:r>
              <w:rPr>
                <w:rFonts w:hint="eastAsia" w:ascii="Times New Roman" w:eastAsia="宋体"/>
                <w:color w:val="auto"/>
                <w:sz w:val="21"/>
                <w:szCs w:val="21"/>
                <w:lang w:val="en-US" w:eastAsia="zh-CN"/>
              </w:rPr>
              <w:t>/206人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4</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何家里</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W</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650-850</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22户</w:t>
            </w:r>
            <w:r>
              <w:rPr>
                <w:rFonts w:hint="eastAsia" w:ascii="Times New Roman" w:eastAsia="宋体"/>
                <w:color w:val="auto"/>
                <w:sz w:val="21"/>
                <w:szCs w:val="21"/>
                <w:lang w:val="en-US" w:eastAsia="zh-CN"/>
              </w:rPr>
              <w:t>/77人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5</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唐福禄</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SW</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1200-1385</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33户</w:t>
            </w:r>
            <w:r>
              <w:rPr>
                <w:rFonts w:hint="eastAsia" w:ascii="Times New Roman" w:eastAsia="宋体"/>
                <w:color w:val="auto"/>
                <w:kern w:val="2"/>
                <w:sz w:val="21"/>
                <w:szCs w:val="21"/>
                <w:lang w:val="en-US" w:eastAsia="zh-CN"/>
              </w:rPr>
              <w:t>/116人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6</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杨家庄</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SW</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880-1056</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26户</w:t>
            </w:r>
            <w:r>
              <w:rPr>
                <w:rFonts w:hint="eastAsia" w:ascii="Times New Roman" w:eastAsia="宋体"/>
                <w:color w:val="auto"/>
                <w:sz w:val="21"/>
                <w:szCs w:val="21"/>
                <w:lang w:val="en-US" w:eastAsia="zh-CN"/>
              </w:rPr>
              <w:t>/91人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7</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二房里</w:t>
            </w:r>
          </w:p>
        </w:tc>
        <w:tc>
          <w:tcPr>
            <w:tcW w:w="633" w:type="pct"/>
            <w:vAlign w:val="center"/>
          </w:tcPr>
          <w:p>
            <w:pPr>
              <w:adjustRightInd w:val="0"/>
              <w:snapToGrid w:val="0"/>
              <w:jc w:val="center"/>
              <w:rPr>
                <w:rFonts w:hAnsi="宋体" w:eastAsia="宋体" w:cs="宋体"/>
                <w:bCs/>
                <w:color w:val="auto"/>
                <w:sz w:val="21"/>
                <w:szCs w:val="21"/>
              </w:rPr>
            </w:pPr>
            <w:r>
              <w:rPr>
                <w:rFonts w:ascii="Times New Roman" w:eastAsia="宋体"/>
                <w:color w:val="auto"/>
                <w:sz w:val="21"/>
                <w:szCs w:val="21"/>
              </w:rPr>
              <w:t>S</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988-1365</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31户</w:t>
            </w:r>
            <w:r>
              <w:rPr>
                <w:rFonts w:hint="eastAsia" w:ascii="Times New Roman" w:eastAsia="宋体"/>
                <w:color w:val="auto"/>
                <w:sz w:val="21"/>
                <w:szCs w:val="21"/>
                <w:lang w:val="en-US" w:eastAsia="zh-CN"/>
              </w:rPr>
              <w:t>/109人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8</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砂子岭</w:t>
            </w:r>
          </w:p>
        </w:tc>
        <w:tc>
          <w:tcPr>
            <w:tcW w:w="633" w:type="pct"/>
            <w:vAlign w:val="center"/>
          </w:tcPr>
          <w:p>
            <w:pPr>
              <w:adjustRightInd w:val="0"/>
              <w:snapToGrid w:val="0"/>
              <w:jc w:val="center"/>
              <w:rPr>
                <w:rFonts w:hAnsi="宋体" w:eastAsia="宋体" w:cs="宋体"/>
                <w:bCs/>
                <w:color w:val="auto"/>
                <w:sz w:val="21"/>
                <w:szCs w:val="21"/>
              </w:rPr>
            </w:pPr>
            <w:r>
              <w:rPr>
                <w:rFonts w:ascii="Times New Roman" w:eastAsia="宋体"/>
                <w:color w:val="auto"/>
                <w:sz w:val="21"/>
                <w:szCs w:val="21"/>
              </w:rPr>
              <w:t>S</w:t>
            </w:r>
            <w:r>
              <w:rPr>
                <w:rFonts w:hint="eastAsia" w:ascii="Times New Roman" w:eastAsia="宋体"/>
                <w:color w:val="auto"/>
                <w:sz w:val="21"/>
                <w:szCs w:val="21"/>
              </w:rPr>
              <w:t>W</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1264-1700</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71户</w:t>
            </w:r>
            <w:r>
              <w:rPr>
                <w:rFonts w:hint="eastAsia" w:ascii="Times New Roman" w:eastAsia="宋体"/>
                <w:color w:val="auto"/>
                <w:sz w:val="21"/>
                <w:szCs w:val="21"/>
                <w:lang w:val="en-US" w:eastAsia="zh-CN"/>
              </w:rPr>
              <w:t>/248人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9</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吴夏</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E</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1200-1474</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56户</w:t>
            </w:r>
            <w:r>
              <w:rPr>
                <w:rFonts w:hint="eastAsia" w:ascii="Times New Roman" w:eastAsia="宋体"/>
                <w:color w:val="auto"/>
                <w:sz w:val="21"/>
                <w:szCs w:val="21"/>
                <w:lang w:val="en-US" w:eastAsia="zh-CN"/>
              </w:rPr>
              <w:t>/196人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10</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余子椒</w:t>
            </w:r>
          </w:p>
        </w:tc>
        <w:tc>
          <w:tcPr>
            <w:tcW w:w="633" w:type="pct"/>
            <w:vAlign w:val="center"/>
          </w:tcPr>
          <w:p>
            <w:pPr>
              <w:adjustRightInd w:val="0"/>
              <w:snapToGrid w:val="0"/>
              <w:jc w:val="center"/>
              <w:rPr>
                <w:rFonts w:hAnsi="宋体" w:eastAsia="宋体" w:cs="宋体"/>
                <w:bCs/>
                <w:color w:val="auto"/>
                <w:sz w:val="21"/>
                <w:szCs w:val="21"/>
              </w:rPr>
            </w:pPr>
            <w:r>
              <w:rPr>
                <w:rFonts w:ascii="Times New Roman" w:eastAsia="宋体"/>
                <w:color w:val="auto"/>
                <w:sz w:val="21"/>
                <w:szCs w:val="21"/>
              </w:rPr>
              <w:t>SE</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1422-1793</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58户</w:t>
            </w:r>
            <w:r>
              <w:rPr>
                <w:rFonts w:hint="eastAsia" w:ascii="Times New Roman" w:eastAsia="宋体"/>
                <w:color w:val="auto"/>
                <w:sz w:val="21"/>
                <w:szCs w:val="21"/>
                <w:lang w:val="en-US" w:eastAsia="zh-CN"/>
              </w:rPr>
              <w:t>/203人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11</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毛家大屋</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NE</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1020-1596</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61户</w:t>
            </w:r>
            <w:r>
              <w:rPr>
                <w:rFonts w:hint="eastAsia" w:ascii="Times New Roman" w:eastAsia="宋体"/>
                <w:color w:val="auto"/>
                <w:sz w:val="21"/>
                <w:szCs w:val="21"/>
                <w:lang w:val="en-US" w:eastAsia="zh-CN"/>
              </w:rPr>
              <w:t>/213人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12</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陈家老屋</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N</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1111-1547</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53户</w:t>
            </w:r>
            <w:r>
              <w:rPr>
                <w:rFonts w:hint="eastAsia" w:ascii="Times New Roman" w:eastAsia="宋体"/>
                <w:color w:val="auto"/>
                <w:sz w:val="21"/>
                <w:szCs w:val="21"/>
                <w:lang w:val="en-US" w:eastAsia="zh-CN"/>
              </w:rPr>
              <w:t>/186人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13</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毛杨村</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N</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1905-2055</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15户</w:t>
            </w:r>
            <w:r>
              <w:rPr>
                <w:rFonts w:hint="eastAsia" w:ascii="Times New Roman" w:eastAsia="宋体"/>
                <w:color w:val="auto"/>
                <w:sz w:val="21"/>
                <w:szCs w:val="21"/>
                <w:lang w:val="en-US" w:eastAsia="zh-CN"/>
              </w:rPr>
              <w:t>/52人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14</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新华村</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color w:val="auto"/>
                <w:sz w:val="21"/>
                <w:szCs w:val="21"/>
              </w:rPr>
              <w:t>NE</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2018-2200</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30户</w:t>
            </w:r>
            <w:r>
              <w:rPr>
                <w:rFonts w:hint="eastAsia" w:ascii="Times New Roman" w:eastAsia="宋体"/>
                <w:color w:val="auto"/>
                <w:sz w:val="21"/>
                <w:szCs w:val="21"/>
                <w:lang w:val="en-US" w:eastAsia="zh-CN"/>
              </w:rPr>
              <w:t>/105人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15</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孟家庄</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color w:val="auto"/>
                <w:sz w:val="21"/>
                <w:szCs w:val="21"/>
              </w:rPr>
              <w:t>NE</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1667-1887</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24户</w:t>
            </w:r>
            <w:r>
              <w:rPr>
                <w:rFonts w:hint="eastAsia" w:ascii="Times New Roman" w:eastAsia="宋体"/>
                <w:color w:val="auto"/>
                <w:sz w:val="21"/>
                <w:szCs w:val="21"/>
                <w:lang w:val="en-US" w:eastAsia="zh-CN"/>
              </w:rPr>
              <w:t>/84人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16</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方杨陈</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color w:val="auto"/>
                <w:sz w:val="21"/>
                <w:szCs w:val="21"/>
              </w:rPr>
              <w:t>NW</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1357-1658</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65户</w:t>
            </w:r>
            <w:r>
              <w:rPr>
                <w:rFonts w:hint="eastAsia" w:ascii="Times New Roman" w:eastAsia="宋体"/>
                <w:color w:val="auto"/>
                <w:sz w:val="21"/>
                <w:szCs w:val="21"/>
                <w:lang w:val="en-US" w:eastAsia="zh-CN"/>
              </w:rPr>
              <w:t>/228人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17</w:t>
            </w:r>
          </w:p>
        </w:tc>
        <w:tc>
          <w:tcPr>
            <w:tcW w:w="991" w:type="pct"/>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老侯家</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color w:val="auto"/>
                <w:sz w:val="21"/>
                <w:szCs w:val="21"/>
              </w:rPr>
              <w:t>W</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2121-2600</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居民</w:t>
            </w:r>
          </w:p>
        </w:tc>
        <w:tc>
          <w:tcPr>
            <w:tcW w:w="1489" w:type="dxa"/>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kern w:val="2"/>
                <w:sz w:val="21"/>
                <w:szCs w:val="21"/>
              </w:rPr>
              <w:t>38户</w:t>
            </w:r>
            <w:r>
              <w:rPr>
                <w:rFonts w:hint="eastAsia" w:ascii="Times New Roman" w:eastAsia="宋体"/>
                <w:color w:val="auto"/>
                <w:sz w:val="21"/>
                <w:szCs w:val="21"/>
                <w:lang w:val="en-US" w:eastAsia="zh-CN"/>
              </w:rPr>
              <w:t>/133人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18</w:t>
            </w:r>
          </w:p>
        </w:tc>
        <w:tc>
          <w:tcPr>
            <w:tcW w:w="991" w:type="pct"/>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新墙小学</w:t>
            </w:r>
          </w:p>
        </w:tc>
        <w:tc>
          <w:tcPr>
            <w:tcW w:w="633" w:type="pct"/>
            <w:vAlign w:val="center"/>
          </w:tcPr>
          <w:p>
            <w:pPr>
              <w:adjustRightInd w:val="0"/>
              <w:snapToGrid w:val="0"/>
              <w:jc w:val="center"/>
              <w:rPr>
                <w:rFonts w:hAnsi="宋体" w:eastAsia="宋体" w:cs="宋体"/>
                <w:bCs/>
                <w:color w:val="auto"/>
                <w:sz w:val="21"/>
                <w:szCs w:val="21"/>
              </w:rPr>
            </w:pPr>
            <w:r>
              <w:rPr>
                <w:rFonts w:hint="eastAsia" w:ascii="Times New Roman"/>
                <w:color w:val="auto"/>
                <w:sz w:val="21"/>
                <w:szCs w:val="21"/>
              </w:rPr>
              <w:t>NE</w:t>
            </w:r>
          </w:p>
        </w:tc>
        <w:tc>
          <w:tcPr>
            <w:tcW w:w="882" w:type="pct"/>
            <w:gridSpan w:val="4"/>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2330-2506</w:t>
            </w:r>
          </w:p>
        </w:tc>
        <w:tc>
          <w:tcPr>
            <w:tcW w:w="831" w:type="pct"/>
            <w:gridSpan w:val="2"/>
            <w:vAlign w:val="center"/>
          </w:tcPr>
          <w:p>
            <w:pPr>
              <w:adjustRightInd w:val="0"/>
              <w:snapToGrid w:val="0"/>
              <w:jc w:val="center"/>
              <w:rPr>
                <w:rFonts w:hAnsi="宋体" w:eastAsia="宋体" w:cs="宋体"/>
                <w:bCs/>
                <w:color w:val="auto"/>
                <w:sz w:val="21"/>
                <w:szCs w:val="21"/>
              </w:rPr>
            </w:pPr>
            <w:r>
              <w:rPr>
                <w:rFonts w:hint="eastAsia" w:hAnsi="宋体" w:eastAsia="宋体" w:cs="宋体"/>
                <w:bCs/>
                <w:color w:val="auto"/>
                <w:sz w:val="21"/>
                <w:szCs w:val="21"/>
              </w:rPr>
              <w:t>学校</w:t>
            </w:r>
          </w:p>
        </w:tc>
        <w:tc>
          <w:tcPr>
            <w:tcW w:w="844" w:type="pct"/>
            <w:gridSpan w:val="2"/>
            <w:vAlign w:val="center"/>
          </w:tcPr>
          <w:p>
            <w:pPr>
              <w:adjustRightInd w:val="0"/>
              <w:snapToGrid w:val="0"/>
              <w:jc w:val="center"/>
              <w:rPr>
                <w:rFonts w:hAnsi="宋体" w:eastAsia="宋体" w:cs="宋体"/>
                <w:bCs/>
                <w:color w:val="auto"/>
                <w:sz w:val="21"/>
                <w:szCs w:val="21"/>
              </w:rPr>
            </w:pPr>
            <w:r>
              <w:rPr>
                <w:rFonts w:hint="eastAsia" w:ascii="Times New Roman" w:eastAsia="宋体"/>
                <w:color w:val="auto"/>
                <w:sz w:val="21"/>
                <w:szCs w:val="21"/>
              </w:rPr>
              <w:t>约500人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14" w:type="pct"/>
            <w:gridSpan w:val="9"/>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厂址周边500m范围内人口数小计</w:t>
            </w:r>
          </w:p>
        </w:tc>
        <w:tc>
          <w:tcPr>
            <w:tcW w:w="844"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约150人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14" w:type="pct"/>
            <w:gridSpan w:val="9"/>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厂址周边5km范围内人口数小计</w:t>
            </w:r>
          </w:p>
        </w:tc>
        <w:tc>
          <w:tcPr>
            <w:tcW w:w="844"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约30</w:t>
            </w:r>
            <w:r>
              <w:rPr>
                <w:rFonts w:hint="eastAsia" w:hAnsi="宋体" w:eastAsia="宋体" w:cs="宋体"/>
                <w:color w:val="auto"/>
                <w:sz w:val="21"/>
                <w:szCs w:val="21"/>
                <w:lang w:val="en-US" w:eastAsia="zh-CN"/>
              </w:rPr>
              <w:t>31</w:t>
            </w:r>
            <w:r>
              <w:rPr>
                <w:rFonts w:hint="eastAsia" w:hAnsi="宋体" w:eastAsia="宋体" w:cs="宋体"/>
                <w:color w:val="auto"/>
                <w:sz w:val="21"/>
                <w:szCs w:val="21"/>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4559" w:type="pct"/>
            <w:gridSpan w:val="11"/>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管段周边200m范围内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序号</w:t>
            </w:r>
          </w:p>
        </w:tc>
        <w:tc>
          <w:tcPr>
            <w:tcW w:w="991"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敏感目标名称</w:t>
            </w:r>
          </w:p>
        </w:tc>
        <w:tc>
          <w:tcPr>
            <w:tcW w:w="722"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相对方位</w:t>
            </w:r>
          </w:p>
        </w:tc>
        <w:tc>
          <w:tcPr>
            <w:tcW w:w="794" w:type="pct"/>
            <w:gridSpan w:val="3"/>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距离/m</w:t>
            </w:r>
          </w:p>
        </w:tc>
        <w:tc>
          <w:tcPr>
            <w:tcW w:w="831"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属性</w:t>
            </w:r>
          </w:p>
        </w:tc>
        <w:tc>
          <w:tcPr>
            <w:tcW w:w="844"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人口数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p>
        </w:tc>
        <w:tc>
          <w:tcPr>
            <w:tcW w:w="991"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722"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794" w:type="pct"/>
            <w:gridSpan w:val="3"/>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831"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844"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14" w:type="pct"/>
            <w:gridSpan w:val="9"/>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每公里管段人口数（最大）</w:t>
            </w:r>
          </w:p>
        </w:tc>
        <w:tc>
          <w:tcPr>
            <w:tcW w:w="844"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14" w:type="pct"/>
            <w:gridSpan w:val="9"/>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大气环境敏感程度E值</w:t>
            </w:r>
          </w:p>
        </w:tc>
        <w:tc>
          <w:tcPr>
            <w:tcW w:w="844"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E1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restar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地表水</w:t>
            </w:r>
          </w:p>
        </w:tc>
        <w:tc>
          <w:tcPr>
            <w:tcW w:w="4559" w:type="pct"/>
            <w:gridSpan w:val="11"/>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受纳水体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序号</w:t>
            </w:r>
          </w:p>
        </w:tc>
        <w:tc>
          <w:tcPr>
            <w:tcW w:w="991"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受纳水体名称</w:t>
            </w:r>
          </w:p>
        </w:tc>
        <w:tc>
          <w:tcPr>
            <w:tcW w:w="1728" w:type="pct"/>
            <w:gridSpan w:val="6"/>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排放点水域环境功能</w:t>
            </w:r>
          </w:p>
        </w:tc>
        <w:tc>
          <w:tcPr>
            <w:tcW w:w="1463" w:type="pct"/>
            <w:gridSpan w:val="3"/>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24h内流经范围/km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1</w:t>
            </w:r>
          </w:p>
        </w:tc>
        <w:tc>
          <w:tcPr>
            <w:tcW w:w="991" w:type="pct"/>
            <w:vAlign w:val="center"/>
          </w:tcPr>
          <w:p>
            <w:pPr>
              <w:snapToGrid w:val="0"/>
              <w:jc w:val="center"/>
              <w:rPr>
                <w:rFonts w:hAnsi="宋体" w:eastAsia="宋体" w:cs="宋体"/>
                <w:color w:val="auto"/>
                <w:sz w:val="21"/>
                <w:szCs w:val="21"/>
              </w:rPr>
            </w:pPr>
            <w:r>
              <w:rPr>
                <w:rFonts w:hint="eastAsia" w:ascii="Times New Roman" w:eastAsia="宋体"/>
                <w:color w:val="auto"/>
                <w:sz w:val="21"/>
                <w:szCs w:val="21"/>
              </w:rPr>
              <w:t>/</w:t>
            </w:r>
          </w:p>
        </w:tc>
        <w:tc>
          <w:tcPr>
            <w:tcW w:w="1728" w:type="pct"/>
            <w:gridSpan w:val="6"/>
            <w:vAlign w:val="center"/>
          </w:tcPr>
          <w:p>
            <w:pPr>
              <w:snapToGrid w:val="0"/>
              <w:jc w:val="center"/>
              <w:rPr>
                <w:rFonts w:hAnsi="宋体" w:eastAsia="宋体" w:cs="宋体"/>
                <w:color w:val="auto"/>
                <w:sz w:val="21"/>
                <w:szCs w:val="21"/>
              </w:rPr>
            </w:pPr>
            <w:r>
              <w:rPr>
                <w:rFonts w:hint="eastAsia" w:ascii="Times New Roman" w:eastAsia="宋体"/>
                <w:color w:val="auto"/>
                <w:sz w:val="21"/>
                <w:szCs w:val="21"/>
              </w:rPr>
              <w:t>/</w:t>
            </w:r>
          </w:p>
        </w:tc>
        <w:tc>
          <w:tcPr>
            <w:tcW w:w="1463" w:type="pct"/>
            <w:gridSpan w:val="3"/>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4559" w:type="pct"/>
            <w:gridSpan w:val="11"/>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内陆水体排放点下游10km范围内敏感目标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144"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序号</w:t>
            </w:r>
          </w:p>
        </w:tc>
        <w:tc>
          <w:tcPr>
            <w:tcW w:w="991" w:type="pct"/>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敏感目标名称</w:t>
            </w:r>
          </w:p>
        </w:tc>
        <w:tc>
          <w:tcPr>
            <w:tcW w:w="843" w:type="pct"/>
            <w:gridSpan w:val="3"/>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环境敏感特征</w:t>
            </w:r>
          </w:p>
        </w:tc>
        <w:tc>
          <w:tcPr>
            <w:tcW w:w="885" w:type="pct"/>
            <w:gridSpan w:val="3"/>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水质目标</w:t>
            </w:r>
          </w:p>
        </w:tc>
        <w:tc>
          <w:tcPr>
            <w:tcW w:w="1463" w:type="pct"/>
            <w:gridSpan w:val="3"/>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与排放点距离/m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1</w:t>
            </w:r>
          </w:p>
        </w:tc>
        <w:tc>
          <w:tcPr>
            <w:tcW w:w="991" w:type="pct"/>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w:t>
            </w:r>
          </w:p>
        </w:tc>
        <w:tc>
          <w:tcPr>
            <w:tcW w:w="843" w:type="pct"/>
            <w:gridSpan w:val="3"/>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w:t>
            </w:r>
          </w:p>
        </w:tc>
        <w:tc>
          <w:tcPr>
            <w:tcW w:w="885" w:type="pct"/>
            <w:gridSpan w:val="3"/>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w:t>
            </w:r>
          </w:p>
        </w:tc>
        <w:tc>
          <w:tcPr>
            <w:tcW w:w="1463" w:type="pct"/>
            <w:gridSpan w:val="3"/>
            <w:vAlign w:val="center"/>
          </w:tcPr>
          <w:p>
            <w:pPr>
              <w:snapToGrid w:val="0"/>
              <w:jc w:val="center"/>
              <w:rPr>
                <w:rFonts w:hAnsi="宋体" w:eastAsia="宋体" w:cs="宋体"/>
                <w:bCs/>
                <w:color w:val="auto"/>
                <w:sz w:val="21"/>
                <w:szCs w:val="21"/>
              </w:rPr>
            </w:pPr>
            <w:r>
              <w:rPr>
                <w:rFonts w:hint="eastAsia" w:hAnsi="宋体" w:eastAsia="宋体" w:cs="宋体"/>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48" w:type="pct"/>
            <w:gridSpan w:val="10"/>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地表水环境敏感程度E值</w:t>
            </w:r>
          </w:p>
        </w:tc>
        <w:tc>
          <w:tcPr>
            <w:tcW w:w="810"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E1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restar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地下水</w:t>
            </w:r>
          </w:p>
        </w:tc>
        <w:tc>
          <w:tcPr>
            <w:tcW w:w="375"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序号</w:t>
            </w:r>
          </w:p>
        </w:tc>
        <w:tc>
          <w:tcPr>
            <w:tcW w:w="991"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环境敏感区名称</w:t>
            </w:r>
          </w:p>
        </w:tc>
        <w:tc>
          <w:tcPr>
            <w:tcW w:w="722"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环境敏感特征</w:t>
            </w:r>
          </w:p>
        </w:tc>
        <w:tc>
          <w:tcPr>
            <w:tcW w:w="738"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水质目标</w:t>
            </w:r>
          </w:p>
        </w:tc>
        <w:tc>
          <w:tcPr>
            <w:tcW w:w="920" w:type="pct"/>
            <w:gridSpan w:val="4"/>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包气带防污性能</w:t>
            </w:r>
          </w:p>
        </w:tc>
        <w:tc>
          <w:tcPr>
            <w:tcW w:w="810"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与下游厂界距离/m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23" w:hRule="atLeast"/>
          <w:jc w:val="center"/>
        </w:trPr>
        <w:tc>
          <w:tcPr>
            <w:tcW w:w="440" w:type="pct"/>
            <w:vMerge w:val="continue"/>
            <w:vAlign w:val="center"/>
          </w:tcPr>
          <w:p>
            <w:pPr>
              <w:snapToGrid w:val="0"/>
              <w:rPr>
                <w:rFonts w:hAnsi="宋体" w:eastAsia="宋体" w:cs="宋体"/>
                <w:color w:val="auto"/>
                <w:sz w:val="21"/>
                <w:szCs w:val="21"/>
              </w:rPr>
            </w:pPr>
          </w:p>
        </w:tc>
        <w:tc>
          <w:tcPr>
            <w:tcW w:w="375" w:type="pct"/>
            <w:vAlign w:val="center"/>
          </w:tcPr>
          <w:p>
            <w:pPr>
              <w:snapToGrid w:val="0"/>
              <w:jc w:val="center"/>
              <w:rPr>
                <w:rFonts w:hAnsi="宋体" w:eastAsia="宋体" w:cs="宋体"/>
                <w:color w:val="auto"/>
                <w:sz w:val="21"/>
                <w:szCs w:val="21"/>
              </w:rPr>
            </w:pPr>
          </w:p>
        </w:tc>
        <w:tc>
          <w:tcPr>
            <w:tcW w:w="991"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722"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738" w:type="pct"/>
            <w:gridSpan w:val="2"/>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920" w:type="pct"/>
            <w:gridSpan w:val="4"/>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c>
          <w:tcPr>
            <w:tcW w:w="810"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0" w:type="dxa"/>
            <w:bottom w:w="28" w:type="dxa"/>
            <w:right w:w="0" w:type="dxa"/>
          </w:tblCellMar>
        </w:tblPrEx>
        <w:trPr>
          <w:trHeight w:val="90" w:hRule="atLeast"/>
          <w:jc w:val="center"/>
        </w:trPr>
        <w:tc>
          <w:tcPr>
            <w:tcW w:w="440" w:type="pct"/>
            <w:vMerge w:val="continue"/>
            <w:vAlign w:val="center"/>
          </w:tcPr>
          <w:p>
            <w:pPr>
              <w:snapToGrid w:val="0"/>
              <w:rPr>
                <w:rFonts w:hAnsi="宋体" w:eastAsia="宋体" w:cs="宋体"/>
                <w:color w:val="auto"/>
                <w:sz w:val="21"/>
                <w:szCs w:val="21"/>
              </w:rPr>
            </w:pPr>
          </w:p>
        </w:tc>
        <w:tc>
          <w:tcPr>
            <w:tcW w:w="3748" w:type="pct"/>
            <w:gridSpan w:val="10"/>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地下水环境敏感程度E值</w:t>
            </w:r>
          </w:p>
        </w:tc>
        <w:tc>
          <w:tcPr>
            <w:tcW w:w="810" w:type="pct"/>
            <w:vAlign w:val="center"/>
          </w:tcPr>
          <w:p>
            <w:pPr>
              <w:snapToGrid w:val="0"/>
              <w:jc w:val="center"/>
              <w:rPr>
                <w:rFonts w:hAnsi="宋体" w:eastAsia="宋体" w:cs="宋体"/>
                <w:color w:val="auto"/>
                <w:sz w:val="21"/>
                <w:szCs w:val="21"/>
              </w:rPr>
            </w:pPr>
            <w:r>
              <w:rPr>
                <w:rFonts w:hint="eastAsia" w:hAnsi="宋体" w:eastAsia="宋体" w:cs="宋体"/>
                <w:color w:val="auto"/>
                <w:sz w:val="21"/>
                <w:szCs w:val="21"/>
              </w:rPr>
              <w:t>E2</w:t>
            </w:r>
          </w:p>
        </w:tc>
      </w:tr>
    </w:tbl>
    <w:p>
      <w:pPr>
        <w:spacing w:line="360" w:lineRule="auto"/>
        <w:ind w:firstLine="482"/>
        <w:rPr>
          <w:rFonts w:ascii="Times New Roman" w:eastAsia="宋体"/>
          <w:color w:val="auto"/>
        </w:rPr>
      </w:pPr>
      <w:bookmarkStart w:id="461" w:name="_Toc5519"/>
      <w:bookmarkStart w:id="462" w:name="_Toc18894"/>
      <w:bookmarkStart w:id="463" w:name="_Toc20281"/>
      <w:r>
        <w:rPr>
          <w:rFonts w:hint="eastAsia" w:ascii="Times New Roman" w:eastAsia="宋体"/>
          <w:color w:val="auto"/>
        </w:rPr>
        <w:t>（2）环境风险潜势初判</w:t>
      </w:r>
      <w:bookmarkEnd w:id="461"/>
      <w:bookmarkEnd w:id="462"/>
      <w:bookmarkEnd w:id="463"/>
    </w:p>
    <w:p>
      <w:pPr>
        <w:spacing w:line="360" w:lineRule="auto"/>
        <w:ind w:firstLine="482"/>
        <w:rPr>
          <w:rFonts w:ascii="Times New Roman" w:eastAsia="宋体"/>
          <w:color w:val="auto"/>
        </w:rPr>
      </w:pPr>
      <w:bookmarkStart w:id="464" w:name="_Toc15920"/>
      <w:r>
        <w:rPr>
          <w:rFonts w:hint="eastAsia" w:ascii="Times New Roman" w:eastAsia="宋体"/>
          <w:color w:val="auto"/>
        </w:rPr>
        <w:t>1、P的分级确定</w:t>
      </w:r>
      <w:bookmarkEnd w:id="464"/>
    </w:p>
    <w:p>
      <w:pPr>
        <w:spacing w:line="360" w:lineRule="auto"/>
        <w:ind w:firstLine="482"/>
        <w:rPr>
          <w:rFonts w:ascii="Times New Roman" w:eastAsia="宋体"/>
          <w:color w:val="auto"/>
        </w:rPr>
      </w:pPr>
      <w:bookmarkStart w:id="465" w:name="_Toc10586"/>
      <w:r>
        <w:rPr>
          <w:rFonts w:hint="eastAsia" w:ascii="Times New Roman" w:eastAsia="宋体"/>
          <w:color w:val="auto"/>
        </w:rPr>
        <w:t>①危险物质数量与临界量比值Q</w:t>
      </w:r>
      <w:bookmarkEnd w:id="465"/>
    </w:p>
    <w:p>
      <w:pPr>
        <w:adjustRightInd w:val="0"/>
        <w:snapToGrid w:val="0"/>
        <w:spacing w:line="360" w:lineRule="auto"/>
        <w:ind w:firstLine="496" w:firstLineChars="200"/>
        <w:rPr>
          <w:rFonts w:ascii="Times New Roman" w:eastAsia="宋体"/>
          <w:color w:val="auto"/>
          <w:kern w:val="2"/>
          <w:szCs w:val="24"/>
        </w:rPr>
      </w:pPr>
      <w:r>
        <w:rPr>
          <w:rFonts w:hint="eastAsia" w:ascii="Times New Roman" w:eastAsia="宋体"/>
          <w:color w:val="auto"/>
          <w:kern w:val="2"/>
          <w:szCs w:val="24"/>
        </w:rPr>
        <w:t>计算所涉及的每种危险物质厂界内最大存放量与《建设项目环境风险评价技术导则》(HJ169-2018)附录B中对应临界量的比值Q。判定公式如下：</w:t>
      </w:r>
    </w:p>
    <w:p>
      <w:pPr>
        <w:adjustRightInd w:val="0"/>
        <w:snapToGrid w:val="0"/>
        <w:spacing w:line="360" w:lineRule="auto"/>
        <w:ind w:firstLine="496" w:firstLineChars="200"/>
        <w:rPr>
          <w:rFonts w:ascii="Times New Roman" w:eastAsia="宋体"/>
          <w:color w:val="auto"/>
          <w:kern w:val="2"/>
          <w:szCs w:val="24"/>
        </w:rPr>
      </w:pPr>
      <w:r>
        <w:rPr>
          <w:rFonts w:hint="eastAsia" w:ascii="Times New Roman" w:eastAsia="宋体"/>
          <w:color w:val="auto"/>
          <w:kern w:val="2"/>
          <w:szCs w:val="24"/>
        </w:rPr>
        <w:t>当只涉及一种危险物质时，计算该物质的总量与其临界量比值，即为Q；</w:t>
      </w:r>
    </w:p>
    <w:p>
      <w:pPr>
        <w:adjustRightInd w:val="0"/>
        <w:snapToGrid w:val="0"/>
        <w:spacing w:line="360" w:lineRule="auto"/>
        <w:ind w:firstLine="496" w:firstLineChars="200"/>
        <w:rPr>
          <w:rFonts w:ascii="Times New Roman" w:eastAsia="宋体"/>
          <w:color w:val="auto"/>
          <w:kern w:val="2"/>
          <w:szCs w:val="24"/>
        </w:rPr>
      </w:pPr>
      <w:r>
        <w:rPr>
          <w:rFonts w:hint="eastAsia" w:ascii="Times New Roman" w:eastAsia="宋体"/>
          <w:color w:val="auto"/>
          <w:kern w:val="2"/>
          <w:szCs w:val="24"/>
        </w:rPr>
        <w:t>对于多种(n种)物质同时存放或使用的场所，利用下列公式计算：</w:t>
      </w:r>
    </w:p>
    <w:p>
      <w:pPr>
        <w:adjustRightInd w:val="0"/>
        <w:snapToGrid w:val="0"/>
        <w:spacing w:line="360" w:lineRule="auto"/>
        <w:ind w:firstLine="496" w:firstLineChars="200"/>
        <w:jc w:val="center"/>
        <w:rPr>
          <w:rFonts w:ascii="Times New Roman"/>
          <w:color w:val="auto"/>
        </w:rPr>
      </w:pPr>
      <w:r>
        <w:rPr>
          <w:rFonts w:ascii="Times New Roman"/>
          <w:color w:val="auto"/>
          <w:position w:val="-14"/>
        </w:rPr>
        <w:object>
          <v:shape id="_x0000_i1026" o:spt="75" type="#_x0000_t75" style="height:21.5pt;width:72pt;" o:ole="t" filled="f" o:preferrelative="t" stroked="f" coordsize="21600,21600">
            <v:path/>
            <v:fill on="f" focussize="0,0"/>
            <v:stroke on="f" joinstyle="miter"/>
            <v:imagedata r:id="rId41" o:title=""/>
            <o:lock v:ext="edit" aspectratio="t"/>
            <w10:wrap type="none"/>
            <w10:anchorlock/>
          </v:shape>
          <o:OLEObject Type="Embed" ProgID="Equation.KSEE3" ShapeID="_x0000_i1026" DrawAspect="Content" ObjectID="_1468075726" r:id="rId40">
            <o:LockedField>false</o:LockedField>
          </o:OLEObject>
        </w:object>
      </w:r>
    </w:p>
    <w:p>
      <w:pPr>
        <w:adjustRightInd w:val="0"/>
        <w:snapToGrid w:val="0"/>
        <w:spacing w:line="360" w:lineRule="auto"/>
        <w:ind w:firstLine="496" w:firstLineChars="200"/>
        <w:rPr>
          <w:rFonts w:ascii="Times New Roman" w:eastAsia="宋体"/>
          <w:color w:val="auto"/>
          <w:kern w:val="2"/>
          <w:szCs w:val="24"/>
        </w:rPr>
      </w:pPr>
      <w:r>
        <w:rPr>
          <w:rFonts w:hint="eastAsia" w:ascii="Times New Roman" w:eastAsia="宋体"/>
          <w:color w:val="auto"/>
          <w:kern w:val="2"/>
          <w:szCs w:val="24"/>
        </w:rPr>
        <w:t>式中: qi—i种物质的实际储存量；</w:t>
      </w:r>
    </w:p>
    <w:p>
      <w:pPr>
        <w:spacing w:line="360" w:lineRule="auto"/>
        <w:ind w:firstLine="482"/>
        <w:rPr>
          <w:rFonts w:ascii="Times New Roman" w:eastAsia="宋体"/>
          <w:color w:val="auto"/>
        </w:rPr>
      </w:pPr>
      <w:r>
        <w:rPr>
          <w:rFonts w:hint="eastAsia" w:ascii="Times New Roman" w:eastAsia="宋体"/>
          <w:color w:val="auto"/>
        </w:rPr>
        <w:t>Qi—i危险物质对应的生产场所或储存区的临界量：i=l~n</w:t>
      </w:r>
    </w:p>
    <w:p>
      <w:pPr>
        <w:adjustRightInd w:val="0"/>
        <w:snapToGrid w:val="0"/>
        <w:spacing w:line="360" w:lineRule="auto"/>
        <w:ind w:firstLine="496" w:firstLineChars="200"/>
        <w:rPr>
          <w:rFonts w:ascii="Times New Roman" w:eastAsia="宋体"/>
          <w:color w:val="auto"/>
          <w:kern w:val="2"/>
          <w:szCs w:val="24"/>
        </w:rPr>
      </w:pPr>
      <w:r>
        <w:rPr>
          <w:rFonts w:hint="eastAsia" w:ascii="Times New Roman" w:eastAsia="宋体"/>
          <w:color w:val="auto"/>
          <w:kern w:val="2"/>
          <w:szCs w:val="24"/>
        </w:rPr>
        <w:t>当Q&lt;1，该项目环境风险潜势为1。</w:t>
      </w:r>
    </w:p>
    <w:p>
      <w:pPr>
        <w:adjustRightInd w:val="0"/>
        <w:snapToGrid w:val="0"/>
        <w:spacing w:line="360" w:lineRule="auto"/>
        <w:ind w:firstLine="496" w:firstLineChars="200"/>
        <w:rPr>
          <w:rFonts w:ascii="Times New Roman" w:eastAsia="宋体"/>
          <w:color w:val="auto"/>
          <w:kern w:val="2"/>
          <w:szCs w:val="24"/>
        </w:rPr>
      </w:pPr>
      <w:r>
        <w:rPr>
          <w:rFonts w:hint="eastAsia" w:ascii="Times New Roman" w:eastAsia="宋体"/>
          <w:color w:val="auto"/>
          <w:kern w:val="2"/>
          <w:szCs w:val="24"/>
        </w:rPr>
        <w:t>当Q≥1时，将Q值划分为： (1) 1≤Q&lt;10； (2) 10≤Q&lt;100； (3) Q≥ 100；</w:t>
      </w:r>
    </w:p>
    <w:p>
      <w:pPr>
        <w:adjustRightInd w:val="0"/>
        <w:snapToGrid w:val="0"/>
        <w:spacing w:line="360" w:lineRule="auto"/>
        <w:ind w:firstLine="496" w:firstLineChars="200"/>
        <w:rPr>
          <w:rFonts w:ascii="Times New Roman" w:eastAsia="宋体"/>
          <w:color w:val="auto"/>
          <w:kern w:val="2"/>
          <w:szCs w:val="24"/>
        </w:rPr>
      </w:pPr>
      <w:r>
        <w:rPr>
          <w:rFonts w:hint="eastAsia" w:ascii="Times New Roman" w:eastAsia="宋体"/>
          <w:color w:val="auto"/>
          <w:kern w:val="2"/>
          <w:szCs w:val="24"/>
        </w:rPr>
        <w:t>根据《建设项目环境风险评价技术导则》（HJ169-2018）附录B，识别的风险物质见表5.3-3。</w:t>
      </w:r>
    </w:p>
    <w:p>
      <w:pPr>
        <w:snapToGrid w:val="0"/>
        <w:spacing w:line="360" w:lineRule="auto"/>
        <w:jc w:val="center"/>
        <w:rPr>
          <w:rFonts w:ascii="Times New Roman" w:eastAsia="宋体"/>
          <w:b/>
          <w:color w:val="auto"/>
          <w:sz w:val="21"/>
          <w:szCs w:val="21"/>
        </w:rPr>
      </w:pPr>
      <w:r>
        <w:rPr>
          <w:rFonts w:ascii="Times New Roman" w:eastAsia="宋体"/>
          <w:b/>
          <w:color w:val="auto"/>
          <w:sz w:val="21"/>
          <w:szCs w:val="21"/>
        </w:rPr>
        <w:t>表5.2-2</w:t>
      </w:r>
      <w:r>
        <w:rPr>
          <w:rFonts w:hint="eastAsia" w:ascii="Times New Roman" w:eastAsia="宋体"/>
          <w:b/>
          <w:color w:val="auto"/>
          <w:sz w:val="21"/>
          <w:szCs w:val="21"/>
        </w:rPr>
        <w:t>4</w:t>
      </w:r>
      <w:r>
        <w:rPr>
          <w:rFonts w:ascii="Times New Roman" w:eastAsia="宋体"/>
          <w:b/>
          <w:color w:val="auto"/>
          <w:sz w:val="21"/>
          <w:szCs w:val="21"/>
        </w:rPr>
        <w:t>项目危险物质与临界量比值Q计算结果</w:t>
      </w:r>
    </w:p>
    <w:tbl>
      <w:tblPr>
        <w:tblStyle w:val="47"/>
        <w:tblW w:w="4990" w:type="pct"/>
        <w:tblInd w:w="0" w:type="dxa"/>
        <w:tblLayout w:type="autofit"/>
        <w:tblCellMar>
          <w:top w:w="0" w:type="dxa"/>
          <w:left w:w="108" w:type="dxa"/>
          <w:bottom w:w="0" w:type="dxa"/>
          <w:right w:w="108" w:type="dxa"/>
        </w:tblCellMar>
      </w:tblPr>
      <w:tblGrid>
        <w:gridCol w:w="1697"/>
        <w:gridCol w:w="1700"/>
        <w:gridCol w:w="1702"/>
        <w:gridCol w:w="1700"/>
        <w:gridCol w:w="1700"/>
      </w:tblGrid>
      <w:tr>
        <w:tblPrEx>
          <w:tblCellMar>
            <w:top w:w="0" w:type="dxa"/>
            <w:left w:w="108" w:type="dxa"/>
            <w:bottom w:w="0" w:type="dxa"/>
            <w:right w:w="108" w:type="dxa"/>
          </w:tblCellMar>
        </w:tblPrEx>
        <w:trPr>
          <w:trHeight w:val="90" w:hRule="atLeast"/>
        </w:trPr>
        <w:tc>
          <w:tcPr>
            <w:tcW w:w="2999" w:type="pct"/>
            <w:gridSpan w:val="3"/>
            <w:tcBorders>
              <w:top w:val="single" w:color="000000" w:sz="12" w:space="0"/>
              <w:left w:val="single" w:color="000000" w:sz="12" w:space="0"/>
              <w:bottom w:val="single" w:color="000000" w:sz="8" w:space="0"/>
              <w:right w:val="single" w:color="000000" w:sz="8" w:space="0"/>
            </w:tcBorders>
            <w:shd w:val="clear" w:color="auto" w:fill="auto"/>
            <w:vAlign w:val="center"/>
          </w:tcPr>
          <w:p>
            <w:pPr>
              <w:widowControl/>
              <w:jc w:val="center"/>
              <w:textAlignment w:val="center"/>
              <w:rPr>
                <w:rFonts w:hAnsi="宋体" w:eastAsia="宋体" w:cs="宋体"/>
                <w:color w:val="auto"/>
                <w:sz w:val="21"/>
                <w:szCs w:val="21"/>
              </w:rPr>
            </w:pPr>
            <w:r>
              <w:rPr>
                <w:rFonts w:hint="eastAsia" w:hAnsi="宋体" w:eastAsia="宋体" w:cs="宋体"/>
                <w:color w:val="auto"/>
                <w:sz w:val="21"/>
                <w:szCs w:val="21"/>
              </w:rPr>
              <w:t>危险源辨识</w:t>
            </w:r>
          </w:p>
        </w:tc>
        <w:tc>
          <w:tcPr>
            <w:tcW w:w="1000" w:type="pct"/>
            <w:vMerge w:val="restart"/>
            <w:tcBorders>
              <w:top w:val="single" w:color="000000" w:sz="12"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Q</w:t>
            </w:r>
            <w:r>
              <w:rPr>
                <w:rFonts w:hint="eastAsia" w:hAnsi="宋体" w:eastAsia="宋体" w:cs="宋体"/>
                <w:color w:val="auto"/>
                <w:sz w:val="21"/>
                <w:szCs w:val="21"/>
              </w:rPr>
              <w:t>值</w:t>
            </w:r>
          </w:p>
        </w:tc>
        <w:tc>
          <w:tcPr>
            <w:tcW w:w="1000" w:type="pct"/>
            <w:vMerge w:val="restart"/>
            <w:tcBorders>
              <w:top w:val="single" w:color="000000" w:sz="12" w:space="0"/>
              <w:left w:val="single" w:color="000000" w:sz="8" w:space="0"/>
              <w:bottom w:val="single" w:color="000000" w:sz="8" w:space="0"/>
              <w:right w:val="single" w:color="000000" w:sz="12" w:space="0"/>
            </w:tcBorders>
            <w:shd w:val="clear" w:color="auto" w:fill="auto"/>
            <w:vAlign w:val="center"/>
          </w:tcPr>
          <w:p>
            <w:pPr>
              <w:widowControl/>
              <w:jc w:val="center"/>
              <w:textAlignment w:val="center"/>
              <w:rPr>
                <w:rFonts w:hAnsi="宋体" w:eastAsia="宋体" w:cs="宋体"/>
                <w:color w:val="auto"/>
                <w:sz w:val="21"/>
                <w:szCs w:val="21"/>
              </w:rPr>
            </w:pPr>
            <w:r>
              <w:rPr>
                <w:rFonts w:hint="eastAsia" w:hAnsi="宋体" w:eastAsia="宋体" w:cs="宋体"/>
                <w:color w:val="auto"/>
                <w:sz w:val="21"/>
                <w:szCs w:val="21"/>
              </w:rPr>
              <w:t>判定结果</w:t>
            </w:r>
          </w:p>
        </w:tc>
      </w:tr>
      <w:tr>
        <w:tblPrEx>
          <w:tblCellMar>
            <w:top w:w="0" w:type="dxa"/>
            <w:left w:w="108" w:type="dxa"/>
            <w:bottom w:w="0" w:type="dxa"/>
            <w:right w:w="108" w:type="dxa"/>
          </w:tblCellMar>
        </w:tblPrEx>
        <w:trPr>
          <w:trHeight w:val="90" w:hRule="atLeast"/>
        </w:trPr>
        <w:tc>
          <w:tcPr>
            <w:tcW w:w="998" w:type="pct"/>
            <w:tcBorders>
              <w:top w:val="single" w:color="000000" w:sz="8" w:space="0"/>
              <w:left w:val="single" w:color="000000" w:sz="12" w:space="0"/>
              <w:bottom w:val="single" w:color="000000" w:sz="8" w:space="0"/>
              <w:right w:val="single" w:color="000000" w:sz="8" w:space="0"/>
            </w:tcBorders>
            <w:shd w:val="clear" w:color="auto" w:fill="auto"/>
            <w:vAlign w:val="center"/>
          </w:tcPr>
          <w:p>
            <w:pPr>
              <w:widowControl/>
              <w:jc w:val="center"/>
              <w:textAlignment w:val="center"/>
              <w:rPr>
                <w:rFonts w:hAnsi="宋体" w:eastAsia="宋体" w:cs="宋体"/>
                <w:color w:val="auto"/>
                <w:sz w:val="21"/>
                <w:szCs w:val="21"/>
              </w:rPr>
            </w:pPr>
            <w:r>
              <w:rPr>
                <w:rFonts w:hint="eastAsia" w:hAnsi="宋体" w:eastAsia="宋体" w:cs="宋体"/>
                <w:color w:val="auto"/>
                <w:sz w:val="21"/>
                <w:szCs w:val="21"/>
              </w:rPr>
              <w:t>危险化学品名称</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Ansi="宋体" w:eastAsia="宋体" w:cs="宋体"/>
                <w:color w:val="auto"/>
                <w:sz w:val="21"/>
                <w:szCs w:val="21"/>
              </w:rPr>
            </w:pPr>
            <w:r>
              <w:rPr>
                <w:rFonts w:hint="eastAsia" w:hAnsi="宋体" w:eastAsia="宋体" w:cs="宋体"/>
                <w:color w:val="auto"/>
                <w:sz w:val="21"/>
                <w:szCs w:val="21"/>
              </w:rPr>
              <w:t>临界量（</w:t>
            </w:r>
            <w:r>
              <w:rPr>
                <w:rFonts w:ascii="Times New Roman" w:eastAsia="宋体"/>
                <w:color w:val="auto"/>
                <w:sz w:val="21"/>
                <w:szCs w:val="21"/>
              </w:rPr>
              <w:t>t</w:t>
            </w:r>
            <w:r>
              <w:rPr>
                <w:rFonts w:hint="eastAsia" w:hAnsi="宋体" w:eastAsia="宋体" w:cs="宋体"/>
                <w:color w:val="auto"/>
                <w:sz w:val="21"/>
                <w:szCs w:val="21"/>
              </w:rPr>
              <w:t>）</w:t>
            </w:r>
          </w:p>
        </w:tc>
        <w:tc>
          <w:tcPr>
            <w:tcW w:w="1001"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Ansi="宋体" w:eastAsia="宋体" w:cs="宋体"/>
                <w:color w:val="auto"/>
                <w:sz w:val="21"/>
                <w:szCs w:val="21"/>
              </w:rPr>
            </w:pPr>
            <w:r>
              <w:rPr>
                <w:rFonts w:hint="eastAsia" w:hAnsi="宋体" w:eastAsia="宋体" w:cs="宋体"/>
                <w:color w:val="auto"/>
                <w:sz w:val="21"/>
                <w:szCs w:val="21"/>
              </w:rPr>
              <w:t>本项目</w:t>
            </w:r>
            <w:r>
              <w:rPr>
                <w:rFonts w:hint="eastAsia" w:hAnsi="宋体" w:eastAsia="宋体" w:cs="宋体"/>
                <w:color w:val="auto"/>
                <w:sz w:val="21"/>
                <w:szCs w:val="21"/>
                <w:lang w:val="en-US" w:eastAsia="zh-CN"/>
              </w:rPr>
              <w:t>最大储存量</w:t>
            </w:r>
            <w:r>
              <w:rPr>
                <w:rFonts w:hint="eastAsia" w:hAnsi="宋体" w:eastAsia="宋体" w:cs="宋体"/>
                <w:color w:val="auto"/>
                <w:sz w:val="21"/>
                <w:szCs w:val="21"/>
              </w:rPr>
              <w:t>（</w:t>
            </w:r>
            <w:r>
              <w:rPr>
                <w:rFonts w:ascii="Times New Roman" w:eastAsia="宋体"/>
                <w:color w:val="auto"/>
                <w:sz w:val="21"/>
                <w:szCs w:val="21"/>
              </w:rPr>
              <w:t>t</w:t>
            </w:r>
            <w:r>
              <w:rPr>
                <w:rFonts w:hint="eastAsia" w:hAnsi="宋体" w:eastAsia="宋体" w:cs="宋体"/>
                <w:color w:val="auto"/>
                <w:sz w:val="21"/>
                <w:szCs w:val="21"/>
              </w:rPr>
              <w:t>）</w:t>
            </w:r>
          </w:p>
        </w:tc>
        <w:tc>
          <w:tcPr>
            <w:tcW w:w="1000" w:type="pct"/>
            <w:vMerge w:val="continue"/>
            <w:tcBorders>
              <w:top w:val="single" w:color="000000" w:sz="12" w:space="0"/>
              <w:left w:val="single" w:color="000000" w:sz="8" w:space="0"/>
              <w:bottom w:val="single" w:color="000000" w:sz="8" w:space="0"/>
              <w:right w:val="single" w:color="000000" w:sz="8" w:space="0"/>
            </w:tcBorders>
            <w:shd w:val="clear" w:color="auto" w:fill="auto"/>
            <w:vAlign w:val="center"/>
          </w:tcPr>
          <w:p>
            <w:pPr>
              <w:jc w:val="center"/>
              <w:rPr>
                <w:rFonts w:ascii="Times New Roman" w:eastAsia="宋体"/>
                <w:color w:val="auto"/>
                <w:sz w:val="21"/>
                <w:szCs w:val="21"/>
              </w:rPr>
            </w:pPr>
          </w:p>
        </w:tc>
        <w:tc>
          <w:tcPr>
            <w:tcW w:w="1000" w:type="pct"/>
            <w:vMerge w:val="continue"/>
            <w:tcBorders>
              <w:top w:val="single" w:color="000000" w:sz="12" w:space="0"/>
              <w:left w:val="single" w:color="000000" w:sz="8" w:space="0"/>
              <w:bottom w:val="single" w:color="000000" w:sz="8" w:space="0"/>
              <w:right w:val="single" w:color="000000" w:sz="12" w:space="0"/>
            </w:tcBorders>
            <w:shd w:val="clear" w:color="auto" w:fill="auto"/>
            <w:vAlign w:val="center"/>
          </w:tcPr>
          <w:p>
            <w:pPr>
              <w:jc w:val="center"/>
              <w:rPr>
                <w:rFonts w:hAnsi="宋体" w:eastAsia="宋体" w:cs="宋体"/>
                <w:color w:val="auto"/>
                <w:sz w:val="21"/>
                <w:szCs w:val="21"/>
              </w:rPr>
            </w:pPr>
          </w:p>
        </w:tc>
      </w:tr>
      <w:tr>
        <w:tblPrEx>
          <w:tblCellMar>
            <w:top w:w="0" w:type="dxa"/>
            <w:left w:w="108" w:type="dxa"/>
            <w:bottom w:w="0" w:type="dxa"/>
            <w:right w:w="108" w:type="dxa"/>
          </w:tblCellMar>
        </w:tblPrEx>
        <w:trPr>
          <w:trHeight w:val="90" w:hRule="atLeast"/>
        </w:trPr>
        <w:tc>
          <w:tcPr>
            <w:tcW w:w="998" w:type="pct"/>
            <w:tcBorders>
              <w:top w:val="single" w:color="000000" w:sz="8" w:space="0"/>
              <w:left w:val="single" w:color="000000" w:sz="12" w:space="0"/>
              <w:bottom w:val="single" w:color="000000" w:sz="8" w:space="0"/>
              <w:right w:val="single" w:color="000000" w:sz="8" w:space="0"/>
            </w:tcBorders>
            <w:shd w:val="clear" w:color="auto" w:fill="auto"/>
            <w:vAlign w:val="center"/>
          </w:tcPr>
          <w:p>
            <w:pPr>
              <w:widowControl/>
              <w:jc w:val="center"/>
              <w:textAlignment w:val="center"/>
              <w:rPr>
                <w:rFonts w:hAnsi="宋体" w:eastAsia="宋体" w:cs="宋体"/>
                <w:color w:val="auto"/>
                <w:sz w:val="21"/>
                <w:szCs w:val="21"/>
              </w:rPr>
            </w:pPr>
            <w:r>
              <w:rPr>
                <w:rFonts w:hint="eastAsia" w:hAnsi="宋体" w:eastAsia="宋体" w:cs="宋体"/>
                <w:color w:val="auto"/>
                <w:sz w:val="21"/>
                <w:szCs w:val="21"/>
              </w:rPr>
              <w:t>柴油</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2500</w:t>
            </w:r>
          </w:p>
        </w:tc>
        <w:tc>
          <w:tcPr>
            <w:tcW w:w="1001"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1</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Times New Roman" w:eastAsia="宋体"/>
                <w:color w:val="auto"/>
                <w:sz w:val="21"/>
                <w:szCs w:val="21"/>
                <w:lang w:val="en-US" w:eastAsia="zh-CN"/>
              </w:rPr>
            </w:pPr>
            <w:r>
              <w:rPr>
                <w:rFonts w:ascii="Times New Roman" w:eastAsia="宋体"/>
                <w:color w:val="auto"/>
                <w:sz w:val="21"/>
                <w:szCs w:val="21"/>
              </w:rPr>
              <w:t>0.000</w:t>
            </w:r>
            <w:r>
              <w:rPr>
                <w:rFonts w:hint="eastAsia" w:ascii="Times New Roman" w:eastAsia="宋体"/>
                <w:color w:val="auto"/>
                <w:sz w:val="21"/>
                <w:szCs w:val="21"/>
                <w:lang w:val="en-US" w:eastAsia="zh-CN"/>
              </w:rPr>
              <w:t>4</w:t>
            </w:r>
          </w:p>
        </w:tc>
        <w:tc>
          <w:tcPr>
            <w:tcW w:w="1000" w:type="pct"/>
            <w:vMerge w:val="restart"/>
            <w:tcBorders>
              <w:top w:val="single" w:color="000000" w:sz="8" w:space="0"/>
              <w:left w:val="single" w:color="000000" w:sz="8" w:space="0"/>
              <w:right w:val="single" w:color="000000" w:sz="12" w:space="0"/>
            </w:tcBorders>
            <w:shd w:val="clear" w:color="auto" w:fill="auto"/>
            <w:vAlign w:val="center"/>
          </w:tcPr>
          <w:p>
            <w:pPr>
              <w:widowControl/>
              <w:jc w:val="center"/>
              <w:textAlignment w:val="center"/>
              <w:rPr>
                <w:rFonts w:ascii="Times New Roman" w:eastAsia="宋体"/>
                <w:color w:val="auto"/>
                <w:sz w:val="21"/>
                <w:szCs w:val="21"/>
              </w:rPr>
            </w:pPr>
            <w:r>
              <w:rPr>
                <w:rFonts w:ascii="Times New Roman" w:eastAsia="宋体"/>
                <w:color w:val="auto"/>
                <w:sz w:val="21"/>
                <w:szCs w:val="21"/>
              </w:rPr>
              <w:t>Q</w:t>
            </w:r>
            <w:r>
              <w:rPr>
                <w:rFonts w:hint="eastAsia" w:hAnsi="宋体" w:eastAsia="宋体" w:cs="宋体"/>
                <w:color w:val="auto"/>
                <w:sz w:val="21"/>
                <w:szCs w:val="21"/>
              </w:rPr>
              <w:t>＜</w:t>
            </w:r>
            <w:r>
              <w:rPr>
                <w:rFonts w:ascii="Times New Roman" w:eastAsia="宋体"/>
                <w:color w:val="auto"/>
                <w:sz w:val="21"/>
                <w:szCs w:val="21"/>
              </w:rPr>
              <w:t>1</w:t>
            </w:r>
          </w:p>
        </w:tc>
      </w:tr>
      <w:tr>
        <w:tblPrEx>
          <w:tblCellMar>
            <w:top w:w="0" w:type="dxa"/>
            <w:left w:w="108" w:type="dxa"/>
            <w:bottom w:w="0" w:type="dxa"/>
            <w:right w:w="108" w:type="dxa"/>
          </w:tblCellMar>
        </w:tblPrEx>
        <w:trPr>
          <w:trHeight w:val="90" w:hRule="atLeast"/>
        </w:trPr>
        <w:tc>
          <w:tcPr>
            <w:tcW w:w="998" w:type="pct"/>
            <w:tcBorders>
              <w:top w:val="single" w:color="000000" w:sz="8" w:space="0"/>
              <w:left w:val="single" w:color="000000" w:sz="12" w:space="0"/>
              <w:bottom w:val="single" w:color="000000" w:sz="8" w:space="0"/>
              <w:right w:val="single" w:color="000000" w:sz="8" w:space="0"/>
            </w:tcBorders>
            <w:shd w:val="clear" w:color="auto" w:fill="auto"/>
            <w:vAlign w:val="center"/>
          </w:tcPr>
          <w:p>
            <w:pPr>
              <w:widowControl/>
              <w:jc w:val="center"/>
              <w:textAlignment w:val="center"/>
              <w:rPr>
                <w:rFonts w:hint="eastAsia" w:hAnsi="宋体" w:eastAsia="宋体" w:cs="宋体"/>
                <w:color w:val="auto"/>
                <w:sz w:val="21"/>
                <w:szCs w:val="21"/>
                <w:lang w:val="en-US" w:eastAsia="zh-CN"/>
              </w:rPr>
            </w:pPr>
            <w:r>
              <w:rPr>
                <w:rFonts w:hint="eastAsia" w:hAnsi="宋体" w:eastAsia="宋体" w:cs="宋体"/>
                <w:color w:val="auto"/>
                <w:sz w:val="21"/>
                <w:szCs w:val="21"/>
                <w:lang w:val="en-US" w:eastAsia="zh-CN"/>
              </w:rPr>
              <w:t>医疗废物</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20</w:t>
            </w:r>
          </w:p>
        </w:tc>
        <w:tc>
          <w:tcPr>
            <w:tcW w:w="1001"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0.05</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0.0025</w:t>
            </w:r>
          </w:p>
        </w:tc>
        <w:tc>
          <w:tcPr>
            <w:tcW w:w="1000" w:type="pct"/>
            <w:vMerge w:val="continue"/>
            <w:tcBorders>
              <w:left w:val="single" w:color="000000" w:sz="8" w:space="0"/>
              <w:right w:val="single" w:color="000000" w:sz="12" w:space="0"/>
            </w:tcBorders>
            <w:shd w:val="clear" w:color="auto" w:fill="auto"/>
            <w:vAlign w:val="center"/>
          </w:tcPr>
          <w:p>
            <w:pPr>
              <w:widowControl/>
              <w:jc w:val="center"/>
              <w:textAlignment w:val="center"/>
              <w:rPr>
                <w:rFonts w:ascii="Times New Roman" w:eastAsia="宋体"/>
                <w:color w:val="auto"/>
                <w:sz w:val="21"/>
                <w:szCs w:val="21"/>
              </w:rPr>
            </w:pPr>
          </w:p>
        </w:tc>
      </w:tr>
      <w:tr>
        <w:tblPrEx>
          <w:tblCellMar>
            <w:top w:w="0" w:type="dxa"/>
            <w:left w:w="108" w:type="dxa"/>
            <w:bottom w:w="0" w:type="dxa"/>
            <w:right w:w="108" w:type="dxa"/>
          </w:tblCellMar>
        </w:tblPrEx>
        <w:trPr>
          <w:trHeight w:val="326" w:hRule="atLeast"/>
        </w:trPr>
        <w:tc>
          <w:tcPr>
            <w:tcW w:w="998" w:type="pct"/>
            <w:tcBorders>
              <w:top w:val="single" w:color="000000" w:sz="8" w:space="0"/>
              <w:left w:val="single" w:color="000000" w:sz="12" w:space="0"/>
              <w:bottom w:val="single" w:color="000000" w:sz="8" w:space="0"/>
              <w:right w:val="single" w:color="000000" w:sz="8" w:space="0"/>
            </w:tcBorders>
            <w:shd w:val="clear" w:color="auto" w:fill="auto"/>
            <w:vAlign w:val="center"/>
          </w:tcPr>
          <w:p>
            <w:pPr>
              <w:widowControl/>
              <w:jc w:val="center"/>
              <w:textAlignment w:val="center"/>
              <w:rPr>
                <w:rFonts w:hint="eastAsia" w:hAnsi="宋体" w:eastAsia="宋体" w:cs="宋体"/>
                <w:color w:val="auto"/>
                <w:sz w:val="21"/>
                <w:szCs w:val="21"/>
                <w:lang w:val="en-US" w:eastAsia="zh-CN"/>
              </w:rPr>
            </w:pPr>
            <w:r>
              <w:rPr>
                <w:rFonts w:hint="eastAsia" w:hAnsi="宋体" w:eastAsia="宋体" w:cs="宋体"/>
                <w:color w:val="auto"/>
                <w:sz w:val="21"/>
                <w:szCs w:val="21"/>
                <w:lang w:val="en-US" w:eastAsia="zh-CN"/>
              </w:rPr>
              <w:t>消毒液</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20</w:t>
            </w:r>
          </w:p>
        </w:tc>
        <w:tc>
          <w:tcPr>
            <w:tcW w:w="1001"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0.02</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0.001</w:t>
            </w:r>
          </w:p>
        </w:tc>
        <w:tc>
          <w:tcPr>
            <w:tcW w:w="1000" w:type="pct"/>
            <w:vMerge w:val="continue"/>
            <w:tcBorders>
              <w:left w:val="single" w:color="000000" w:sz="8" w:space="0"/>
              <w:right w:val="single" w:color="000000" w:sz="12" w:space="0"/>
            </w:tcBorders>
            <w:shd w:val="clear" w:color="auto" w:fill="auto"/>
            <w:vAlign w:val="center"/>
          </w:tcPr>
          <w:p>
            <w:pPr>
              <w:widowControl/>
              <w:jc w:val="center"/>
              <w:textAlignment w:val="center"/>
              <w:rPr>
                <w:rFonts w:ascii="Times New Roman" w:eastAsia="宋体"/>
                <w:color w:val="auto"/>
                <w:sz w:val="21"/>
                <w:szCs w:val="21"/>
              </w:rPr>
            </w:pPr>
          </w:p>
        </w:tc>
      </w:tr>
      <w:tr>
        <w:tblPrEx>
          <w:tblCellMar>
            <w:top w:w="0" w:type="dxa"/>
            <w:left w:w="108" w:type="dxa"/>
            <w:bottom w:w="0" w:type="dxa"/>
            <w:right w:w="108" w:type="dxa"/>
          </w:tblCellMar>
        </w:tblPrEx>
        <w:trPr>
          <w:trHeight w:val="90" w:hRule="atLeast"/>
        </w:trPr>
        <w:tc>
          <w:tcPr>
            <w:tcW w:w="998" w:type="pct"/>
            <w:tcBorders>
              <w:top w:val="single" w:color="000000" w:sz="8" w:space="0"/>
              <w:left w:val="single" w:color="000000" w:sz="12" w:space="0"/>
              <w:bottom w:val="single" w:color="000000" w:sz="8" w:space="0"/>
              <w:right w:val="single" w:color="000000" w:sz="8" w:space="0"/>
            </w:tcBorders>
            <w:shd w:val="clear" w:color="auto" w:fill="auto"/>
            <w:vAlign w:val="center"/>
          </w:tcPr>
          <w:p>
            <w:pPr>
              <w:widowControl/>
              <w:jc w:val="center"/>
              <w:textAlignment w:val="center"/>
              <w:rPr>
                <w:rFonts w:hint="eastAsia" w:hAnsi="宋体" w:eastAsia="宋体" w:cs="宋体"/>
                <w:color w:val="auto"/>
                <w:sz w:val="21"/>
                <w:szCs w:val="21"/>
                <w:lang w:val="en-US" w:eastAsia="zh-CN"/>
              </w:rPr>
            </w:pPr>
            <w:r>
              <w:rPr>
                <w:rFonts w:hint="eastAsia" w:hAnsi="宋体" w:eastAsia="宋体" w:cs="宋体"/>
                <w:color w:val="auto"/>
                <w:sz w:val="21"/>
                <w:szCs w:val="21"/>
                <w:lang w:val="en-US" w:eastAsia="zh-CN"/>
              </w:rPr>
              <w:t>免疫药剂</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20</w:t>
            </w:r>
          </w:p>
        </w:tc>
        <w:tc>
          <w:tcPr>
            <w:tcW w:w="1001"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0.1</w:t>
            </w:r>
          </w:p>
        </w:tc>
        <w:tc>
          <w:tcPr>
            <w:tcW w:w="100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0.005</w:t>
            </w:r>
          </w:p>
        </w:tc>
        <w:tc>
          <w:tcPr>
            <w:tcW w:w="1000" w:type="pct"/>
            <w:vMerge w:val="continue"/>
            <w:tcBorders>
              <w:left w:val="single" w:color="000000" w:sz="8" w:space="0"/>
              <w:right w:val="single" w:color="000000" w:sz="12" w:space="0"/>
            </w:tcBorders>
            <w:shd w:val="clear" w:color="auto" w:fill="auto"/>
            <w:vAlign w:val="center"/>
          </w:tcPr>
          <w:p>
            <w:pPr>
              <w:widowControl/>
              <w:jc w:val="center"/>
              <w:textAlignment w:val="center"/>
              <w:rPr>
                <w:rFonts w:ascii="Times New Roman" w:eastAsia="宋体"/>
                <w:color w:val="auto"/>
                <w:sz w:val="21"/>
                <w:szCs w:val="21"/>
              </w:rPr>
            </w:pPr>
          </w:p>
        </w:tc>
      </w:tr>
      <w:tr>
        <w:tblPrEx>
          <w:tblCellMar>
            <w:top w:w="0" w:type="dxa"/>
            <w:left w:w="108" w:type="dxa"/>
            <w:bottom w:w="0" w:type="dxa"/>
            <w:right w:w="108" w:type="dxa"/>
          </w:tblCellMar>
        </w:tblPrEx>
        <w:trPr>
          <w:trHeight w:val="90" w:hRule="atLeast"/>
        </w:trPr>
        <w:tc>
          <w:tcPr>
            <w:tcW w:w="2999" w:type="pct"/>
            <w:gridSpan w:val="3"/>
            <w:tcBorders>
              <w:top w:val="single" w:color="000000" w:sz="8" w:space="0"/>
              <w:left w:val="single" w:color="000000" w:sz="12" w:space="0"/>
              <w:bottom w:val="single" w:color="000000" w:sz="12" w:space="0"/>
              <w:right w:val="single" w:color="000000" w:sz="8" w:space="0"/>
            </w:tcBorders>
            <w:shd w:val="clear" w:color="auto" w:fill="auto"/>
            <w:vAlign w:val="center"/>
          </w:tcPr>
          <w:p>
            <w:pPr>
              <w:widowControl/>
              <w:jc w:val="center"/>
              <w:textAlignment w:val="center"/>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Q值</w:t>
            </w:r>
          </w:p>
        </w:tc>
        <w:tc>
          <w:tcPr>
            <w:tcW w:w="1000" w:type="pct"/>
            <w:tcBorders>
              <w:top w:val="single" w:color="000000" w:sz="8" w:space="0"/>
              <w:left w:val="single" w:color="000000" w:sz="8" w:space="0"/>
              <w:bottom w:val="single" w:color="000000" w:sz="12" w:space="0"/>
              <w:right w:val="single" w:color="000000" w:sz="8" w:space="0"/>
            </w:tcBorders>
            <w:shd w:val="clear" w:color="auto" w:fill="auto"/>
            <w:vAlign w:val="center"/>
          </w:tcPr>
          <w:p>
            <w:pPr>
              <w:widowControl/>
              <w:jc w:val="center"/>
              <w:textAlignment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0.0089</w:t>
            </w:r>
          </w:p>
        </w:tc>
        <w:tc>
          <w:tcPr>
            <w:tcW w:w="1000" w:type="pct"/>
            <w:vMerge w:val="continue"/>
            <w:tcBorders>
              <w:left w:val="single" w:color="000000" w:sz="8" w:space="0"/>
              <w:bottom w:val="single" w:color="000000" w:sz="12" w:space="0"/>
              <w:right w:val="single" w:color="000000" w:sz="12" w:space="0"/>
            </w:tcBorders>
            <w:shd w:val="clear" w:color="auto" w:fill="auto"/>
            <w:vAlign w:val="center"/>
          </w:tcPr>
          <w:p>
            <w:pPr>
              <w:widowControl/>
              <w:jc w:val="center"/>
              <w:textAlignment w:val="center"/>
              <w:rPr>
                <w:rFonts w:ascii="Times New Roman" w:eastAsia="宋体"/>
                <w:color w:val="auto"/>
                <w:sz w:val="21"/>
                <w:szCs w:val="21"/>
              </w:rPr>
            </w:pPr>
          </w:p>
        </w:tc>
      </w:tr>
    </w:tbl>
    <w:p>
      <w:pPr>
        <w:spacing w:line="360" w:lineRule="auto"/>
        <w:ind w:firstLine="482"/>
        <w:rPr>
          <w:rFonts w:ascii="Times New Roman" w:eastAsia="宋体"/>
          <w:color w:val="auto"/>
        </w:rPr>
      </w:pPr>
      <w:r>
        <w:rPr>
          <w:rFonts w:hint="eastAsia" w:ascii="Times New Roman" w:eastAsia="宋体"/>
          <w:color w:val="auto"/>
        </w:rPr>
        <w:t xml:space="preserve">（3）评价等级 </w:t>
      </w:r>
    </w:p>
    <w:p>
      <w:pPr>
        <w:spacing w:line="360" w:lineRule="auto"/>
        <w:ind w:firstLine="482"/>
        <w:rPr>
          <w:rFonts w:ascii="Times New Roman" w:eastAsia="宋体"/>
          <w:color w:val="auto"/>
          <w:kern w:val="2"/>
          <w:szCs w:val="22"/>
        </w:rPr>
      </w:pPr>
      <w:r>
        <w:rPr>
          <w:rFonts w:hint="eastAsia" w:ascii="Times New Roman" w:eastAsia="宋体"/>
          <w:color w:val="auto"/>
          <w:lang w:val="zh-CN"/>
        </w:rPr>
        <w:t>根据建设项目涉及的物质及工</w:t>
      </w:r>
      <w:r>
        <w:rPr>
          <w:rFonts w:ascii="Times New Roman" w:eastAsia="宋体"/>
          <w:color w:val="auto"/>
          <w:kern w:val="2"/>
          <w:szCs w:val="24"/>
        </w:rPr>
        <w:t>艺系统危险性和所在地的环境敏感性确定环境风险潜势，按照表5.2-2</w:t>
      </w:r>
      <w:r>
        <w:rPr>
          <w:rFonts w:hint="eastAsia" w:ascii="Times New Roman" w:eastAsia="宋体"/>
          <w:color w:val="auto"/>
          <w:kern w:val="2"/>
          <w:szCs w:val="24"/>
        </w:rPr>
        <w:t>1</w:t>
      </w:r>
      <w:r>
        <w:rPr>
          <w:rFonts w:ascii="Times New Roman" w:eastAsia="宋体"/>
          <w:color w:val="auto"/>
          <w:kern w:val="2"/>
          <w:szCs w:val="24"/>
        </w:rPr>
        <w:t>确定评价工作等级。</w:t>
      </w:r>
    </w:p>
    <w:p>
      <w:pPr>
        <w:spacing w:line="360" w:lineRule="auto"/>
        <w:jc w:val="center"/>
        <w:rPr>
          <w:rFonts w:ascii="Times New Roman" w:eastAsia="宋体"/>
          <w:b/>
          <w:color w:val="auto"/>
          <w:sz w:val="21"/>
        </w:rPr>
      </w:pPr>
      <w:r>
        <w:rPr>
          <w:rFonts w:ascii="Times New Roman" w:eastAsia="宋体"/>
          <w:b/>
          <w:color w:val="auto"/>
          <w:sz w:val="21"/>
        </w:rPr>
        <w:t>表5.2-2</w:t>
      </w:r>
      <w:r>
        <w:rPr>
          <w:rFonts w:hint="eastAsia" w:ascii="Times New Roman" w:eastAsia="宋体"/>
          <w:b/>
          <w:color w:val="auto"/>
          <w:sz w:val="21"/>
        </w:rPr>
        <w:t>5</w:t>
      </w:r>
      <w:r>
        <w:rPr>
          <w:rFonts w:ascii="Times New Roman" w:eastAsia="宋体"/>
          <w:b/>
          <w:color w:val="auto"/>
          <w:sz w:val="21"/>
        </w:rPr>
        <w:t>评价工作等级划分</w:t>
      </w:r>
    </w:p>
    <w:tbl>
      <w:tblPr>
        <w:tblStyle w:val="4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766"/>
        <w:gridCol w:w="1766"/>
        <w:gridCol w:w="1608"/>
        <w:gridCol w:w="16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环境风险潜势</w:t>
            </w:r>
          </w:p>
        </w:tc>
        <w:tc>
          <w:tcPr>
            <w:tcW w:w="1037" w:type="pct"/>
            <w:tcBorders>
              <w:tl2br w:val="nil"/>
              <w:tr2bl w:val="nil"/>
            </w:tcBorders>
            <w:vAlign w:val="center"/>
          </w:tcPr>
          <w:p>
            <w:pPr>
              <w:jc w:val="center"/>
              <w:rPr>
                <w:rFonts w:ascii="Times New Roman" w:eastAsia="宋体"/>
                <w:color w:val="auto"/>
                <w:kern w:val="2"/>
                <w:sz w:val="21"/>
                <w:szCs w:val="21"/>
              </w:rPr>
            </w:pPr>
            <w:r>
              <w:rPr>
                <w:rFonts w:hint="eastAsia" w:hAnsi="宋体" w:eastAsia="宋体" w:cs="宋体"/>
                <w:color w:val="auto"/>
                <w:kern w:val="2"/>
                <w:sz w:val="21"/>
                <w:szCs w:val="21"/>
              </w:rPr>
              <w:t>Ⅳ</w:t>
            </w:r>
            <w:r>
              <w:rPr>
                <w:rFonts w:ascii="Times New Roman" w:eastAsia="宋体"/>
                <w:color w:val="auto"/>
                <w:kern w:val="2"/>
                <w:sz w:val="21"/>
                <w:szCs w:val="21"/>
              </w:rPr>
              <w:t>、</w:t>
            </w:r>
            <w:r>
              <w:rPr>
                <w:rFonts w:hint="eastAsia" w:hAnsi="宋体" w:eastAsia="宋体" w:cs="宋体"/>
                <w:color w:val="auto"/>
                <w:kern w:val="2"/>
                <w:sz w:val="21"/>
                <w:szCs w:val="21"/>
              </w:rPr>
              <w:t>Ⅳ</w:t>
            </w:r>
            <w:r>
              <w:rPr>
                <w:rFonts w:ascii="Times New Roman" w:eastAsia="宋体"/>
                <w:color w:val="auto"/>
                <w:kern w:val="2"/>
                <w:sz w:val="21"/>
                <w:szCs w:val="21"/>
                <w:vertAlign w:val="superscript"/>
              </w:rPr>
              <w:t>+</w:t>
            </w:r>
          </w:p>
        </w:tc>
        <w:tc>
          <w:tcPr>
            <w:tcW w:w="1037" w:type="pct"/>
            <w:tcBorders>
              <w:tl2br w:val="nil"/>
              <w:tr2bl w:val="nil"/>
            </w:tcBorders>
            <w:vAlign w:val="center"/>
          </w:tcPr>
          <w:p>
            <w:pPr>
              <w:jc w:val="center"/>
              <w:rPr>
                <w:rFonts w:ascii="Times New Roman" w:eastAsia="宋体"/>
                <w:color w:val="auto"/>
                <w:kern w:val="2"/>
                <w:sz w:val="21"/>
                <w:szCs w:val="21"/>
              </w:rPr>
            </w:pPr>
            <w:r>
              <w:rPr>
                <w:rFonts w:hint="eastAsia" w:hAnsi="宋体" w:eastAsia="宋体" w:cs="宋体"/>
                <w:color w:val="auto"/>
                <w:kern w:val="2"/>
                <w:sz w:val="21"/>
                <w:szCs w:val="21"/>
              </w:rPr>
              <w:t>Ⅲ</w:t>
            </w:r>
          </w:p>
        </w:tc>
        <w:tc>
          <w:tcPr>
            <w:tcW w:w="944" w:type="pct"/>
            <w:tcBorders>
              <w:tl2br w:val="nil"/>
              <w:tr2bl w:val="nil"/>
            </w:tcBorders>
            <w:vAlign w:val="center"/>
          </w:tcPr>
          <w:p>
            <w:pPr>
              <w:jc w:val="center"/>
              <w:rPr>
                <w:rFonts w:ascii="Times New Roman" w:eastAsia="宋体"/>
                <w:color w:val="auto"/>
                <w:kern w:val="2"/>
                <w:sz w:val="21"/>
                <w:szCs w:val="21"/>
              </w:rPr>
            </w:pPr>
            <w:r>
              <w:rPr>
                <w:rFonts w:hint="eastAsia" w:hAnsi="宋体" w:eastAsia="宋体" w:cs="宋体"/>
                <w:color w:val="auto"/>
                <w:kern w:val="2"/>
                <w:sz w:val="21"/>
                <w:szCs w:val="21"/>
              </w:rPr>
              <w:t>Ⅱ</w:t>
            </w:r>
          </w:p>
        </w:tc>
        <w:tc>
          <w:tcPr>
            <w:tcW w:w="944" w:type="pct"/>
            <w:tcBorders>
              <w:tl2br w:val="nil"/>
              <w:tr2bl w:val="nil"/>
            </w:tcBorders>
            <w:vAlign w:val="center"/>
          </w:tcPr>
          <w:p>
            <w:pPr>
              <w:jc w:val="center"/>
              <w:rPr>
                <w:rFonts w:ascii="Times New Roman" w:eastAsia="宋体"/>
                <w:color w:val="auto"/>
                <w:kern w:val="2"/>
                <w:sz w:val="21"/>
                <w:szCs w:val="21"/>
              </w:rPr>
            </w:pPr>
            <w:r>
              <w:rPr>
                <w:rFonts w:hint="eastAsia" w:hAnsi="宋体" w:eastAsia="宋体" w:cs="宋体"/>
                <w:color w:val="auto"/>
                <w:kern w:val="2"/>
                <w:sz w:val="21"/>
                <w:szCs w:val="21"/>
              </w:rPr>
              <w:t>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8"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评价工作等级</w:t>
            </w:r>
          </w:p>
        </w:tc>
        <w:tc>
          <w:tcPr>
            <w:tcW w:w="1037"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一</w:t>
            </w:r>
          </w:p>
        </w:tc>
        <w:tc>
          <w:tcPr>
            <w:tcW w:w="1037"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二</w:t>
            </w:r>
          </w:p>
        </w:tc>
        <w:tc>
          <w:tcPr>
            <w:tcW w:w="944"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三</w:t>
            </w:r>
          </w:p>
        </w:tc>
        <w:tc>
          <w:tcPr>
            <w:tcW w:w="944" w:type="pct"/>
            <w:tcBorders>
              <w:tl2br w:val="nil"/>
              <w:tr2bl w:val="nil"/>
            </w:tcBorders>
            <w:vAlign w:val="center"/>
          </w:tcPr>
          <w:p>
            <w:pPr>
              <w:jc w:val="center"/>
              <w:rPr>
                <w:rFonts w:ascii="Times New Roman" w:eastAsia="宋体"/>
                <w:color w:val="auto"/>
                <w:kern w:val="2"/>
                <w:sz w:val="21"/>
                <w:szCs w:val="21"/>
              </w:rPr>
            </w:pPr>
            <w:r>
              <w:rPr>
                <w:rFonts w:ascii="Times New Roman" w:eastAsia="宋体"/>
                <w:color w:val="auto"/>
                <w:kern w:val="2"/>
                <w:sz w:val="21"/>
                <w:szCs w:val="21"/>
              </w:rPr>
              <w:t>简单分析</w:t>
            </w:r>
            <w:r>
              <w:rPr>
                <w:rFonts w:ascii="Times New Roman" w:eastAsia="宋体"/>
                <w:color w:val="auto"/>
                <w:kern w:val="2"/>
                <w:sz w:val="21"/>
                <w:szCs w:val="21"/>
                <w:vertAlign w:val="superscript"/>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5000" w:type="pct"/>
            <w:gridSpan w:val="5"/>
            <w:tcBorders>
              <w:tl2br w:val="nil"/>
              <w:tr2bl w:val="nil"/>
            </w:tcBorders>
            <w:vAlign w:val="center"/>
          </w:tcPr>
          <w:p>
            <w:pPr>
              <w:rPr>
                <w:rFonts w:ascii="Times New Roman" w:eastAsia="宋体"/>
                <w:color w:val="auto"/>
                <w:kern w:val="2"/>
                <w:sz w:val="21"/>
                <w:szCs w:val="21"/>
              </w:rPr>
            </w:pPr>
            <w:r>
              <w:rPr>
                <w:rFonts w:ascii="Times New Roman" w:eastAsia="宋体"/>
                <w:color w:val="auto"/>
                <w:kern w:val="2"/>
                <w:sz w:val="21"/>
                <w:szCs w:val="21"/>
              </w:rPr>
              <w:t>a是相对于详细评价工作内容而言，在描述危险物质、环境影响途径、环境危害后果、风险防范措施等方面给出定性的说明。</w:t>
            </w:r>
          </w:p>
        </w:tc>
      </w:tr>
    </w:tbl>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本环境风险潜势为</w:t>
      </w:r>
      <w:r>
        <w:rPr>
          <w:rFonts w:hint="eastAsia" w:hAnsi="宋体" w:eastAsia="宋体" w:cs="宋体"/>
          <w:color w:val="auto"/>
          <w:kern w:val="2"/>
          <w:szCs w:val="24"/>
        </w:rPr>
        <w:t>Ⅰ</w:t>
      </w:r>
      <w:r>
        <w:rPr>
          <w:rFonts w:ascii="Times New Roman" w:eastAsia="宋体"/>
          <w:color w:val="auto"/>
          <w:kern w:val="2"/>
          <w:szCs w:val="24"/>
        </w:rPr>
        <w:t>，故项目评价工作等级为简单分析。</w:t>
      </w:r>
    </w:p>
    <w:p>
      <w:pPr>
        <w:keepNext/>
        <w:keepLines/>
        <w:spacing w:before="160" w:after="163" w:line="360" w:lineRule="auto"/>
        <w:outlineLvl w:val="3"/>
        <w:rPr>
          <w:rFonts w:ascii="Times New Roman" w:eastAsia="宋体"/>
          <w:b/>
          <w:bCs/>
          <w:color w:val="auto"/>
          <w:kern w:val="2"/>
          <w:szCs w:val="28"/>
        </w:rPr>
      </w:pPr>
      <w:bookmarkStart w:id="466" w:name="_Toc9686"/>
      <w:r>
        <w:rPr>
          <w:rFonts w:ascii="Times New Roman" w:eastAsia="宋体"/>
          <w:b/>
          <w:bCs/>
          <w:color w:val="auto"/>
          <w:kern w:val="2"/>
          <w:szCs w:val="28"/>
        </w:rPr>
        <w:t>5.2.</w:t>
      </w:r>
      <w:r>
        <w:rPr>
          <w:rFonts w:hint="eastAsia" w:ascii="Times New Roman" w:eastAsia="宋体"/>
          <w:b/>
          <w:bCs/>
          <w:color w:val="auto"/>
          <w:kern w:val="2"/>
          <w:szCs w:val="28"/>
        </w:rPr>
        <w:t>9</w:t>
      </w:r>
      <w:r>
        <w:rPr>
          <w:rFonts w:ascii="Times New Roman" w:eastAsia="宋体"/>
          <w:b/>
          <w:bCs/>
          <w:color w:val="auto"/>
          <w:kern w:val="2"/>
          <w:szCs w:val="28"/>
        </w:rPr>
        <w:t>.4环境风险分析</w:t>
      </w:r>
      <w:bookmarkEnd w:id="466"/>
    </w:p>
    <w:p>
      <w:pPr>
        <w:spacing w:line="360" w:lineRule="auto"/>
        <w:ind w:firstLine="482"/>
        <w:rPr>
          <w:rFonts w:ascii="Times New Roman" w:eastAsia="宋体"/>
          <w:color w:val="auto"/>
          <w:lang w:val="zh-CN"/>
        </w:rPr>
      </w:pPr>
      <w:r>
        <w:rPr>
          <w:rFonts w:hint="eastAsia" w:ascii="Times New Roman" w:eastAsia="宋体"/>
          <w:color w:val="auto"/>
          <w:lang w:val="zh-CN"/>
        </w:rPr>
        <w:t>（1）柴油泄漏事故影响分析</w:t>
      </w:r>
    </w:p>
    <w:p>
      <w:pPr>
        <w:spacing w:line="360" w:lineRule="auto"/>
        <w:ind w:firstLine="482"/>
        <w:rPr>
          <w:rFonts w:ascii="Times New Roman" w:eastAsia="宋体"/>
          <w:color w:val="auto"/>
          <w:lang w:val="zh-CN"/>
        </w:rPr>
      </w:pPr>
      <w:r>
        <w:rPr>
          <w:rFonts w:hint="eastAsia" w:ascii="Times New Roman" w:eastAsia="宋体"/>
          <w:color w:val="auto"/>
          <w:lang w:val="zh-CN"/>
        </w:rPr>
        <w:t>①事故后对环境空气影响分析</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本项目柴油在常温常压下发生泄漏，泄漏的液体在空气中迅速蒸发而形成气体，液体泄漏后聚集在柴油发电机地面，液体由于地表面风的对流而缓慢蒸发，如遇火源就会发生火灾，其主要危害为热辐射破坏。非甲烷总烃和未完全燃烧产生的一氧化碳严重超标会对人身安全和健康产生一定影响。</w:t>
      </w:r>
    </w:p>
    <w:p>
      <w:pPr>
        <w:spacing w:line="360" w:lineRule="auto"/>
        <w:ind w:firstLine="482"/>
        <w:rPr>
          <w:rFonts w:ascii="Times New Roman" w:eastAsia="宋体"/>
          <w:color w:val="auto"/>
          <w:lang w:val="zh-CN"/>
        </w:rPr>
      </w:pPr>
      <w:r>
        <w:rPr>
          <w:rFonts w:hint="eastAsia" w:ascii="Times New Roman" w:eastAsia="宋体"/>
          <w:color w:val="auto"/>
          <w:lang w:val="zh-CN"/>
        </w:rPr>
        <w:t>②事故后对地表水的影响分析</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发电机柴油箱发生爆炸火灾如采用水作灭火剂，但是一旦发生火灾爆炸，同时会产生大量燃烧废物，若不及时清理，有毒有害物质易随雨水进入河道，对地表水体造成污染。</w:t>
      </w:r>
    </w:p>
    <w:p>
      <w:pPr>
        <w:spacing w:line="360" w:lineRule="auto"/>
        <w:ind w:firstLine="482"/>
        <w:rPr>
          <w:rFonts w:ascii="Times New Roman" w:eastAsia="宋体"/>
          <w:color w:val="auto"/>
          <w:lang w:val="zh-CN"/>
        </w:rPr>
      </w:pPr>
      <w:r>
        <w:rPr>
          <w:rFonts w:hint="eastAsia" w:ascii="Times New Roman" w:eastAsia="宋体"/>
          <w:color w:val="auto"/>
          <w:lang w:val="zh-CN"/>
        </w:rPr>
        <w:t>③事故后对声环境的影响分析</w:t>
      </w:r>
    </w:p>
    <w:p>
      <w:pPr>
        <w:spacing w:line="360" w:lineRule="auto"/>
        <w:ind w:firstLine="482"/>
        <w:rPr>
          <w:rFonts w:ascii="Times New Roman" w:eastAsia="宋体"/>
          <w:color w:val="auto"/>
          <w:lang w:val="zh-CN"/>
        </w:rPr>
      </w:pPr>
      <w:r>
        <w:rPr>
          <w:rFonts w:ascii="Times New Roman" w:eastAsia="宋体"/>
          <w:color w:val="auto"/>
          <w:kern w:val="2"/>
          <w:szCs w:val="24"/>
        </w:rPr>
        <w:t>发生泄漏、火灾爆炸后，消防车辆会产生交通噪声，现场指挥、对周围村庄预警等会产生社会噪声。</w:t>
      </w:r>
    </w:p>
    <w:p>
      <w:pPr>
        <w:spacing w:line="360" w:lineRule="auto"/>
        <w:ind w:firstLine="482"/>
        <w:rPr>
          <w:rFonts w:ascii="Times New Roman" w:eastAsia="宋体"/>
          <w:color w:val="auto"/>
          <w:lang w:val="zh-CN"/>
        </w:rPr>
      </w:pPr>
      <w:r>
        <w:rPr>
          <w:rFonts w:hint="eastAsia" w:ascii="Times New Roman" w:eastAsia="宋体"/>
          <w:color w:val="auto"/>
          <w:lang w:val="zh-CN"/>
        </w:rPr>
        <w:t>④事故后产生的固废影响分析</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发生火灾爆炸后，会有生产设备、房屋的破坏等，产生一定量的建筑垃圾和废设备，对环境造成一定的影响。</w:t>
      </w:r>
    </w:p>
    <w:p>
      <w:pPr>
        <w:spacing w:line="360" w:lineRule="auto"/>
        <w:ind w:firstLine="482"/>
        <w:rPr>
          <w:rFonts w:ascii="Times New Roman" w:eastAsia="宋体"/>
          <w:color w:val="auto"/>
          <w:lang w:val="zh-CN"/>
        </w:rPr>
      </w:pPr>
      <w:r>
        <w:rPr>
          <w:rFonts w:hint="eastAsia" w:ascii="Times New Roman" w:eastAsia="宋体"/>
          <w:color w:val="auto"/>
          <w:lang w:val="zh-CN"/>
        </w:rPr>
        <w:t>⑤事故后对生态环境的影响分析</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发生火灾爆炸后，场区内部及周边地表植被遭到烧毁或踩踏，会对生态环境产生的一定影响。</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（2）因对病鸡管理不善，引起疾病，可能对周围人群健康产生影响。废水处理工程如发生废水泄漏事故，可能对周围地表水、地下水环境产生影响，具体如下所述：</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泄漏或渗漏的废水一旦进入地表河流，将造成地表河流的污染，其中的有害成份会浸滤出来，污染物中有害成份随浸出液进入地面水体，使地面水体受到污染，随渗水进入土壤，污染地下水，可能对地面水体和地下水体造成二次污染，影响范围小到几公里，大到几十公里。</w:t>
      </w:r>
    </w:p>
    <w:p>
      <w:pPr>
        <w:keepNext/>
        <w:keepLines/>
        <w:spacing w:before="160" w:after="163" w:line="360" w:lineRule="auto"/>
        <w:outlineLvl w:val="3"/>
        <w:rPr>
          <w:rFonts w:ascii="Times New Roman" w:eastAsia="宋体"/>
          <w:b/>
          <w:bCs/>
          <w:color w:val="auto"/>
          <w:kern w:val="2"/>
          <w:szCs w:val="28"/>
        </w:rPr>
      </w:pPr>
      <w:bookmarkStart w:id="467" w:name="_Toc6383"/>
      <w:r>
        <w:rPr>
          <w:rFonts w:ascii="Times New Roman" w:eastAsia="宋体"/>
          <w:b/>
          <w:bCs/>
          <w:color w:val="auto"/>
          <w:kern w:val="2"/>
          <w:szCs w:val="28"/>
        </w:rPr>
        <w:t>5.2.</w:t>
      </w:r>
      <w:r>
        <w:rPr>
          <w:rFonts w:hint="eastAsia" w:ascii="Times New Roman" w:eastAsia="宋体"/>
          <w:b/>
          <w:bCs/>
          <w:color w:val="auto"/>
          <w:kern w:val="2"/>
          <w:szCs w:val="28"/>
        </w:rPr>
        <w:t>9</w:t>
      </w:r>
      <w:r>
        <w:rPr>
          <w:rFonts w:ascii="Times New Roman" w:eastAsia="宋体"/>
          <w:b/>
          <w:bCs/>
          <w:color w:val="auto"/>
          <w:kern w:val="2"/>
          <w:szCs w:val="28"/>
        </w:rPr>
        <w:t>.5环境风险防范措施及应急要求</w:t>
      </w:r>
      <w:bookmarkEnd w:id="467"/>
    </w:p>
    <w:p>
      <w:pPr>
        <w:spacing w:line="360" w:lineRule="auto"/>
        <w:ind w:firstLine="482"/>
        <w:rPr>
          <w:rFonts w:hint="default" w:ascii="Times New Roman" w:eastAsia="宋体"/>
          <w:color w:val="auto"/>
          <w:lang w:val="en-US" w:eastAsia="zh-CN"/>
        </w:rPr>
      </w:pPr>
      <w:r>
        <w:rPr>
          <w:rFonts w:hint="eastAsia" w:ascii="Times New Roman" w:eastAsia="宋体"/>
          <w:color w:val="auto"/>
          <w:lang w:val="zh-CN"/>
        </w:rPr>
        <w:t>（1）柴油泄露及火灾和爆炸的预防</w:t>
      </w:r>
      <w:r>
        <w:rPr>
          <w:rFonts w:hint="eastAsia" w:ascii="Times New Roman" w:eastAsia="宋体"/>
          <w:color w:val="auto"/>
          <w:lang w:val="en-US" w:eastAsia="zh-CN"/>
        </w:rPr>
        <w:t>和应急措施</w:t>
      </w:r>
    </w:p>
    <w:p>
      <w:pPr>
        <w:spacing w:line="360" w:lineRule="auto"/>
        <w:ind w:firstLine="482"/>
        <w:rPr>
          <w:rFonts w:ascii="Times New Roman" w:eastAsia="宋体"/>
          <w:color w:val="auto"/>
          <w:lang w:val="zh-CN"/>
        </w:rPr>
      </w:pPr>
      <w:r>
        <w:rPr>
          <w:rFonts w:hint="eastAsia" w:ascii="Times New Roman" w:eastAsia="宋体"/>
          <w:color w:val="auto"/>
          <w:lang w:val="zh-CN"/>
        </w:rPr>
        <w:t>①发电机柴油箱泄漏预防</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泄漏事故的防治是生产和储运过程中最重要的环节，发生泄漏事故可能引起火灾和爆炸等一系列重大事故。经验表明，设备失灵和人为的操作失误是引发泄漏的主要原因。因此选用较好的设备、精心设计、认真的管理和操作人员的责任心是减少泄漏事故的关键。</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A. 为防止设备发生事故时的热辐射影响，场区设置消防设施，保持周围消防通道的畅通。</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B. 柴油发电机柴油箱进行适当的整体试验、外观检查或非破坏性的测厚检查，检查记录应存档备查。定期进行外部检查，及时发现破损和漏处。</w:t>
      </w:r>
    </w:p>
    <w:p>
      <w:pPr>
        <w:spacing w:line="360" w:lineRule="auto"/>
        <w:ind w:firstLine="496" w:firstLineChars="200"/>
        <w:rPr>
          <w:rFonts w:hint="eastAsia" w:ascii="Times New Roman" w:eastAsia="宋体"/>
          <w:color w:val="auto"/>
          <w:u w:val="single"/>
          <w:lang w:val="en-US" w:eastAsia="zh-CN"/>
        </w:rPr>
      </w:pPr>
      <w:r>
        <w:rPr>
          <w:rFonts w:hint="eastAsia" w:ascii="Times New Roman" w:eastAsia="宋体"/>
          <w:color w:val="auto"/>
          <w:kern w:val="2"/>
          <w:szCs w:val="24"/>
          <w:u w:val="single"/>
          <w:lang w:val="en-US" w:eastAsia="zh-CN"/>
        </w:rPr>
        <w:t>②</w:t>
      </w:r>
      <w:r>
        <w:rPr>
          <w:rFonts w:hint="eastAsia" w:ascii="Times New Roman" w:eastAsia="宋体"/>
          <w:color w:val="auto"/>
          <w:u w:val="single"/>
          <w:lang w:val="zh-CN"/>
        </w:rPr>
        <w:t>发电机柴油箱泄漏</w:t>
      </w:r>
      <w:r>
        <w:rPr>
          <w:rFonts w:hint="eastAsia" w:ascii="Times New Roman" w:eastAsia="宋体"/>
          <w:color w:val="auto"/>
          <w:u w:val="single"/>
          <w:lang w:val="en-US" w:eastAsia="zh-CN"/>
        </w:rPr>
        <w:t>应急措施</w:t>
      </w:r>
    </w:p>
    <w:p>
      <w:pPr>
        <w:numPr>
          <w:ilvl w:val="0"/>
          <w:numId w:val="8"/>
        </w:numPr>
        <w:spacing w:line="360" w:lineRule="auto"/>
        <w:ind w:firstLine="496" w:firstLineChars="200"/>
        <w:rPr>
          <w:rFonts w:hint="default" w:ascii="Times New Roman" w:eastAsia="宋体"/>
          <w:color w:val="auto"/>
          <w:u w:val="single"/>
          <w:lang w:val="en-US" w:eastAsia="zh-CN"/>
        </w:rPr>
      </w:pPr>
      <w:r>
        <w:rPr>
          <w:rFonts w:hint="default" w:ascii="Times New Roman" w:eastAsia="宋体"/>
          <w:color w:val="auto"/>
          <w:u w:val="single"/>
          <w:lang w:val="en-US" w:eastAsia="zh-CN"/>
        </w:rPr>
        <w:t>关闭阀门：如果</w:t>
      </w:r>
      <w:r>
        <w:rPr>
          <w:rFonts w:hint="eastAsia" w:ascii="Times New Roman" w:eastAsia="宋体"/>
          <w:color w:val="auto"/>
          <w:u w:val="single"/>
          <w:lang w:val="en-US" w:eastAsia="zh-CN"/>
        </w:rPr>
        <w:t>发现柴油桶</w:t>
      </w:r>
      <w:r>
        <w:rPr>
          <w:rFonts w:hint="default" w:ascii="Times New Roman" w:eastAsia="宋体"/>
          <w:color w:val="auto"/>
          <w:u w:val="single"/>
          <w:lang w:val="en-US" w:eastAsia="zh-CN"/>
        </w:rPr>
        <w:t>泄漏，要立即</w:t>
      </w:r>
      <w:r>
        <w:rPr>
          <w:rFonts w:hint="eastAsia" w:ascii="Times New Roman" w:eastAsia="宋体"/>
          <w:color w:val="auto"/>
          <w:u w:val="single"/>
          <w:lang w:val="en-US" w:eastAsia="zh-CN"/>
        </w:rPr>
        <w:t>用吸油棉等进行堵漏</w:t>
      </w:r>
      <w:r>
        <w:rPr>
          <w:rFonts w:hint="default" w:ascii="Times New Roman" w:eastAsia="宋体"/>
          <w:color w:val="auto"/>
          <w:u w:val="single"/>
          <w:lang w:val="en-US" w:eastAsia="zh-CN"/>
        </w:rPr>
        <w:t>，防止柴油继续泄漏</w:t>
      </w:r>
      <w:r>
        <w:rPr>
          <w:rFonts w:hint="eastAsia" w:ascii="Times New Roman" w:eastAsia="宋体"/>
          <w:color w:val="auto"/>
          <w:u w:val="single"/>
          <w:lang w:val="en-US" w:eastAsia="zh-CN"/>
        </w:rPr>
        <w:t>，后更换容积</w:t>
      </w:r>
      <w:r>
        <w:rPr>
          <w:rFonts w:hint="default" w:ascii="Times New Roman" w:eastAsia="宋体"/>
          <w:color w:val="auto"/>
          <w:u w:val="single"/>
          <w:lang w:val="en-US" w:eastAsia="zh-CN"/>
        </w:rPr>
        <w:t>。</w:t>
      </w:r>
    </w:p>
    <w:p>
      <w:pPr>
        <w:numPr>
          <w:ilvl w:val="0"/>
          <w:numId w:val="8"/>
        </w:numPr>
        <w:spacing w:line="360" w:lineRule="auto"/>
        <w:ind w:firstLine="496" w:firstLineChars="200"/>
        <w:rPr>
          <w:rFonts w:hint="default" w:ascii="Times New Roman" w:eastAsia="宋体"/>
          <w:color w:val="auto"/>
          <w:u w:val="single"/>
          <w:lang w:val="en-US" w:eastAsia="zh-CN"/>
        </w:rPr>
      </w:pPr>
      <w:r>
        <w:rPr>
          <w:rFonts w:hint="default" w:ascii="Times New Roman" w:eastAsia="宋体"/>
          <w:color w:val="auto"/>
          <w:u w:val="single"/>
          <w:lang w:val="en-US" w:eastAsia="zh-CN"/>
        </w:rPr>
        <w:t>收集柴油：可以使用</w:t>
      </w:r>
      <w:r>
        <w:rPr>
          <w:rFonts w:hint="eastAsia" w:ascii="Times New Roman" w:eastAsia="宋体"/>
          <w:color w:val="auto"/>
          <w:u w:val="single"/>
          <w:lang w:val="en-US" w:eastAsia="zh-CN"/>
        </w:rPr>
        <w:t>沙土、</w:t>
      </w:r>
      <w:r>
        <w:rPr>
          <w:rFonts w:hint="default" w:ascii="Times New Roman" w:eastAsia="宋体"/>
          <w:color w:val="auto"/>
          <w:u w:val="single"/>
          <w:lang w:val="en-US" w:eastAsia="zh-CN"/>
        </w:rPr>
        <w:t>吸油棉等材料收集</w:t>
      </w:r>
      <w:r>
        <w:rPr>
          <w:rFonts w:hint="eastAsia" w:ascii="Times New Roman" w:eastAsia="宋体"/>
          <w:color w:val="auto"/>
          <w:u w:val="single"/>
          <w:lang w:val="en-US" w:eastAsia="zh-CN"/>
        </w:rPr>
        <w:t>泄露的</w:t>
      </w:r>
      <w:r>
        <w:rPr>
          <w:rFonts w:hint="default" w:ascii="Times New Roman" w:eastAsia="宋体"/>
          <w:color w:val="auto"/>
          <w:u w:val="single"/>
          <w:lang w:val="en-US" w:eastAsia="zh-CN"/>
        </w:rPr>
        <w:t>柴油，避免柴油继续</w:t>
      </w:r>
      <w:r>
        <w:rPr>
          <w:rFonts w:hint="eastAsia" w:ascii="Times New Roman" w:eastAsia="宋体"/>
          <w:color w:val="auto"/>
          <w:u w:val="single"/>
          <w:lang w:val="en-US" w:eastAsia="zh-CN"/>
        </w:rPr>
        <w:t>漫流</w:t>
      </w:r>
      <w:r>
        <w:rPr>
          <w:rFonts w:hint="default" w:ascii="Times New Roman" w:eastAsia="宋体"/>
          <w:color w:val="auto"/>
          <w:u w:val="single"/>
          <w:lang w:val="en-US" w:eastAsia="zh-CN"/>
        </w:rPr>
        <w:t>。</w:t>
      </w:r>
    </w:p>
    <w:p>
      <w:pPr>
        <w:numPr>
          <w:ilvl w:val="0"/>
          <w:numId w:val="8"/>
        </w:numPr>
        <w:spacing w:line="360" w:lineRule="auto"/>
        <w:ind w:firstLine="496" w:firstLineChars="200"/>
        <w:rPr>
          <w:rFonts w:hint="default" w:ascii="Times New Roman" w:eastAsia="宋体"/>
          <w:color w:val="auto"/>
          <w:u w:val="single"/>
          <w:lang w:val="en-US" w:eastAsia="zh-CN"/>
        </w:rPr>
      </w:pPr>
      <w:r>
        <w:rPr>
          <w:rFonts w:hint="default" w:ascii="Times New Roman" w:eastAsia="宋体"/>
          <w:color w:val="auto"/>
          <w:u w:val="single"/>
          <w:lang w:val="en-US" w:eastAsia="zh-CN"/>
        </w:rPr>
        <w:t>清洗污染物：可以使用清洗剂等设备清洗污染物，将污染物清除干净</w:t>
      </w:r>
      <w:r>
        <w:rPr>
          <w:rFonts w:hint="eastAsia" w:ascii="Times New Roman" w:eastAsia="宋体"/>
          <w:color w:val="auto"/>
          <w:u w:val="single"/>
          <w:lang w:val="en-US" w:eastAsia="zh-CN"/>
        </w:rPr>
        <w:t>，，并将沾油的废棉布、沙土、废容器等收集后交由有资质的单位处理</w:t>
      </w:r>
      <w:r>
        <w:rPr>
          <w:rFonts w:hint="default" w:ascii="Times New Roman" w:eastAsia="宋体"/>
          <w:color w:val="auto"/>
          <w:u w:val="single"/>
          <w:lang w:val="en-US" w:eastAsia="zh-CN"/>
        </w:rPr>
        <w:t xml:space="preserve">。 </w:t>
      </w:r>
    </w:p>
    <w:p>
      <w:pPr>
        <w:spacing w:line="360" w:lineRule="auto"/>
        <w:ind w:firstLine="482"/>
        <w:rPr>
          <w:rFonts w:ascii="Times New Roman" w:eastAsia="宋体"/>
          <w:color w:val="auto"/>
          <w:lang w:val="zh-CN"/>
        </w:rPr>
      </w:pPr>
      <w:r>
        <w:rPr>
          <w:rFonts w:hint="eastAsia" w:ascii="Times New Roman" w:eastAsia="宋体"/>
          <w:color w:val="auto"/>
          <w:lang w:val="zh-CN"/>
        </w:rPr>
        <w:t>（2）火灾和爆炸的预防</w:t>
      </w:r>
    </w:p>
    <w:p>
      <w:pPr>
        <w:spacing w:line="360" w:lineRule="auto"/>
        <w:ind w:firstLine="482"/>
        <w:rPr>
          <w:rFonts w:ascii="Times New Roman" w:eastAsia="宋体"/>
          <w:color w:val="auto"/>
          <w:lang w:val="zh-CN"/>
        </w:rPr>
      </w:pPr>
      <w:r>
        <w:rPr>
          <w:rFonts w:hint="eastAsia" w:ascii="Times New Roman" w:eastAsia="宋体"/>
          <w:color w:val="auto"/>
          <w:lang w:val="zh-CN"/>
        </w:rPr>
        <w:t>①定期对设备进行安全检测，检测内容、时间、人员应有记录保存，安全检测应根据设备的安全性、危险性设定检测频次。</w:t>
      </w:r>
    </w:p>
    <w:p>
      <w:pPr>
        <w:spacing w:line="360" w:lineRule="auto"/>
        <w:ind w:firstLine="482"/>
        <w:rPr>
          <w:rFonts w:ascii="Times New Roman" w:eastAsia="宋体"/>
          <w:color w:val="auto"/>
          <w:lang w:val="zh-CN"/>
        </w:rPr>
      </w:pPr>
      <w:r>
        <w:rPr>
          <w:rFonts w:hint="eastAsia" w:ascii="Times New Roman" w:eastAsia="宋体"/>
          <w:color w:val="auto"/>
          <w:lang w:val="zh-CN"/>
        </w:rPr>
        <w:t>②火源管理</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a、严禁火源进入柴油发电机存放处，对明火严格控制；</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b、对设备维修检查，需进行维修焊接，应经安全部门确认、准许，并有记录在案，另外，在危险区作业是不能使用能产生撞击火花的金属物体，应用铜工具，如用钢工具，表面应涂黄油；</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c、在装置区内的所有设备，电气装置都应满足防爆防火的要求。</w:t>
      </w:r>
    </w:p>
    <w:p>
      <w:pPr>
        <w:spacing w:line="360" w:lineRule="auto"/>
        <w:ind w:firstLine="496" w:firstLineChars="200"/>
        <w:rPr>
          <w:rFonts w:ascii="Times New Roman" w:eastAsia="宋体"/>
          <w:color w:val="auto"/>
          <w:kern w:val="2"/>
          <w:szCs w:val="24"/>
        </w:rPr>
      </w:pPr>
      <w:r>
        <w:rPr>
          <w:rFonts w:hint="eastAsia" w:hAnsi="宋体" w:eastAsia="宋体" w:cs="宋体"/>
          <w:color w:val="auto"/>
          <w:kern w:val="2"/>
          <w:szCs w:val="24"/>
        </w:rPr>
        <w:t>④</w:t>
      </w:r>
      <w:r>
        <w:rPr>
          <w:rFonts w:ascii="Times New Roman" w:eastAsia="宋体"/>
          <w:color w:val="auto"/>
          <w:kern w:val="2"/>
          <w:szCs w:val="24"/>
        </w:rPr>
        <w:t>发电机柴油箱在</w:t>
      </w:r>
      <w:r>
        <w:rPr>
          <w:rFonts w:hint="eastAsia" w:ascii="Times New Roman" w:eastAsia="宋体"/>
          <w:color w:val="auto"/>
          <w:kern w:val="2"/>
          <w:szCs w:val="24"/>
          <w:lang w:val="en-US" w:eastAsia="zh-CN"/>
        </w:rPr>
        <w:t>使用</w:t>
      </w:r>
      <w:r>
        <w:rPr>
          <w:rFonts w:ascii="Times New Roman" w:eastAsia="宋体"/>
          <w:color w:val="auto"/>
          <w:kern w:val="2"/>
          <w:szCs w:val="24"/>
        </w:rPr>
        <w:t>过程要密闭化，严防跑冒滴漏。</w:t>
      </w:r>
    </w:p>
    <w:p>
      <w:pPr>
        <w:spacing w:line="360" w:lineRule="auto"/>
        <w:ind w:firstLine="496" w:firstLineChars="200"/>
        <w:rPr>
          <w:rFonts w:ascii="Times New Roman" w:eastAsia="宋体"/>
          <w:color w:val="auto"/>
          <w:kern w:val="2"/>
          <w:szCs w:val="24"/>
        </w:rPr>
      </w:pPr>
      <w:r>
        <w:rPr>
          <w:rFonts w:hint="eastAsia" w:hAnsi="宋体" w:eastAsia="宋体" w:cs="宋体"/>
          <w:color w:val="auto"/>
          <w:kern w:val="2"/>
          <w:szCs w:val="24"/>
        </w:rPr>
        <w:t>⑤</w:t>
      </w:r>
      <w:r>
        <w:rPr>
          <w:rFonts w:ascii="Times New Roman" w:eastAsia="宋体"/>
          <w:color w:val="auto"/>
          <w:kern w:val="2"/>
          <w:szCs w:val="24"/>
        </w:rPr>
        <w:t>人员的管理</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a、加强发电机柴油箱安全知识的宣传，加强对有关人员的培训教育和考核；</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b、严格规章制度和安全操作规程，强化安全监督检查和管理；</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c、设专职人员进行监理和维护，严禁其他人员进入。</w:t>
      </w:r>
    </w:p>
    <w:p>
      <w:pPr>
        <w:spacing w:line="360" w:lineRule="auto"/>
        <w:ind w:firstLine="496" w:firstLineChars="200"/>
        <w:rPr>
          <w:rFonts w:hint="eastAsia" w:ascii="Times New Roman" w:eastAsia="宋体"/>
          <w:color w:val="auto"/>
          <w:u w:val="single"/>
          <w:lang w:val="en-US" w:eastAsia="zh-CN"/>
        </w:rPr>
      </w:pPr>
      <w:r>
        <w:rPr>
          <w:rFonts w:hint="eastAsia" w:ascii="Times New Roman" w:eastAsia="宋体"/>
          <w:color w:val="auto"/>
          <w:kern w:val="2"/>
          <w:szCs w:val="24"/>
          <w:u w:val="single"/>
          <w:lang w:val="en-US" w:eastAsia="zh-CN"/>
        </w:rPr>
        <w:t>⑥</w:t>
      </w:r>
      <w:r>
        <w:rPr>
          <w:rFonts w:hint="eastAsia" w:ascii="Times New Roman" w:eastAsia="宋体"/>
          <w:color w:val="auto"/>
          <w:u w:val="single"/>
          <w:lang w:val="zh-CN"/>
        </w:rPr>
        <w:t>火灾和爆炸的</w:t>
      </w:r>
      <w:r>
        <w:rPr>
          <w:rFonts w:hint="eastAsia" w:ascii="Times New Roman" w:eastAsia="宋体"/>
          <w:color w:val="auto"/>
          <w:u w:val="single"/>
          <w:lang w:val="en-US" w:eastAsia="zh-CN"/>
        </w:rPr>
        <w:t>应急措施</w:t>
      </w:r>
    </w:p>
    <w:p>
      <w:pPr>
        <w:spacing w:line="360" w:lineRule="auto"/>
        <w:ind w:firstLine="496" w:firstLineChars="200"/>
        <w:rPr>
          <w:rFonts w:hint="eastAsia" w:ascii="Times New Roman" w:eastAsia="宋体"/>
          <w:color w:val="auto"/>
          <w:u w:val="single"/>
          <w:lang w:val="en-US" w:eastAsia="zh-CN"/>
        </w:rPr>
      </w:pPr>
      <w:r>
        <w:rPr>
          <w:rFonts w:hint="eastAsia" w:ascii="Times New Roman" w:eastAsia="宋体"/>
          <w:color w:val="auto"/>
          <w:u w:val="single"/>
          <w:lang w:val="en-US" w:eastAsia="zh-CN"/>
        </w:rPr>
        <w:t>存放柴油的房内应装有干粉灭火器。当发生火灾时，现场发现人员应立即使用灭火器对火势进行控制，尽快灭火。火势大到无法扑灭时，通知当地消防部门并组织全体人员应迅速撤离到安全区域。</w:t>
      </w:r>
    </w:p>
    <w:p>
      <w:pPr>
        <w:spacing w:line="360" w:lineRule="auto"/>
        <w:ind w:firstLine="482"/>
        <w:rPr>
          <w:rFonts w:ascii="Times New Roman" w:eastAsia="宋体"/>
          <w:color w:val="auto"/>
          <w:lang w:val="zh-CN"/>
        </w:rPr>
      </w:pPr>
      <w:r>
        <w:rPr>
          <w:rFonts w:hint="eastAsia" w:ascii="Times New Roman" w:eastAsia="宋体"/>
          <w:color w:val="auto"/>
          <w:lang w:val="zh-CN"/>
        </w:rPr>
        <w:t>（2）废水事故排放风险防范措施</w:t>
      </w:r>
    </w:p>
    <w:p>
      <w:pPr>
        <w:spacing w:line="360" w:lineRule="auto"/>
        <w:ind w:firstLine="482"/>
        <w:rPr>
          <w:rFonts w:ascii="Times New Roman" w:eastAsia="宋体"/>
          <w:color w:val="auto"/>
          <w:lang w:val="zh-CN"/>
        </w:rPr>
      </w:pPr>
      <w:r>
        <w:rPr>
          <w:rFonts w:hint="eastAsia" w:ascii="Times New Roman" w:eastAsia="宋体"/>
          <w:color w:val="auto"/>
          <w:lang w:val="zh-CN"/>
        </w:rPr>
        <w:t>为避免项目产生的废水发生泄漏等事故性排放对周围环境产生影响，拟采用以下风险防范措施：</w:t>
      </w:r>
    </w:p>
    <w:p>
      <w:pPr>
        <w:spacing w:line="360" w:lineRule="auto"/>
        <w:ind w:firstLine="482"/>
        <w:rPr>
          <w:rFonts w:ascii="Times New Roman" w:eastAsia="宋体"/>
          <w:color w:val="auto"/>
          <w:lang w:val="zh-CN"/>
        </w:rPr>
      </w:pPr>
      <w:r>
        <w:rPr>
          <w:rFonts w:hint="eastAsia" w:ascii="Times New Roman" w:eastAsia="宋体"/>
          <w:color w:val="auto"/>
          <w:lang w:val="zh-CN"/>
        </w:rPr>
        <w:t>①为了防止雨季雨水进入废水处理工程导致污水量增加，而造成废水溢流等事故性排放，避免污水处理站产生的恶臭气体对周围环境产生影响，建设单位拟对废水处理工程进行加盖封闭处理，可有效避免雨水进入废水处理工程，避免由此引发废水的事故性排放。</w:t>
      </w:r>
    </w:p>
    <w:p>
      <w:pPr>
        <w:spacing w:line="360" w:lineRule="auto"/>
        <w:ind w:firstLine="482"/>
        <w:rPr>
          <w:rFonts w:ascii="Times New Roman" w:eastAsia="宋体"/>
          <w:color w:val="auto"/>
          <w:lang w:val="zh-CN"/>
        </w:rPr>
      </w:pPr>
      <w:r>
        <w:rPr>
          <w:rFonts w:hint="eastAsia" w:ascii="Times New Roman" w:eastAsia="宋体"/>
          <w:color w:val="auto"/>
          <w:lang w:val="zh-CN"/>
        </w:rPr>
        <w:t>②场区内实施雨污分流。</w:t>
      </w:r>
    </w:p>
    <w:p>
      <w:pPr>
        <w:spacing w:line="360" w:lineRule="auto"/>
        <w:ind w:firstLine="482"/>
        <w:rPr>
          <w:rFonts w:ascii="Times New Roman" w:eastAsia="宋体"/>
          <w:color w:val="auto"/>
          <w:lang w:val="zh-CN"/>
        </w:rPr>
      </w:pPr>
      <w:r>
        <w:rPr>
          <w:rFonts w:hint="eastAsia" w:ascii="Times New Roman" w:eastAsia="宋体"/>
          <w:color w:val="auto"/>
          <w:lang w:val="zh-CN"/>
        </w:rPr>
        <w:t>③项目废水处理工程容积较大，可长期、大量贮存废水，可有效保证废水不外排。</w:t>
      </w:r>
    </w:p>
    <w:p>
      <w:pPr>
        <w:spacing w:line="360" w:lineRule="auto"/>
        <w:ind w:firstLine="482"/>
        <w:rPr>
          <w:rFonts w:ascii="Times New Roman" w:eastAsia="宋体"/>
          <w:color w:val="auto"/>
          <w:lang w:val="zh-CN"/>
        </w:rPr>
      </w:pPr>
      <w:r>
        <w:rPr>
          <w:rFonts w:hint="eastAsia" w:ascii="Times New Roman" w:eastAsia="宋体"/>
          <w:color w:val="auto"/>
          <w:lang w:val="zh-CN"/>
        </w:rPr>
        <w:t>④定期检查废水处理工程的设施状况，做到早发现、早补救。</w:t>
      </w:r>
    </w:p>
    <w:p>
      <w:pPr>
        <w:spacing w:line="360" w:lineRule="auto"/>
        <w:ind w:firstLine="482"/>
        <w:rPr>
          <w:rFonts w:ascii="Times New Roman" w:eastAsia="宋体"/>
          <w:color w:val="auto"/>
          <w:lang w:val="zh-CN"/>
        </w:rPr>
      </w:pPr>
      <w:r>
        <w:rPr>
          <w:rFonts w:hint="eastAsia" w:ascii="Times New Roman" w:eastAsia="宋体"/>
          <w:color w:val="auto"/>
          <w:lang w:val="zh-CN"/>
        </w:rPr>
        <w:t>采用上述风险防范措施后，如企业能加强管理，可有效避免项目废水的事故性排放。</w:t>
      </w:r>
    </w:p>
    <w:p>
      <w:pPr>
        <w:spacing w:line="360" w:lineRule="auto"/>
        <w:ind w:firstLine="482"/>
        <w:rPr>
          <w:rFonts w:ascii="Times New Roman" w:eastAsia="宋体"/>
          <w:color w:val="auto"/>
          <w:lang w:val="zh-CN"/>
        </w:rPr>
      </w:pPr>
      <w:r>
        <w:rPr>
          <w:rFonts w:hint="eastAsia" w:ascii="Times New Roman" w:eastAsia="宋体"/>
          <w:color w:val="auto"/>
          <w:lang w:val="zh-CN"/>
        </w:rPr>
        <w:t>（2）疾病事故风险防范措施</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一旦发生鸡瘟，将影响全场肉鸡的健康，导致肉鸡大批死亡，严重影响项目效益。为了避免疫病发生，应建立好良好的防范措施。</w:t>
      </w:r>
    </w:p>
    <w:p>
      <w:pPr>
        <w:spacing w:line="360" w:lineRule="auto"/>
        <w:ind w:firstLine="496" w:firstLineChars="200"/>
        <w:rPr>
          <w:rFonts w:ascii="Times New Roman" w:eastAsia="宋体"/>
          <w:color w:val="auto"/>
          <w:kern w:val="2"/>
          <w:szCs w:val="24"/>
        </w:rPr>
      </w:pPr>
      <w:r>
        <w:rPr>
          <w:rFonts w:hint="eastAsia" w:hAnsi="宋体" w:eastAsia="宋体" w:cs="宋体"/>
          <w:color w:val="auto"/>
          <w:kern w:val="2"/>
          <w:szCs w:val="24"/>
        </w:rPr>
        <w:t>①</w:t>
      </w:r>
      <w:r>
        <w:rPr>
          <w:rFonts w:ascii="Times New Roman" w:eastAsia="宋体"/>
          <w:color w:val="auto"/>
          <w:kern w:val="2"/>
          <w:szCs w:val="24"/>
        </w:rPr>
        <w:t>卫生防疫是畜禽养殖的关键之一。为防止疫情的发生，保证项目的顺利实施，建议企业设立专门机构，配备高层次的技术管理人员专门负责全场的卫生防疫工作。对饲养人员建立严格的岗位培训，合格后上岗。</w:t>
      </w:r>
    </w:p>
    <w:p>
      <w:pPr>
        <w:spacing w:line="360" w:lineRule="auto"/>
        <w:ind w:firstLine="496" w:firstLineChars="200"/>
        <w:rPr>
          <w:rFonts w:ascii="Times New Roman" w:eastAsia="宋体"/>
          <w:color w:val="auto"/>
          <w:kern w:val="2"/>
          <w:szCs w:val="24"/>
        </w:rPr>
      </w:pPr>
      <w:r>
        <w:rPr>
          <w:rFonts w:hint="eastAsia" w:hAnsi="宋体" w:eastAsia="宋体" w:cs="宋体"/>
          <w:color w:val="auto"/>
          <w:kern w:val="2"/>
          <w:szCs w:val="24"/>
        </w:rPr>
        <w:t>②</w:t>
      </w:r>
      <w:r>
        <w:rPr>
          <w:rFonts w:ascii="Times New Roman" w:eastAsia="宋体"/>
          <w:color w:val="auto"/>
          <w:kern w:val="2"/>
          <w:szCs w:val="24"/>
        </w:rPr>
        <w:t>根据操作规范要求，制定卫生防疫实施细则；设置卫生管理机构，并配有经培训合格的专门兽医技术人员，保证规范的实施。</w:t>
      </w:r>
    </w:p>
    <w:p>
      <w:pPr>
        <w:spacing w:line="360" w:lineRule="auto"/>
        <w:ind w:firstLine="482"/>
        <w:rPr>
          <w:rFonts w:ascii="Times New Roman" w:eastAsia="宋体"/>
          <w:color w:val="auto"/>
          <w:lang w:val="zh-CN"/>
        </w:rPr>
      </w:pPr>
      <w:r>
        <w:rPr>
          <w:rFonts w:hint="eastAsia" w:ascii="Times New Roman" w:eastAsia="宋体"/>
          <w:color w:val="auto"/>
          <w:lang w:val="zh-CN"/>
        </w:rPr>
        <w:t>③防疫原则</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为防止疫病发生，保护健康，防止人禽疾病的传播，养鸡场必须按防疫规定，采取防疫和治疗相结合的方针，定期检疫，发现疫病及时治疗处理。总原则如下：</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a. 在非防疫区建场或引种；</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b. 根据不同饲养阶段，定期、定时按国家主管部门或地方规定的免疫程序进行免疫接种；</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c. 生产区应分别设置清洁道和污染道，并设有一定的标志，不可避免的道路交叉，应定期进行必要的消毒；</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d. 非场内车辆和人员不得进入场区内；</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e. 车辆和工作人员进入鸡场内，必须进行强制消毒后方可进入岗位；不同岗位的工作服、鞋、帽等应有不同的标志，每个工作人员不得串岗舍；</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f. 鸡只入舍前或周转后，养殖栏舍应进行严格清洗和消毒，按规定要求空闲一定时间，再转入新的鸡只；</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g. 弱、病、死鸡不允许在场区内剖检，应在规定的地点或室内进行，并应妥善安全处理。</w:t>
      </w:r>
    </w:p>
    <w:p>
      <w:pPr>
        <w:spacing w:line="360" w:lineRule="auto"/>
        <w:ind w:firstLine="482"/>
        <w:rPr>
          <w:rFonts w:ascii="Times New Roman" w:eastAsia="宋体"/>
          <w:color w:val="auto"/>
          <w:lang w:val="zh-CN"/>
        </w:rPr>
      </w:pPr>
      <w:r>
        <w:rPr>
          <w:rFonts w:hint="eastAsia" w:ascii="Times New Roman" w:eastAsia="宋体"/>
          <w:color w:val="auto"/>
          <w:lang w:val="zh-CN"/>
        </w:rPr>
        <w:t>④疫病防治措施</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a. 建立人员车辆出入登记制度，任何车辆及生产人员未经消毒不得进入生产区。</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b. 鸡场生产区出入口设立车辆消毒池，对进场车辆进行消毒，鸡场每月进行一次全场大消毒。</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c. 养鸡场员工不得互串养殖区，各养殖区的生产工具不得互用。养鸡场不得饲养其他畜禽，禁止将畜禽及其产品带入场区。</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d. 病死鸡仅可作无害化处理，尸体接触的器具和环境作好清洁及消毒工作。淘汰及出售肉鸡应经检疫并取得检疫合格证明后方可出场，运鸡车辆必须经过严格消毒后进入指定区域装车。</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e. 当鸡只发生疑似传染病或附近养殖场出现烈性传染病时，应立即采取隔离封锁和其他应急措施。</w:t>
      </w:r>
    </w:p>
    <w:p>
      <w:pPr>
        <w:spacing w:line="360" w:lineRule="auto"/>
        <w:ind w:firstLine="482"/>
        <w:rPr>
          <w:rFonts w:ascii="Times New Roman" w:eastAsia="宋体"/>
          <w:color w:val="auto"/>
          <w:lang w:val="zh-CN"/>
        </w:rPr>
      </w:pPr>
      <w:r>
        <w:rPr>
          <w:rFonts w:hint="eastAsia" w:ascii="Times New Roman" w:eastAsia="宋体"/>
          <w:color w:val="auto"/>
          <w:lang w:val="zh-CN"/>
        </w:rPr>
        <w:t>⑤强制免疫措施</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按免疫程序做好各阶段鸡的免疫注射工作，免疫注射密度要达到100%，同时要对疫苗的批次、注射时间、注射的品种及头数进行详细的记录，以便查验；疫苗均由防疫单位携带入场，免疫时做好详细记录。注射所用的针头、针管等器具应事先进行消毒。注射量严格按照疫苗说明进行。</w:t>
      </w:r>
    </w:p>
    <w:p>
      <w:pPr>
        <w:keepNext/>
        <w:keepLines/>
        <w:spacing w:before="160" w:after="163" w:line="360" w:lineRule="auto"/>
        <w:outlineLvl w:val="3"/>
        <w:rPr>
          <w:rFonts w:ascii="Times New Roman" w:eastAsia="宋体"/>
          <w:b/>
          <w:bCs/>
          <w:color w:val="auto"/>
          <w:kern w:val="2"/>
          <w:szCs w:val="28"/>
        </w:rPr>
      </w:pPr>
      <w:bookmarkStart w:id="468" w:name="_Toc22503"/>
      <w:r>
        <w:rPr>
          <w:rFonts w:ascii="Times New Roman" w:eastAsia="宋体"/>
          <w:b/>
          <w:bCs/>
          <w:color w:val="auto"/>
          <w:kern w:val="2"/>
          <w:szCs w:val="28"/>
        </w:rPr>
        <w:t>5.2.</w:t>
      </w:r>
      <w:r>
        <w:rPr>
          <w:rFonts w:hint="eastAsia" w:ascii="Times New Roman" w:eastAsia="宋体"/>
          <w:b/>
          <w:bCs/>
          <w:color w:val="auto"/>
          <w:kern w:val="2"/>
          <w:szCs w:val="28"/>
        </w:rPr>
        <w:t>9</w:t>
      </w:r>
      <w:r>
        <w:rPr>
          <w:rFonts w:ascii="Times New Roman" w:eastAsia="宋体"/>
          <w:b/>
          <w:bCs/>
          <w:color w:val="auto"/>
          <w:kern w:val="2"/>
          <w:szCs w:val="28"/>
        </w:rPr>
        <w:t>.6突发事件应急预案</w:t>
      </w:r>
      <w:bookmarkEnd w:id="468"/>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企业应根据其自身生产的特点，编制突发环境风险事件应急预案，在发生风险事故时能以最快的速度发挥最大的效能，有序的实施救援，尽快控制事态的发展，降低环境事故造成的危害，减少环境事故造成的损失。</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一般应急预案应包括以下内容，见下表。</w:t>
      </w:r>
    </w:p>
    <w:p>
      <w:pPr>
        <w:jc w:val="center"/>
        <w:rPr>
          <w:rFonts w:ascii="Times New Roman" w:eastAsia="宋体"/>
          <w:b/>
          <w:color w:val="auto"/>
          <w:sz w:val="21"/>
        </w:rPr>
      </w:pPr>
      <w:r>
        <w:rPr>
          <w:rFonts w:ascii="Times New Roman" w:eastAsia="宋体"/>
          <w:b/>
          <w:color w:val="auto"/>
          <w:sz w:val="21"/>
        </w:rPr>
        <w:t>表5.2-2</w:t>
      </w:r>
      <w:r>
        <w:rPr>
          <w:rFonts w:hint="eastAsia" w:ascii="Times New Roman" w:eastAsia="宋体"/>
          <w:b/>
          <w:color w:val="auto"/>
          <w:sz w:val="21"/>
        </w:rPr>
        <w:t>4</w:t>
      </w:r>
      <w:r>
        <w:rPr>
          <w:rFonts w:ascii="Times New Roman" w:eastAsia="宋体"/>
          <w:b/>
          <w:color w:val="auto"/>
          <w:sz w:val="21"/>
        </w:rPr>
        <w:t>应急预案内容</w:t>
      </w:r>
    </w:p>
    <w:tbl>
      <w:tblPr>
        <w:tblStyle w:val="4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408"/>
        <w:gridCol w:w="54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序号</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项目</w:t>
            </w:r>
          </w:p>
        </w:tc>
        <w:tc>
          <w:tcPr>
            <w:tcW w:w="5437"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内容及要求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1</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应急计划区</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原料储存区、成品库、环境保护目标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2</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应急组织机构、人员</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企业应急组织机构、人员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3</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预案分级响应条件</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规定预案的级别及分级响应程序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4</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应急救援保障</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应急设施，设备与器材等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5</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报警、通讯联络方式</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规定应急状态下的报警通讯方式、通知方式和交通保障、管制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6</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应急环境监测、抢救、救援及控制措施</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由专业队伍负责对事故现场进行侦察监测，对事故性质、参数与后果进行评估，为指挥部门提供决策依据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7</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应急检测、防护措施、清除泄漏措施和器材</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事故现场、邻近区域、控制防火区域，控制和清除污染措施及相应设备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8</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人员紧急撤离、疏散，应急剂量控制、撤离组织计划</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事故现场、工厂邻近区、受事故影响的区域人员及公众对毒物应急剂量控制规定，撤离组织计划及救护，医疗救护与公众健康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9</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事故应急救援关闭程序与恢复措施</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规定应急状态终止程序</w:t>
            </w:r>
          </w:p>
          <w:p>
            <w:pPr>
              <w:snapToGrid w:val="0"/>
              <w:jc w:val="left"/>
              <w:rPr>
                <w:rFonts w:ascii="Times New Roman" w:eastAsia="宋体"/>
                <w:color w:val="auto"/>
                <w:spacing w:val="4"/>
                <w:sz w:val="21"/>
                <w:szCs w:val="21"/>
              </w:rPr>
            </w:pPr>
            <w:r>
              <w:rPr>
                <w:rFonts w:ascii="Times New Roman" w:eastAsia="宋体"/>
                <w:color w:val="auto"/>
                <w:spacing w:val="4"/>
                <w:sz w:val="21"/>
                <w:szCs w:val="21"/>
              </w:rPr>
              <w:t>事故现场善后处理，恢复措施</w:t>
            </w:r>
          </w:p>
          <w:p>
            <w:pPr>
              <w:snapToGrid w:val="0"/>
              <w:jc w:val="left"/>
              <w:rPr>
                <w:rFonts w:ascii="Times New Roman" w:eastAsia="宋体"/>
                <w:color w:val="auto"/>
                <w:spacing w:val="4"/>
                <w:sz w:val="21"/>
                <w:szCs w:val="21"/>
              </w:rPr>
            </w:pPr>
            <w:r>
              <w:rPr>
                <w:rFonts w:ascii="Times New Roman" w:eastAsia="宋体"/>
                <w:color w:val="auto"/>
                <w:spacing w:val="4"/>
                <w:sz w:val="21"/>
                <w:szCs w:val="21"/>
              </w:rPr>
              <w:t>邻近区域解除事故警戒及善后恢复措施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10</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应急培训计划</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应急计划制定后，平时安排人员培训与演练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11</w:t>
            </w:r>
          </w:p>
        </w:tc>
        <w:tc>
          <w:tcPr>
            <w:tcW w:w="2410" w:type="dxa"/>
            <w:tcBorders>
              <w:tl2br w:val="nil"/>
              <w:tr2bl w:val="nil"/>
            </w:tcBorders>
            <w:vAlign w:val="center"/>
          </w:tcPr>
          <w:p>
            <w:pPr>
              <w:snapToGrid w:val="0"/>
              <w:jc w:val="center"/>
              <w:rPr>
                <w:rFonts w:ascii="Times New Roman" w:eastAsia="宋体"/>
                <w:color w:val="auto"/>
                <w:spacing w:val="4"/>
                <w:sz w:val="21"/>
                <w:szCs w:val="21"/>
              </w:rPr>
            </w:pPr>
            <w:r>
              <w:rPr>
                <w:rFonts w:ascii="Times New Roman" w:eastAsia="宋体"/>
                <w:color w:val="auto"/>
                <w:spacing w:val="4"/>
                <w:sz w:val="21"/>
                <w:szCs w:val="21"/>
              </w:rPr>
              <w:t>公众教育和信息</w:t>
            </w:r>
          </w:p>
        </w:tc>
        <w:tc>
          <w:tcPr>
            <w:tcW w:w="5437" w:type="dxa"/>
            <w:tcBorders>
              <w:tl2br w:val="nil"/>
              <w:tr2bl w:val="nil"/>
            </w:tcBorders>
            <w:vAlign w:val="center"/>
          </w:tcPr>
          <w:p>
            <w:pPr>
              <w:snapToGrid w:val="0"/>
              <w:jc w:val="left"/>
              <w:rPr>
                <w:rFonts w:ascii="Times New Roman" w:eastAsia="宋体"/>
                <w:color w:val="auto"/>
                <w:spacing w:val="4"/>
                <w:sz w:val="21"/>
                <w:szCs w:val="21"/>
              </w:rPr>
            </w:pPr>
            <w:r>
              <w:rPr>
                <w:rFonts w:ascii="Times New Roman" w:eastAsia="宋体"/>
                <w:color w:val="auto"/>
                <w:spacing w:val="4"/>
                <w:sz w:val="21"/>
                <w:szCs w:val="21"/>
              </w:rPr>
              <w:t>对工厂邻近地区开展公共教育、培训和发布有关信息</w:t>
            </w:r>
          </w:p>
        </w:tc>
      </w:tr>
    </w:tbl>
    <w:p>
      <w:pPr>
        <w:keepNext/>
        <w:keepLines/>
        <w:spacing w:before="160" w:after="163" w:line="360" w:lineRule="auto"/>
        <w:outlineLvl w:val="3"/>
        <w:rPr>
          <w:rFonts w:ascii="Times New Roman" w:eastAsia="宋体"/>
          <w:b/>
          <w:bCs/>
          <w:color w:val="auto"/>
          <w:kern w:val="2"/>
          <w:szCs w:val="28"/>
        </w:rPr>
      </w:pPr>
      <w:bookmarkStart w:id="469" w:name="_Toc12394"/>
      <w:r>
        <w:rPr>
          <w:rFonts w:ascii="Times New Roman" w:eastAsia="宋体"/>
          <w:b/>
          <w:bCs/>
          <w:color w:val="auto"/>
          <w:kern w:val="2"/>
          <w:szCs w:val="28"/>
        </w:rPr>
        <w:t>5.2.</w:t>
      </w:r>
      <w:r>
        <w:rPr>
          <w:rFonts w:hint="eastAsia" w:ascii="Times New Roman" w:eastAsia="宋体"/>
          <w:b/>
          <w:bCs/>
          <w:color w:val="auto"/>
          <w:kern w:val="2"/>
          <w:szCs w:val="28"/>
        </w:rPr>
        <w:t>9</w:t>
      </w:r>
      <w:r>
        <w:rPr>
          <w:rFonts w:ascii="Times New Roman" w:eastAsia="宋体"/>
          <w:b/>
          <w:bCs/>
          <w:color w:val="auto"/>
          <w:kern w:val="2"/>
          <w:szCs w:val="28"/>
        </w:rPr>
        <w:t>.7分析结论</w:t>
      </w:r>
      <w:bookmarkEnd w:id="469"/>
    </w:p>
    <w:p>
      <w:pPr>
        <w:spacing w:line="360" w:lineRule="auto"/>
        <w:ind w:firstLine="496" w:firstLineChars="200"/>
        <w:rPr>
          <w:rFonts w:ascii="Times New Roman" w:eastAsia="宋体"/>
          <w:bCs/>
          <w:color w:val="auto"/>
          <w:kern w:val="2"/>
          <w:szCs w:val="24"/>
        </w:rPr>
      </w:pPr>
      <w:r>
        <w:rPr>
          <w:rFonts w:ascii="Times New Roman" w:eastAsia="宋体"/>
          <w:color w:val="auto"/>
          <w:kern w:val="2"/>
          <w:szCs w:val="24"/>
        </w:rPr>
        <w:t>建设项目环境风险主要表现在柴油发生泄漏，进而引起火灾、爆炸、中毒，以及污染处理设施运行过程风险和卫生风险。建设单位应做好风险防范措施，并制定应急预案，降低事故发生概率和影响程度</w:t>
      </w:r>
      <w:r>
        <w:rPr>
          <w:rFonts w:ascii="Times New Roman" w:eastAsia="宋体"/>
          <w:color w:val="auto"/>
          <w:szCs w:val="24"/>
        </w:rPr>
        <w:t>，</w:t>
      </w:r>
      <w:r>
        <w:rPr>
          <w:rFonts w:ascii="Times New Roman" w:eastAsia="宋体"/>
          <w:color w:val="auto"/>
          <w:kern w:val="2"/>
          <w:szCs w:val="24"/>
        </w:rPr>
        <w:t>当出现事故时，要采取紧急的工程应急措施，如必要时，采取社会应急措施，以控制事故和减少对环境及人群健康造成的危害。集约化养殖场病疫发生有自身的特点，如企业加强管理，做好预防工作，经常消毒，并建立疫病监测制度，在疫病发生时能严格按照应急计划执行，本评价认为本项目环境风险是可以接受的。</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建设项目环境风险简单分析内容见表5.2-2</w:t>
      </w:r>
      <w:r>
        <w:rPr>
          <w:rFonts w:hint="eastAsia" w:ascii="Times New Roman" w:eastAsia="宋体"/>
          <w:color w:val="auto"/>
          <w:kern w:val="2"/>
          <w:szCs w:val="24"/>
        </w:rPr>
        <w:t>5</w:t>
      </w:r>
      <w:r>
        <w:rPr>
          <w:rFonts w:ascii="Times New Roman" w:eastAsia="宋体"/>
          <w:color w:val="auto"/>
          <w:kern w:val="2"/>
          <w:szCs w:val="24"/>
        </w:rPr>
        <w:t>。</w:t>
      </w:r>
      <w:r>
        <w:rPr>
          <w:rFonts w:hint="eastAsia" w:ascii="Times New Roman" w:eastAsia="宋体"/>
          <w:color w:val="auto"/>
          <w:kern w:val="2"/>
          <w:szCs w:val="24"/>
        </w:rPr>
        <w:t xml:space="preserve"> </w:t>
      </w:r>
    </w:p>
    <w:p>
      <w:pPr>
        <w:jc w:val="center"/>
        <w:rPr>
          <w:rFonts w:ascii="Times New Roman" w:eastAsia="宋体"/>
          <w:b/>
          <w:color w:val="auto"/>
          <w:sz w:val="21"/>
        </w:rPr>
      </w:pPr>
      <w:r>
        <w:rPr>
          <w:rFonts w:ascii="Times New Roman" w:eastAsia="宋体"/>
          <w:b/>
          <w:color w:val="auto"/>
          <w:sz w:val="21"/>
        </w:rPr>
        <w:t>表5.2-2</w:t>
      </w:r>
      <w:r>
        <w:rPr>
          <w:rFonts w:hint="eastAsia" w:ascii="Times New Roman" w:eastAsia="宋体"/>
          <w:b/>
          <w:color w:val="auto"/>
          <w:sz w:val="21"/>
        </w:rPr>
        <w:t>5</w:t>
      </w:r>
      <w:r>
        <w:rPr>
          <w:rFonts w:ascii="Times New Roman" w:eastAsia="宋体"/>
          <w:b/>
          <w:color w:val="auto"/>
          <w:sz w:val="21"/>
        </w:rPr>
        <w:t>建设项目环境风险简单分析内容表</w:t>
      </w:r>
    </w:p>
    <w:tbl>
      <w:tblPr>
        <w:tblStyle w:val="4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96"/>
        <w:gridCol w:w="1286"/>
        <w:gridCol w:w="1558"/>
        <w:gridCol w:w="567"/>
        <w:gridCol w:w="640"/>
        <w:gridCol w:w="1296"/>
        <w:gridCol w:w="13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98"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建设项目名称</w:t>
            </w:r>
          </w:p>
        </w:tc>
        <w:tc>
          <w:tcPr>
            <w:tcW w:w="6724" w:type="dxa"/>
            <w:gridSpan w:val="6"/>
            <w:tcBorders>
              <w:tl2br w:val="nil"/>
              <w:tr2bl w:val="nil"/>
            </w:tcBorders>
            <w:vAlign w:val="center"/>
          </w:tcPr>
          <w:p>
            <w:pPr>
              <w:jc w:val="center"/>
              <w:rPr>
                <w:rFonts w:ascii="Times New Roman" w:eastAsia="宋体"/>
                <w:bCs/>
                <w:color w:val="auto"/>
                <w:sz w:val="21"/>
                <w:szCs w:val="21"/>
              </w:rPr>
            </w:pPr>
            <w:r>
              <w:rPr>
                <w:rFonts w:hint="eastAsia" w:ascii="Times New Roman" w:eastAsia="宋体"/>
                <w:bCs/>
                <w:color w:val="auto"/>
                <w:sz w:val="21"/>
                <w:szCs w:val="21"/>
              </w:rPr>
              <w:t>岳阳湘佳牧业有限公司桃源肉鸡养殖场（年出栏100万羽）建设项目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98"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建设地点</w:t>
            </w:r>
          </w:p>
        </w:tc>
        <w:tc>
          <w:tcPr>
            <w:tcW w:w="1287"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w:t>
            </w:r>
            <w:r>
              <w:rPr>
                <w:rFonts w:hint="eastAsia" w:ascii="Times New Roman" w:eastAsia="宋体"/>
                <w:bCs/>
                <w:color w:val="auto"/>
                <w:sz w:val="21"/>
                <w:szCs w:val="21"/>
              </w:rPr>
              <w:t>湖南</w:t>
            </w:r>
            <w:r>
              <w:rPr>
                <w:rFonts w:ascii="Times New Roman" w:eastAsia="宋体"/>
                <w:bCs/>
                <w:color w:val="auto"/>
                <w:sz w:val="21"/>
                <w:szCs w:val="21"/>
              </w:rPr>
              <w:t>）省</w:t>
            </w:r>
          </w:p>
        </w:tc>
        <w:tc>
          <w:tcPr>
            <w:tcW w:w="1559"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w:t>
            </w:r>
            <w:r>
              <w:rPr>
                <w:rFonts w:hint="eastAsia" w:ascii="Times New Roman" w:eastAsia="宋体"/>
                <w:bCs/>
                <w:color w:val="auto"/>
                <w:sz w:val="21"/>
                <w:szCs w:val="21"/>
              </w:rPr>
              <w:t>岳阳</w:t>
            </w:r>
            <w:r>
              <w:rPr>
                <w:rFonts w:ascii="Times New Roman" w:eastAsia="宋体"/>
                <w:bCs/>
                <w:color w:val="auto"/>
                <w:sz w:val="21"/>
                <w:szCs w:val="21"/>
              </w:rPr>
              <w:t>）市</w:t>
            </w:r>
          </w:p>
        </w:tc>
        <w:tc>
          <w:tcPr>
            <w:tcW w:w="1207" w:type="dxa"/>
            <w:gridSpan w:val="2"/>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  / ）区</w:t>
            </w:r>
          </w:p>
        </w:tc>
        <w:tc>
          <w:tcPr>
            <w:tcW w:w="1297"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w:t>
            </w:r>
            <w:r>
              <w:rPr>
                <w:rFonts w:hint="eastAsia" w:ascii="Times New Roman" w:eastAsia="宋体"/>
                <w:bCs/>
                <w:color w:val="auto"/>
                <w:sz w:val="21"/>
                <w:szCs w:val="21"/>
              </w:rPr>
              <w:t>岳阳</w:t>
            </w:r>
            <w:r>
              <w:rPr>
                <w:rFonts w:ascii="Times New Roman" w:eastAsia="宋体"/>
                <w:bCs/>
                <w:color w:val="auto"/>
                <w:sz w:val="21"/>
                <w:szCs w:val="21"/>
              </w:rPr>
              <w:t>）县</w:t>
            </w:r>
          </w:p>
        </w:tc>
        <w:tc>
          <w:tcPr>
            <w:tcW w:w="1374"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  / ）园区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98"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地理坐标</w:t>
            </w:r>
          </w:p>
        </w:tc>
        <w:tc>
          <w:tcPr>
            <w:tcW w:w="1287"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经度</w:t>
            </w:r>
          </w:p>
        </w:tc>
        <w:tc>
          <w:tcPr>
            <w:tcW w:w="2126" w:type="dxa"/>
            <w:gridSpan w:val="2"/>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东经</w:t>
            </w:r>
            <w:r>
              <w:rPr>
                <w:rFonts w:ascii="Times New Roman" w:eastAsia="宋体"/>
                <w:color w:val="auto"/>
                <w:kern w:val="2"/>
                <w:sz w:val="21"/>
                <w:szCs w:val="21"/>
              </w:rPr>
              <w:t>113.177967</w:t>
            </w:r>
          </w:p>
        </w:tc>
        <w:tc>
          <w:tcPr>
            <w:tcW w:w="640"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纬度</w:t>
            </w:r>
          </w:p>
        </w:tc>
        <w:tc>
          <w:tcPr>
            <w:tcW w:w="2671" w:type="dxa"/>
            <w:gridSpan w:val="2"/>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北纬</w:t>
            </w:r>
            <w:r>
              <w:rPr>
                <w:rFonts w:ascii="Times New Roman" w:eastAsia="宋体"/>
                <w:color w:val="auto"/>
                <w:kern w:val="2"/>
                <w:sz w:val="21"/>
                <w:szCs w:val="21"/>
              </w:rPr>
              <w:t>29.095563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98"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主要危险</w:t>
            </w:r>
          </w:p>
          <w:p>
            <w:pPr>
              <w:jc w:val="center"/>
              <w:rPr>
                <w:rFonts w:ascii="Times New Roman" w:eastAsia="宋体"/>
                <w:bCs/>
                <w:color w:val="auto"/>
                <w:sz w:val="21"/>
                <w:szCs w:val="21"/>
              </w:rPr>
            </w:pPr>
            <w:r>
              <w:rPr>
                <w:rFonts w:ascii="Times New Roman" w:eastAsia="宋体"/>
                <w:bCs/>
                <w:color w:val="auto"/>
                <w:sz w:val="21"/>
                <w:szCs w:val="21"/>
              </w:rPr>
              <w:t>物质及分布</w:t>
            </w:r>
          </w:p>
        </w:tc>
        <w:tc>
          <w:tcPr>
            <w:tcW w:w="6724" w:type="dxa"/>
            <w:gridSpan w:val="6"/>
            <w:tcBorders>
              <w:tl2br w:val="nil"/>
              <w:tr2bl w:val="nil"/>
            </w:tcBorders>
            <w:vAlign w:val="center"/>
          </w:tcPr>
          <w:p>
            <w:pPr>
              <w:autoSpaceDE w:val="0"/>
              <w:autoSpaceDN w:val="0"/>
              <w:adjustRightInd w:val="0"/>
              <w:jc w:val="left"/>
              <w:rPr>
                <w:rFonts w:ascii="Times New Roman" w:eastAsia="宋体"/>
                <w:bCs/>
                <w:color w:val="auto"/>
                <w:sz w:val="21"/>
                <w:szCs w:val="21"/>
              </w:rPr>
            </w:pPr>
            <w:r>
              <w:rPr>
                <w:rFonts w:ascii="Times New Roman" w:eastAsia="宋体"/>
                <w:color w:val="auto"/>
                <w:sz w:val="21"/>
                <w:szCs w:val="21"/>
              </w:rPr>
              <w:t>柴油使用和储运过程中可能存在设备失灵和人为的操作失误现象，引发泄漏风险，可能引起火灾和爆炸等一系列重大事故。</w:t>
            </w:r>
          </w:p>
          <w:p>
            <w:pPr>
              <w:jc w:val="left"/>
              <w:rPr>
                <w:rFonts w:ascii="Times New Roman" w:eastAsia="宋体"/>
                <w:bCs/>
                <w:color w:val="auto"/>
                <w:sz w:val="21"/>
                <w:szCs w:val="21"/>
              </w:rPr>
            </w:pPr>
            <w:r>
              <w:rPr>
                <w:rFonts w:ascii="Times New Roman" w:eastAsia="宋体"/>
                <w:bCs/>
                <w:color w:val="auto"/>
                <w:sz w:val="21"/>
                <w:szCs w:val="21"/>
              </w:rPr>
              <w:t>废水处理工程发生废水事故排放；</w:t>
            </w:r>
          </w:p>
          <w:p>
            <w:pPr>
              <w:jc w:val="left"/>
              <w:rPr>
                <w:rFonts w:ascii="Times New Roman" w:eastAsia="宋体"/>
                <w:bCs/>
                <w:color w:val="auto"/>
                <w:sz w:val="21"/>
                <w:szCs w:val="21"/>
              </w:rPr>
            </w:pPr>
            <w:r>
              <w:rPr>
                <w:rFonts w:ascii="Times New Roman" w:eastAsia="宋体"/>
                <w:bCs/>
                <w:color w:val="auto"/>
                <w:sz w:val="21"/>
                <w:szCs w:val="21"/>
              </w:rPr>
              <w:t>疾病传播。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98" w:type="dxa"/>
            <w:tcBorders>
              <w:tl2br w:val="nil"/>
              <w:tr2bl w:val="nil"/>
            </w:tcBorders>
            <w:vAlign w:val="center"/>
          </w:tcPr>
          <w:p>
            <w:pPr>
              <w:ind w:right="-101" w:rightChars="-41"/>
              <w:jc w:val="center"/>
              <w:rPr>
                <w:rFonts w:ascii="Times New Roman" w:eastAsia="宋体"/>
                <w:bCs/>
                <w:color w:val="auto"/>
                <w:sz w:val="21"/>
                <w:szCs w:val="21"/>
              </w:rPr>
            </w:pPr>
            <w:r>
              <w:rPr>
                <w:rFonts w:ascii="Times New Roman" w:eastAsia="宋体"/>
                <w:bCs/>
                <w:color w:val="auto"/>
                <w:sz w:val="21"/>
                <w:szCs w:val="21"/>
              </w:rPr>
              <w:t>环境影响途径及危害后果（大气、地表水、地下水等）</w:t>
            </w:r>
          </w:p>
        </w:tc>
        <w:tc>
          <w:tcPr>
            <w:tcW w:w="6724" w:type="dxa"/>
            <w:gridSpan w:val="6"/>
            <w:tcBorders>
              <w:tl2br w:val="nil"/>
              <w:tr2bl w:val="nil"/>
            </w:tcBorders>
            <w:vAlign w:val="center"/>
          </w:tcPr>
          <w:p>
            <w:pPr>
              <w:autoSpaceDE w:val="0"/>
              <w:autoSpaceDN w:val="0"/>
              <w:adjustRightInd w:val="0"/>
              <w:jc w:val="left"/>
              <w:rPr>
                <w:rFonts w:ascii="Times New Roman" w:eastAsia="宋体"/>
                <w:bCs/>
                <w:color w:val="auto"/>
                <w:sz w:val="21"/>
                <w:szCs w:val="21"/>
              </w:rPr>
            </w:pPr>
            <w:r>
              <w:rPr>
                <w:rFonts w:ascii="Times New Roman" w:eastAsia="宋体"/>
                <w:color w:val="auto"/>
                <w:sz w:val="21"/>
                <w:szCs w:val="21"/>
              </w:rPr>
              <w:t>本项目柴油在常温常压下发生泄漏，泄漏的液体在空气中迅速蒸发而形成气体，液体泄漏后聚集在柴油发电机地面，液体由于地表面风的对流而缓慢蒸发，如遇火源就会发生火灾，其主要危害为热辐射破坏。非甲烷总烃和未完全燃烧产生的一氧化碳严重超标会对人身安全和健康产生一定影响。发电机柴油箱发生爆炸火灾如采用水作灭火剂，但是一旦发生火灾爆炸，同时会产生大量燃烧废物，若不及时清理，有毒有害物质易随雨水进入河道，对地表水体造成污染。</w:t>
            </w:r>
          </w:p>
          <w:p>
            <w:pPr>
              <w:jc w:val="left"/>
              <w:rPr>
                <w:rFonts w:ascii="Times New Roman" w:eastAsia="宋体"/>
                <w:bCs/>
                <w:color w:val="auto"/>
                <w:sz w:val="21"/>
                <w:szCs w:val="21"/>
              </w:rPr>
            </w:pPr>
            <w:r>
              <w:rPr>
                <w:rFonts w:ascii="Times New Roman" w:eastAsia="宋体"/>
                <w:bCs/>
                <w:color w:val="auto"/>
                <w:sz w:val="21"/>
                <w:szCs w:val="21"/>
              </w:rPr>
              <w:t>因对病鸡管理不善，引起疾病，可能对周围人群健康产生影响；</w:t>
            </w:r>
          </w:p>
          <w:p>
            <w:pPr>
              <w:jc w:val="left"/>
              <w:rPr>
                <w:rFonts w:ascii="Times New Roman" w:eastAsia="宋体"/>
                <w:color w:val="auto"/>
                <w:kern w:val="2"/>
                <w:sz w:val="21"/>
                <w:szCs w:val="21"/>
              </w:rPr>
            </w:pPr>
            <w:r>
              <w:rPr>
                <w:rFonts w:ascii="Times New Roman" w:eastAsia="宋体"/>
                <w:bCs/>
                <w:color w:val="auto"/>
                <w:sz w:val="21"/>
                <w:szCs w:val="21"/>
              </w:rPr>
              <w:t>泄漏或渗漏的废水一旦进入地表河流，将造成地表河流的污染，使地面水体受到污染，随渗水进入土壤，污染地下水，可能对地面水体和地下水体造成二次污染。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98" w:type="dxa"/>
            <w:tcBorders>
              <w:tl2br w:val="nil"/>
              <w:tr2bl w:val="nil"/>
            </w:tcBorders>
            <w:vAlign w:val="center"/>
          </w:tcPr>
          <w:p>
            <w:pPr>
              <w:jc w:val="center"/>
              <w:rPr>
                <w:rFonts w:ascii="Times New Roman" w:eastAsia="宋体"/>
                <w:bCs/>
                <w:color w:val="auto"/>
                <w:sz w:val="21"/>
                <w:szCs w:val="21"/>
              </w:rPr>
            </w:pPr>
            <w:r>
              <w:rPr>
                <w:rFonts w:ascii="Times New Roman" w:eastAsia="宋体"/>
                <w:bCs/>
                <w:color w:val="auto"/>
                <w:sz w:val="21"/>
                <w:szCs w:val="21"/>
              </w:rPr>
              <w:t>风险防范</w:t>
            </w:r>
          </w:p>
          <w:p>
            <w:pPr>
              <w:jc w:val="center"/>
              <w:rPr>
                <w:rFonts w:ascii="Times New Roman" w:eastAsia="宋体"/>
                <w:bCs/>
                <w:color w:val="auto"/>
                <w:sz w:val="21"/>
                <w:szCs w:val="21"/>
              </w:rPr>
            </w:pPr>
            <w:r>
              <w:rPr>
                <w:rFonts w:ascii="Times New Roman" w:eastAsia="宋体"/>
                <w:bCs/>
                <w:color w:val="auto"/>
                <w:sz w:val="21"/>
                <w:szCs w:val="21"/>
              </w:rPr>
              <w:t>措施要求</w:t>
            </w:r>
          </w:p>
        </w:tc>
        <w:tc>
          <w:tcPr>
            <w:tcW w:w="6724" w:type="dxa"/>
            <w:gridSpan w:val="6"/>
            <w:tcBorders>
              <w:tl2br w:val="nil"/>
              <w:tr2bl w:val="nil"/>
            </w:tcBorders>
            <w:vAlign w:val="center"/>
          </w:tcPr>
          <w:p>
            <w:pPr>
              <w:numPr>
                <w:ilvl w:val="0"/>
                <w:numId w:val="9"/>
              </w:numPr>
              <w:jc w:val="left"/>
              <w:rPr>
                <w:rFonts w:ascii="Times New Roman" w:eastAsia="宋体"/>
                <w:bCs/>
                <w:color w:val="auto"/>
                <w:sz w:val="21"/>
                <w:szCs w:val="21"/>
              </w:rPr>
            </w:pPr>
            <w:r>
              <w:rPr>
                <w:rFonts w:ascii="Times New Roman" w:eastAsia="宋体"/>
                <w:bCs/>
                <w:color w:val="auto"/>
                <w:sz w:val="21"/>
                <w:szCs w:val="21"/>
              </w:rPr>
              <w:t>为防止设备发生事故时的热辐射影响，场区设置消防设施，保持周围消防通道的畅通。B. 柴油发电机柴油箱进行适当的整体试验、外观检查或非破坏性的测厚检查，检查记录应存档备查。定期进行外部检查，及时发现破损和漏处。</w:t>
            </w:r>
          </w:p>
          <w:p>
            <w:pPr>
              <w:numPr>
                <w:ilvl w:val="0"/>
                <w:numId w:val="0"/>
              </w:numPr>
              <w:jc w:val="left"/>
              <w:rPr>
                <w:rFonts w:ascii="Times New Roman" w:eastAsia="宋体"/>
                <w:bCs/>
                <w:color w:val="auto"/>
                <w:sz w:val="21"/>
                <w:szCs w:val="21"/>
              </w:rPr>
            </w:pPr>
            <w:r>
              <w:rPr>
                <w:rFonts w:hint="eastAsia" w:ascii="Times New Roman" w:eastAsia="宋体"/>
                <w:bCs/>
                <w:color w:val="auto"/>
                <w:sz w:val="21"/>
                <w:szCs w:val="21"/>
              </w:rPr>
              <w:t>发电机柴油箱泄漏应急措施</w:t>
            </w:r>
            <w:r>
              <w:rPr>
                <w:rFonts w:hint="eastAsia" w:ascii="Times New Roman" w:eastAsia="宋体"/>
                <w:bCs/>
                <w:color w:val="auto"/>
                <w:sz w:val="21"/>
                <w:szCs w:val="21"/>
                <w:lang w:eastAsia="zh-CN"/>
              </w:rPr>
              <w:t>：</w:t>
            </w:r>
            <w:r>
              <w:rPr>
                <w:rFonts w:hint="eastAsia" w:ascii="Times New Roman" w:eastAsia="宋体"/>
                <w:bCs/>
                <w:color w:val="auto"/>
                <w:sz w:val="21"/>
                <w:szCs w:val="21"/>
                <w:lang w:val="en-US" w:eastAsia="zh-CN"/>
              </w:rPr>
              <w:t>a</w:t>
            </w:r>
            <w:r>
              <w:rPr>
                <w:rFonts w:hint="eastAsia" w:ascii="Times New Roman" w:eastAsia="宋体"/>
                <w:bCs/>
                <w:color w:val="auto"/>
                <w:sz w:val="21"/>
                <w:szCs w:val="21"/>
              </w:rPr>
              <w:t>.关闭阀门：如果发现柴油桶泄漏，要立即用吸油棉等进行堵漏，防止柴油继续泄漏，后更换容积。</w:t>
            </w:r>
            <w:r>
              <w:rPr>
                <w:rFonts w:hint="eastAsia" w:ascii="Times New Roman" w:eastAsia="宋体"/>
                <w:bCs/>
                <w:color w:val="auto"/>
                <w:sz w:val="21"/>
                <w:szCs w:val="21"/>
                <w:lang w:val="en-US" w:eastAsia="zh-CN"/>
              </w:rPr>
              <w:t>b</w:t>
            </w:r>
            <w:r>
              <w:rPr>
                <w:rFonts w:hint="eastAsia" w:ascii="Times New Roman" w:eastAsia="宋体"/>
                <w:bCs/>
                <w:color w:val="auto"/>
                <w:sz w:val="21"/>
                <w:szCs w:val="21"/>
              </w:rPr>
              <w:t>.收集柴油：可以使用沙土、吸油棉等材料收集泄露的柴油，避免柴油继续漫流</w:t>
            </w:r>
            <w:r>
              <w:rPr>
                <w:rFonts w:hint="eastAsia" w:ascii="Times New Roman" w:eastAsia="宋体"/>
                <w:bCs/>
                <w:color w:val="auto"/>
                <w:sz w:val="21"/>
                <w:szCs w:val="21"/>
                <w:lang w:val="en-US" w:eastAsia="zh-CN"/>
              </w:rPr>
              <w:t>;c</w:t>
            </w:r>
            <w:r>
              <w:rPr>
                <w:rFonts w:hint="eastAsia" w:ascii="Times New Roman" w:eastAsia="宋体"/>
                <w:bCs/>
                <w:color w:val="auto"/>
                <w:sz w:val="21"/>
                <w:szCs w:val="21"/>
              </w:rPr>
              <w:t xml:space="preserve">.清洗污染物：可以使用清洗剂等设备清洗污染物，将污染物清除干净，，并将沾油的废棉布、沙土、废容器等收集后交由有资质的单位处理。 </w:t>
            </w:r>
          </w:p>
          <w:p>
            <w:pPr>
              <w:jc w:val="left"/>
              <w:rPr>
                <w:rFonts w:ascii="Times New Roman" w:eastAsia="宋体"/>
                <w:bCs/>
                <w:color w:val="auto"/>
                <w:sz w:val="21"/>
                <w:szCs w:val="21"/>
              </w:rPr>
            </w:pPr>
            <w:r>
              <w:rPr>
                <w:rFonts w:ascii="Times New Roman" w:eastAsia="宋体"/>
                <w:bCs/>
                <w:color w:val="auto"/>
                <w:sz w:val="21"/>
                <w:szCs w:val="21"/>
              </w:rPr>
              <w:t>火灾和爆炸的预防：定期对设备进行安全检测，检测内容、时间、人员应有记录保存，安全检测应根据设备的安全性、危险性设定检测频次。火源管理：a、严禁火源进入柴油发电机存放处，对明火严格控制；b、对设备维修检查，需进行维修焊接，应经安全部门确认、准许，并有记录在案，另外，在危险区作业是不能使用能产生撞击火花的金属物体，应用铜工具，如用钢工具，表面应涂黄油；c、在装置区内的所有设备，电气装置都应满足防爆防火的要求。发电机柴油箱在生产过程要密闭，严防跑冒滴漏。</w:t>
            </w:r>
          </w:p>
          <w:p>
            <w:pPr>
              <w:jc w:val="left"/>
              <w:rPr>
                <w:rFonts w:ascii="Times New Roman" w:eastAsia="宋体"/>
                <w:bCs/>
                <w:color w:val="auto"/>
                <w:sz w:val="21"/>
                <w:szCs w:val="21"/>
              </w:rPr>
            </w:pPr>
            <w:r>
              <w:rPr>
                <w:rFonts w:ascii="Times New Roman" w:eastAsia="宋体"/>
                <w:bCs/>
                <w:color w:val="auto"/>
                <w:sz w:val="21"/>
                <w:szCs w:val="21"/>
              </w:rPr>
              <w:t>人员的管理：a、加强发电机柴油箱安全知识的宣传，加强对有关人员的培训教育和考核；b、严格规章制度和安全操作规程，强化安全监督检查和管理；c、设专职人员进行监理和维护，严禁其他人员进入。</w:t>
            </w:r>
          </w:p>
          <w:p>
            <w:pPr>
              <w:jc w:val="left"/>
              <w:rPr>
                <w:rFonts w:ascii="Times New Roman" w:eastAsia="宋体"/>
                <w:bCs/>
                <w:color w:val="auto"/>
                <w:sz w:val="21"/>
                <w:szCs w:val="21"/>
              </w:rPr>
            </w:pPr>
            <w:r>
              <w:rPr>
                <w:rFonts w:hint="eastAsia" w:ascii="Times New Roman" w:eastAsia="宋体"/>
                <w:bCs/>
                <w:color w:val="auto"/>
                <w:sz w:val="21"/>
                <w:szCs w:val="21"/>
              </w:rPr>
              <w:t>火灾和爆炸的应急措施</w:t>
            </w:r>
            <w:r>
              <w:rPr>
                <w:rFonts w:hint="eastAsia" w:ascii="Times New Roman" w:eastAsia="宋体"/>
                <w:bCs/>
                <w:color w:val="auto"/>
                <w:sz w:val="21"/>
                <w:szCs w:val="21"/>
                <w:lang w:eastAsia="zh-CN"/>
              </w:rPr>
              <w:t>：</w:t>
            </w:r>
            <w:r>
              <w:rPr>
                <w:rFonts w:hint="eastAsia" w:ascii="Times New Roman" w:eastAsia="宋体"/>
                <w:bCs/>
                <w:color w:val="auto"/>
                <w:sz w:val="21"/>
                <w:szCs w:val="21"/>
              </w:rPr>
              <w:t>存放柴油的房内应装有干粉灭火器。当发生火灾时，现场发现人员应立即使用灭火器对火势进行控制，尽快灭火。火势大到无法扑灭时，通知当地消防部门并组织全体人员应迅速撤离到安全区域。</w:t>
            </w:r>
          </w:p>
          <w:p>
            <w:pPr>
              <w:jc w:val="left"/>
              <w:rPr>
                <w:rFonts w:ascii="Times New Roman" w:eastAsia="宋体"/>
                <w:bCs/>
                <w:color w:val="auto"/>
                <w:sz w:val="21"/>
                <w:szCs w:val="21"/>
              </w:rPr>
            </w:pPr>
            <w:r>
              <w:rPr>
                <w:rFonts w:hint="eastAsia" w:hAnsi="宋体" w:eastAsia="宋体" w:cs="宋体"/>
                <w:bCs/>
                <w:color w:val="auto"/>
                <w:sz w:val="21"/>
                <w:szCs w:val="21"/>
              </w:rPr>
              <w:t>①</w:t>
            </w:r>
            <w:r>
              <w:rPr>
                <w:rFonts w:ascii="Times New Roman" w:eastAsia="宋体"/>
                <w:bCs/>
                <w:color w:val="auto"/>
                <w:sz w:val="21"/>
                <w:szCs w:val="21"/>
              </w:rPr>
              <w:t>拟对废水处理工程进行加盖封闭处理；</w:t>
            </w:r>
            <w:r>
              <w:rPr>
                <w:rFonts w:hint="eastAsia" w:hAnsi="宋体" w:eastAsia="宋体" w:cs="宋体"/>
                <w:bCs/>
                <w:color w:val="auto"/>
                <w:sz w:val="21"/>
                <w:szCs w:val="21"/>
              </w:rPr>
              <w:t>②</w:t>
            </w:r>
            <w:r>
              <w:rPr>
                <w:rFonts w:ascii="Times New Roman" w:eastAsia="宋体"/>
                <w:bCs/>
                <w:color w:val="auto"/>
                <w:sz w:val="21"/>
                <w:szCs w:val="21"/>
              </w:rPr>
              <w:t>场区内实施雨污分流；</w:t>
            </w:r>
            <w:r>
              <w:rPr>
                <w:rFonts w:hint="eastAsia" w:hAnsi="宋体" w:eastAsia="宋体" w:cs="宋体"/>
                <w:bCs/>
                <w:color w:val="auto"/>
                <w:sz w:val="21"/>
                <w:szCs w:val="21"/>
              </w:rPr>
              <w:t>③</w:t>
            </w:r>
            <w:r>
              <w:rPr>
                <w:rFonts w:ascii="Times New Roman" w:eastAsia="宋体"/>
                <w:bCs/>
                <w:color w:val="auto"/>
                <w:sz w:val="21"/>
                <w:szCs w:val="21"/>
              </w:rPr>
              <w:t>定期检查废水处理工程的设施状况；</w:t>
            </w:r>
            <w:r>
              <w:rPr>
                <w:rFonts w:hint="eastAsia" w:hAnsi="宋体" w:eastAsia="宋体" w:cs="宋体"/>
                <w:bCs/>
                <w:color w:val="auto"/>
                <w:sz w:val="21"/>
                <w:szCs w:val="21"/>
              </w:rPr>
              <w:t>④</w:t>
            </w:r>
            <w:r>
              <w:rPr>
                <w:rFonts w:ascii="Times New Roman" w:eastAsia="宋体"/>
                <w:bCs/>
                <w:color w:val="auto"/>
                <w:sz w:val="21"/>
                <w:szCs w:val="21"/>
              </w:rPr>
              <w:t>建议企业设立专门机构，配备高层次的技术管理人员专门负责全场的卫生防疫工作，对饲养人员建立严格的岗位培训，合格后上岗；</w:t>
            </w:r>
            <w:r>
              <w:rPr>
                <w:rFonts w:hint="eastAsia" w:hAnsi="宋体" w:eastAsia="宋体" w:cs="宋体"/>
                <w:bCs/>
                <w:color w:val="auto"/>
                <w:sz w:val="21"/>
                <w:szCs w:val="21"/>
              </w:rPr>
              <w:t>⑤</w:t>
            </w:r>
            <w:r>
              <w:rPr>
                <w:rFonts w:ascii="Times New Roman" w:eastAsia="宋体"/>
                <w:bCs/>
                <w:color w:val="auto"/>
                <w:sz w:val="21"/>
                <w:szCs w:val="21"/>
              </w:rPr>
              <w:t>制定卫生防疫实施细则，设置卫生管理机构，并配有经培训合格的专门兽医技术人员；</w:t>
            </w:r>
            <w:r>
              <w:rPr>
                <w:rFonts w:hint="eastAsia" w:hAnsi="宋体" w:eastAsia="宋体" w:cs="宋体"/>
                <w:bCs/>
                <w:color w:val="auto"/>
                <w:sz w:val="21"/>
                <w:szCs w:val="21"/>
              </w:rPr>
              <w:t>⑥</w:t>
            </w:r>
            <w:r>
              <w:rPr>
                <w:rFonts w:ascii="Times New Roman" w:eastAsia="宋体"/>
                <w:bCs/>
                <w:color w:val="auto"/>
                <w:sz w:val="21"/>
                <w:szCs w:val="21"/>
              </w:rPr>
              <w:t>建立人员车辆出入登记制度，任何车辆及生产人员未经消毒不得进入生产区；</w:t>
            </w:r>
            <w:r>
              <w:rPr>
                <w:rFonts w:hint="eastAsia" w:hAnsi="宋体" w:eastAsia="宋体" w:cs="宋体"/>
                <w:bCs/>
                <w:color w:val="auto"/>
                <w:sz w:val="21"/>
                <w:szCs w:val="21"/>
              </w:rPr>
              <w:t>⑦</w:t>
            </w:r>
            <w:r>
              <w:rPr>
                <w:rFonts w:ascii="Times New Roman" w:eastAsia="宋体"/>
                <w:bCs/>
                <w:color w:val="auto"/>
                <w:sz w:val="21"/>
                <w:szCs w:val="21"/>
              </w:rPr>
              <w:t>鸡场生产区出入口设立车辆消毒棚，对进场车辆进行消毒，鸡场每月进行一次全场大消毒；</w:t>
            </w:r>
            <w:r>
              <w:rPr>
                <w:rFonts w:hint="eastAsia" w:hAnsi="宋体" w:eastAsia="宋体" w:cs="宋体"/>
                <w:bCs/>
                <w:color w:val="auto"/>
                <w:sz w:val="21"/>
                <w:szCs w:val="21"/>
              </w:rPr>
              <w:t>⑧</w:t>
            </w:r>
            <w:r>
              <w:rPr>
                <w:rFonts w:ascii="Times New Roman" w:eastAsia="宋体"/>
                <w:bCs/>
                <w:color w:val="auto"/>
                <w:sz w:val="21"/>
                <w:szCs w:val="21"/>
              </w:rPr>
              <w:t>病死鸡仅可作无害化处理，尸体接触的器具和环境作好清洁及消毒工作；</w:t>
            </w:r>
            <w:r>
              <w:rPr>
                <w:rFonts w:hint="eastAsia" w:hAnsi="宋体" w:eastAsia="宋体" w:cs="宋体"/>
                <w:bCs/>
                <w:color w:val="auto"/>
                <w:sz w:val="21"/>
                <w:szCs w:val="21"/>
              </w:rPr>
              <w:t>⑨</w:t>
            </w:r>
            <w:r>
              <w:rPr>
                <w:rFonts w:ascii="Times New Roman" w:eastAsia="宋体"/>
                <w:bCs/>
                <w:color w:val="auto"/>
                <w:sz w:val="21"/>
                <w:szCs w:val="21"/>
              </w:rPr>
              <w:t>淘汰及出售肉鸡应经检疫并取得检疫合格证明后方可出场，运鸡车辆必须经过严格消毒后进入指定区域装车</w:t>
            </w:r>
            <w:r>
              <w:rPr>
                <w:rFonts w:hint="eastAsia" w:hAnsi="宋体" w:eastAsia="宋体" w:cs="宋体"/>
                <w:bCs/>
                <w:color w:val="auto"/>
                <w:sz w:val="21"/>
                <w:szCs w:val="21"/>
              </w:rPr>
              <w:t>⑩</w:t>
            </w:r>
            <w:r>
              <w:rPr>
                <w:rFonts w:ascii="Times New Roman" w:eastAsia="宋体"/>
                <w:bCs/>
                <w:color w:val="auto"/>
                <w:sz w:val="21"/>
                <w:szCs w:val="21"/>
              </w:rPr>
              <w:t>当鸡只发生疑似传染病或附近养殖场出现烈性传染病时，应立即采取隔离封锁和其他应急措施。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522" w:type="dxa"/>
            <w:gridSpan w:val="7"/>
            <w:tcBorders>
              <w:tl2br w:val="nil"/>
              <w:tr2bl w:val="nil"/>
            </w:tcBorders>
            <w:vAlign w:val="center"/>
          </w:tcPr>
          <w:p>
            <w:pPr>
              <w:jc w:val="left"/>
              <w:rPr>
                <w:rFonts w:ascii="Times New Roman" w:eastAsia="宋体"/>
                <w:bCs/>
                <w:color w:val="auto"/>
                <w:sz w:val="21"/>
                <w:szCs w:val="21"/>
              </w:rPr>
            </w:pPr>
            <w:r>
              <w:rPr>
                <w:rFonts w:ascii="Times New Roman" w:eastAsia="宋体"/>
                <w:bCs/>
                <w:color w:val="auto"/>
                <w:sz w:val="21"/>
                <w:szCs w:val="21"/>
              </w:rPr>
              <w:t>填表说明（列出项目相关信息及评价说明）：/</w:t>
            </w:r>
          </w:p>
        </w:tc>
      </w:tr>
    </w:tbl>
    <w:p>
      <w:pPr>
        <w:keepNext/>
        <w:keepLines/>
        <w:spacing w:before="160" w:after="163" w:line="360" w:lineRule="auto"/>
        <w:outlineLvl w:val="3"/>
        <w:rPr>
          <w:rFonts w:ascii="Times New Roman" w:eastAsia="宋体"/>
          <w:b/>
          <w:bCs/>
          <w:color w:val="auto"/>
          <w:kern w:val="2"/>
          <w:szCs w:val="28"/>
        </w:rPr>
      </w:pPr>
      <w:bookmarkStart w:id="470" w:name="_Toc3088"/>
      <w:r>
        <w:rPr>
          <w:rFonts w:hint="eastAsia" w:ascii="Times New Roman" w:eastAsia="宋体"/>
          <w:b/>
          <w:bCs/>
          <w:color w:val="auto"/>
          <w:kern w:val="2"/>
          <w:szCs w:val="28"/>
        </w:rPr>
        <w:t>5.2.9.8</w:t>
      </w:r>
      <w:r>
        <w:rPr>
          <w:rFonts w:ascii="Times New Roman" w:eastAsia="宋体"/>
          <w:b/>
          <w:bCs/>
          <w:color w:val="auto"/>
          <w:kern w:val="2"/>
          <w:szCs w:val="28"/>
        </w:rPr>
        <w:t>建设项目环境</w:t>
      </w:r>
      <w:r>
        <w:rPr>
          <w:rFonts w:hint="eastAsia" w:ascii="Times New Roman" w:eastAsia="宋体"/>
          <w:b/>
          <w:bCs/>
          <w:color w:val="auto"/>
          <w:kern w:val="2"/>
          <w:szCs w:val="28"/>
        </w:rPr>
        <w:t>风险</w:t>
      </w:r>
      <w:r>
        <w:rPr>
          <w:rFonts w:ascii="Times New Roman" w:eastAsia="宋体"/>
          <w:b/>
          <w:bCs/>
          <w:color w:val="auto"/>
          <w:kern w:val="2"/>
          <w:szCs w:val="28"/>
        </w:rPr>
        <w:t>评价自查</w:t>
      </w:r>
      <w:bookmarkEnd w:id="470"/>
    </w:p>
    <w:p>
      <w:pPr>
        <w:adjustRightInd w:val="0"/>
        <w:snapToGrid w:val="0"/>
        <w:spacing w:line="360" w:lineRule="auto"/>
        <w:ind w:firstLine="496" w:firstLineChars="200"/>
        <w:rPr>
          <w:rFonts w:ascii="Times New Roman" w:eastAsia="宋体"/>
          <w:color w:val="auto"/>
          <w:kern w:val="2"/>
          <w:szCs w:val="21"/>
        </w:rPr>
      </w:pPr>
      <w:r>
        <w:rPr>
          <w:rFonts w:ascii="Times New Roman" w:eastAsia="宋体"/>
          <w:color w:val="auto"/>
          <w:kern w:val="2"/>
          <w:szCs w:val="21"/>
        </w:rPr>
        <w:t>建设项目环境</w:t>
      </w:r>
      <w:r>
        <w:rPr>
          <w:rFonts w:hint="eastAsia" w:ascii="Times New Roman" w:eastAsia="宋体"/>
          <w:color w:val="auto"/>
          <w:kern w:val="2"/>
          <w:szCs w:val="21"/>
        </w:rPr>
        <w:t>风险</w:t>
      </w:r>
      <w:r>
        <w:rPr>
          <w:rFonts w:ascii="Times New Roman" w:eastAsia="宋体"/>
          <w:color w:val="auto"/>
          <w:kern w:val="2"/>
          <w:szCs w:val="21"/>
        </w:rPr>
        <w:t>评价自查表见附表</w:t>
      </w:r>
      <w:r>
        <w:rPr>
          <w:rFonts w:hint="eastAsia" w:ascii="Times New Roman" w:eastAsia="宋体"/>
          <w:color w:val="auto"/>
          <w:kern w:val="2"/>
          <w:szCs w:val="21"/>
        </w:rPr>
        <w:t>6</w:t>
      </w:r>
      <w:r>
        <w:rPr>
          <w:rFonts w:ascii="Times New Roman" w:eastAsia="宋体"/>
          <w:color w:val="auto"/>
          <w:kern w:val="2"/>
          <w:szCs w:val="21"/>
        </w:rPr>
        <w:t>。</w:t>
      </w:r>
    </w:p>
    <w:p>
      <w:pPr>
        <w:spacing w:line="360" w:lineRule="auto"/>
        <w:outlineLvl w:val="0"/>
        <w:rPr>
          <w:rFonts w:ascii="Times New Roman" w:eastAsia="宋体"/>
          <w:b/>
          <w:bCs/>
          <w:color w:val="auto"/>
          <w:sz w:val="36"/>
          <w:szCs w:val="36"/>
        </w:rPr>
      </w:pPr>
      <w:r>
        <w:rPr>
          <w:rFonts w:ascii="Times New Roman" w:eastAsia="宋体"/>
          <w:color w:val="auto"/>
        </w:rPr>
        <w:br w:type="page"/>
      </w:r>
      <w:bookmarkStart w:id="471" w:name="_Toc117865915"/>
      <w:bookmarkStart w:id="472" w:name="_Toc131729515"/>
      <w:bookmarkStart w:id="473" w:name="_Toc131729587"/>
      <w:bookmarkStart w:id="474" w:name="_Toc136433504"/>
      <w:bookmarkStart w:id="475" w:name="_Toc200850933"/>
      <w:bookmarkStart w:id="476" w:name="_Toc117907469"/>
      <w:bookmarkStart w:id="477" w:name="_Toc115401750"/>
      <w:bookmarkStart w:id="478" w:name="_Toc200853424"/>
      <w:bookmarkStart w:id="479" w:name="_Toc131320058"/>
      <w:bookmarkStart w:id="480" w:name="_Toc115346401"/>
      <w:bookmarkStart w:id="481" w:name="_Toc136162608"/>
      <w:bookmarkStart w:id="482" w:name="_Toc283036037"/>
      <w:bookmarkStart w:id="483" w:name="_Toc131321111"/>
      <w:bookmarkStart w:id="484" w:name="_Toc129928074"/>
      <w:bookmarkStart w:id="485" w:name="_Toc30464"/>
      <w:bookmarkStart w:id="486" w:name="_Toc4553"/>
      <w:bookmarkStart w:id="487" w:name="_Toc1152"/>
      <w:bookmarkStart w:id="488" w:name="_Toc21668"/>
      <w:r>
        <w:rPr>
          <w:rStyle w:val="213"/>
          <w:rFonts w:hint="eastAsia" w:ascii="Times New Roman"/>
          <w:color w:val="auto"/>
          <w:sz w:val="36"/>
          <w:szCs w:val="36"/>
        </w:rPr>
        <w:t>6</w:t>
      </w:r>
      <w:r>
        <w:rPr>
          <w:rStyle w:val="213"/>
          <w:rFonts w:ascii="Times New Roman"/>
          <w:color w:val="auto"/>
          <w:sz w:val="36"/>
          <w:szCs w:val="36"/>
        </w:rPr>
        <w:t>环境保护措施及</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r>
        <w:rPr>
          <w:rStyle w:val="213"/>
          <w:rFonts w:ascii="Times New Roman"/>
          <w:color w:val="auto"/>
          <w:sz w:val="36"/>
          <w:szCs w:val="36"/>
        </w:rPr>
        <w:t>其可行性论证</w:t>
      </w:r>
      <w:bookmarkEnd w:id="485"/>
      <w:bookmarkEnd w:id="486"/>
      <w:bookmarkEnd w:id="487"/>
      <w:bookmarkEnd w:id="488"/>
    </w:p>
    <w:bookmarkEnd w:id="432"/>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489" w:name="_Toc31694"/>
      <w:bookmarkStart w:id="490" w:name="_Toc3010"/>
      <w:bookmarkStart w:id="491" w:name="_Toc9558"/>
      <w:bookmarkStart w:id="492" w:name="_Toc397698089"/>
      <w:bookmarkStart w:id="493" w:name="_Toc361429257"/>
      <w:bookmarkStart w:id="494" w:name="_Toc385331666"/>
      <w:r>
        <w:rPr>
          <w:rFonts w:hint="eastAsia" w:ascii="Times New Roman" w:hAnsi="Times New Roman" w:eastAsia="宋体"/>
          <w:color w:val="auto"/>
          <w:kern w:val="2"/>
          <w:sz w:val="28"/>
          <w:szCs w:val="28"/>
        </w:rPr>
        <w:t>6</w:t>
      </w:r>
      <w:r>
        <w:rPr>
          <w:rFonts w:ascii="Times New Roman" w:hAnsi="Times New Roman" w:eastAsia="宋体"/>
          <w:color w:val="auto"/>
          <w:kern w:val="2"/>
          <w:sz w:val="28"/>
          <w:szCs w:val="28"/>
        </w:rPr>
        <w:t>.1</w:t>
      </w:r>
      <w:bookmarkEnd w:id="489"/>
      <w:bookmarkEnd w:id="490"/>
      <w:r>
        <w:rPr>
          <w:rFonts w:ascii="Times New Roman" w:hAnsi="Times New Roman" w:eastAsia="宋体"/>
          <w:color w:val="auto"/>
          <w:kern w:val="2"/>
          <w:sz w:val="28"/>
          <w:szCs w:val="28"/>
        </w:rPr>
        <w:t>施工期环境保护措施可行性分析</w:t>
      </w:r>
      <w:bookmarkEnd w:id="491"/>
    </w:p>
    <w:p>
      <w:pPr>
        <w:pStyle w:val="4"/>
        <w:spacing w:before="0" w:after="0" w:line="360" w:lineRule="auto"/>
        <w:rPr>
          <w:rFonts w:ascii="Times New Roman" w:eastAsia="宋体"/>
          <w:b/>
          <w:bCs/>
          <w:color w:val="auto"/>
          <w:kern w:val="2"/>
          <w:sz w:val="24"/>
        </w:rPr>
      </w:pPr>
      <w:bookmarkStart w:id="495" w:name="_Toc27117"/>
      <w:r>
        <w:rPr>
          <w:rFonts w:hint="eastAsia" w:ascii="Times New Roman" w:eastAsia="宋体"/>
          <w:b/>
          <w:bCs/>
          <w:color w:val="auto"/>
          <w:kern w:val="2"/>
          <w:sz w:val="24"/>
        </w:rPr>
        <w:t>6</w:t>
      </w:r>
      <w:r>
        <w:rPr>
          <w:rFonts w:ascii="Times New Roman" w:eastAsia="宋体"/>
          <w:b/>
          <w:bCs/>
          <w:color w:val="auto"/>
          <w:kern w:val="2"/>
          <w:sz w:val="24"/>
        </w:rPr>
        <w:t>.1.1</w:t>
      </w:r>
      <w:bookmarkEnd w:id="495"/>
      <w:r>
        <w:rPr>
          <w:rFonts w:ascii="Times New Roman" w:eastAsia="宋体"/>
          <w:b/>
          <w:bCs/>
          <w:color w:val="auto"/>
          <w:kern w:val="2"/>
          <w:sz w:val="24"/>
        </w:rPr>
        <w:t>环境空气污染控制措施</w:t>
      </w:r>
    </w:p>
    <w:bookmarkEnd w:id="492"/>
    <w:bookmarkEnd w:id="493"/>
    <w:bookmarkEnd w:id="494"/>
    <w:p>
      <w:pPr>
        <w:spacing w:line="360" w:lineRule="auto"/>
        <w:ind w:firstLine="482"/>
        <w:rPr>
          <w:rFonts w:ascii="Times New Roman" w:eastAsia="宋体"/>
          <w:color w:val="auto"/>
          <w:lang w:val="zh-CN"/>
        </w:rPr>
      </w:pPr>
      <w:r>
        <w:rPr>
          <w:rFonts w:ascii="Times New Roman" w:eastAsia="宋体"/>
          <w:color w:val="auto"/>
          <w:lang w:val="zh-CN"/>
        </w:rPr>
        <w:t>（</w:t>
      </w:r>
      <w:r>
        <w:rPr>
          <w:rFonts w:ascii="Times New Roman" w:eastAsia="宋体"/>
          <w:color w:val="auto"/>
        </w:rPr>
        <w:t>1）</w:t>
      </w:r>
      <w:r>
        <w:rPr>
          <w:rFonts w:ascii="Times New Roman" w:eastAsia="宋体"/>
          <w:color w:val="auto"/>
          <w:lang w:val="zh-CN"/>
        </w:rPr>
        <w:t>扬尘防治措施</w:t>
      </w:r>
    </w:p>
    <w:p>
      <w:pPr>
        <w:spacing w:line="360" w:lineRule="auto"/>
        <w:ind w:firstLine="482"/>
        <w:jc w:val="left"/>
        <w:rPr>
          <w:rFonts w:ascii="Times New Roman" w:eastAsia="宋体"/>
          <w:color w:val="auto"/>
          <w:kern w:val="2"/>
        </w:rPr>
      </w:pPr>
      <w:r>
        <w:rPr>
          <w:rFonts w:ascii="Times New Roman" w:eastAsia="宋体"/>
          <w:color w:val="auto"/>
          <w:szCs w:val="22"/>
        </w:rPr>
        <w:t>施工期大气污染源主要</w:t>
      </w:r>
      <w:r>
        <w:rPr>
          <w:rFonts w:ascii="Times New Roman" w:eastAsia="宋体"/>
          <w:color w:val="auto"/>
          <w:kern w:val="2"/>
        </w:rPr>
        <w:t>为施工扬尘。为减少扬尘对工程所在地空气环境的影响，应采取以下扬尘污染防治措施：</w:t>
      </w:r>
    </w:p>
    <w:p>
      <w:pPr>
        <w:spacing w:line="360" w:lineRule="auto"/>
        <w:ind w:firstLine="482"/>
        <w:jc w:val="left"/>
        <w:rPr>
          <w:rFonts w:ascii="Times New Roman" w:eastAsia="宋体"/>
          <w:color w:val="auto"/>
          <w:szCs w:val="22"/>
        </w:rPr>
      </w:pPr>
      <w:r>
        <w:rPr>
          <w:rFonts w:hint="eastAsia" w:ascii="Times New Roman" w:eastAsia="宋体"/>
          <w:color w:val="auto"/>
          <w:szCs w:val="22"/>
        </w:rPr>
        <w:t>①</w:t>
      </w:r>
      <w:r>
        <w:rPr>
          <w:rFonts w:ascii="Times New Roman" w:eastAsia="宋体"/>
          <w:color w:val="auto"/>
          <w:szCs w:val="22"/>
        </w:rPr>
        <w:t>整个施工期必须设置2名的专职保洁员。根据施工工期、阶段和进度明确建设方、施工方扬尘控制责任人员数量、名单、联系电话和责任范围。</w:t>
      </w:r>
    </w:p>
    <w:p>
      <w:pPr>
        <w:spacing w:line="360" w:lineRule="auto"/>
        <w:ind w:firstLine="482"/>
        <w:jc w:val="left"/>
        <w:rPr>
          <w:rFonts w:ascii="Times New Roman" w:eastAsia="宋体"/>
          <w:color w:val="auto"/>
          <w:szCs w:val="22"/>
        </w:rPr>
      </w:pPr>
      <w:r>
        <w:rPr>
          <w:rFonts w:hint="eastAsia" w:ascii="Times New Roman" w:eastAsia="宋体"/>
          <w:color w:val="auto"/>
          <w:szCs w:val="22"/>
        </w:rPr>
        <w:t>②</w:t>
      </w:r>
      <w:r>
        <w:rPr>
          <w:rFonts w:ascii="Times New Roman" w:eastAsia="宋体"/>
          <w:color w:val="auto"/>
          <w:szCs w:val="22"/>
        </w:rPr>
        <w:t>施工工地周围按要求设置2.5m以上的硬质密闭围挡，围挡底端应设置防溢座，围挡必须在三通一平前完成。</w:t>
      </w:r>
    </w:p>
    <w:p>
      <w:pPr>
        <w:spacing w:line="360" w:lineRule="auto"/>
        <w:ind w:firstLine="482"/>
        <w:jc w:val="left"/>
        <w:rPr>
          <w:rFonts w:ascii="Times New Roman" w:eastAsia="宋体"/>
          <w:color w:val="auto"/>
          <w:szCs w:val="22"/>
        </w:rPr>
      </w:pPr>
      <w:r>
        <w:rPr>
          <w:rFonts w:hint="eastAsia" w:ascii="Times New Roman" w:eastAsia="宋体"/>
          <w:color w:val="auto"/>
          <w:szCs w:val="22"/>
        </w:rPr>
        <w:t>③</w:t>
      </w:r>
      <w:r>
        <w:rPr>
          <w:rFonts w:ascii="Times New Roman" w:eastAsia="宋体"/>
          <w:color w:val="auto"/>
          <w:szCs w:val="22"/>
        </w:rPr>
        <w:t>建设中的建筑物四周1.5米全部设置不低于2000目/100平方厘米的防尘网，防尘布应先安装后施工，且防尘布顶端应高于施工作业面2m以上。</w:t>
      </w:r>
    </w:p>
    <w:p>
      <w:pPr>
        <w:spacing w:line="360" w:lineRule="auto"/>
        <w:ind w:firstLine="482"/>
        <w:jc w:val="left"/>
        <w:rPr>
          <w:rFonts w:ascii="Times New Roman" w:eastAsia="宋体"/>
          <w:color w:val="auto"/>
          <w:szCs w:val="22"/>
        </w:rPr>
      </w:pPr>
      <w:r>
        <w:rPr>
          <w:rFonts w:hint="eastAsia" w:ascii="Times New Roman" w:eastAsia="宋体"/>
          <w:color w:val="auto"/>
          <w:szCs w:val="22"/>
        </w:rPr>
        <w:t>④</w:t>
      </w:r>
      <w:r>
        <w:rPr>
          <w:rFonts w:ascii="Times New Roman" w:eastAsia="宋体"/>
          <w:color w:val="auto"/>
          <w:szCs w:val="22"/>
        </w:rPr>
        <w:t>施工期间，当空气污染指数大于100或4级以上大风干燥天气不许土方作业和人工干扫。在空气污染指数80-100时应每隔4小时保洁一次，洒水与清扫交替使用。当空气污染指数大于100时，应加密保洁。建筑施工工地内及工地周围道路必须洒水，每天不得少于5次，降低施工车辆行驶产生的扬尘和渣土装卸产生的扬尘。</w:t>
      </w:r>
    </w:p>
    <w:p>
      <w:pPr>
        <w:spacing w:line="360" w:lineRule="auto"/>
        <w:ind w:firstLine="482"/>
        <w:jc w:val="left"/>
        <w:rPr>
          <w:rFonts w:ascii="Times New Roman" w:eastAsia="宋体"/>
          <w:color w:val="auto"/>
          <w:szCs w:val="22"/>
        </w:rPr>
      </w:pPr>
      <w:r>
        <w:rPr>
          <w:rFonts w:hint="eastAsia" w:ascii="Times New Roman" w:eastAsia="宋体"/>
          <w:color w:val="auto"/>
          <w:szCs w:val="22"/>
        </w:rPr>
        <w:t>⑤</w:t>
      </w:r>
      <w:r>
        <w:rPr>
          <w:rFonts w:ascii="Times New Roman" w:eastAsia="宋体"/>
          <w:color w:val="auto"/>
          <w:szCs w:val="22"/>
        </w:rPr>
        <w:t>超过2天的渣土堆、裸地应使用防尘布覆盖防尘，覆盖面积为大于渣土、裸地边缘2m长为宜，所有的粉料建材必须覆盖或使用料仓密闭存放。</w:t>
      </w:r>
    </w:p>
    <w:p>
      <w:pPr>
        <w:spacing w:line="360" w:lineRule="auto"/>
        <w:ind w:firstLine="482"/>
        <w:jc w:val="left"/>
        <w:rPr>
          <w:rFonts w:ascii="Times New Roman" w:eastAsia="宋体"/>
          <w:color w:val="auto"/>
          <w:szCs w:val="22"/>
        </w:rPr>
      </w:pPr>
      <w:r>
        <w:rPr>
          <w:rFonts w:hint="eastAsia" w:ascii="Times New Roman" w:eastAsia="宋体"/>
          <w:color w:val="auto"/>
          <w:szCs w:val="22"/>
        </w:rPr>
        <w:t>⑥</w:t>
      </w:r>
      <w:r>
        <w:rPr>
          <w:rFonts w:ascii="Times New Roman" w:eastAsia="宋体"/>
          <w:color w:val="auto"/>
          <w:szCs w:val="22"/>
        </w:rPr>
        <w:t>在项目进出口大门内侧设置洗车台，对出场车辆的车身、轮胎进行冲洗，冲洗台周边设置防溢座、导流渠等设施；冲洗点必须配置清洗机和2名清洗员（一边一人），洗车作业地面和连接进出口的道路必须水泥硬化，道路硬化宽度大于5m。连接进出口的道路必须保洁，保洁的长度不小于60m。</w:t>
      </w:r>
    </w:p>
    <w:p>
      <w:pPr>
        <w:spacing w:line="360" w:lineRule="auto"/>
        <w:ind w:firstLine="482"/>
        <w:jc w:val="left"/>
        <w:rPr>
          <w:rFonts w:ascii="Times New Roman" w:eastAsia="宋体"/>
          <w:color w:val="auto"/>
          <w:szCs w:val="22"/>
        </w:rPr>
      </w:pPr>
      <w:r>
        <w:rPr>
          <w:rFonts w:hint="eastAsia" w:ascii="Times New Roman" w:eastAsia="宋体"/>
          <w:color w:val="auto"/>
          <w:szCs w:val="22"/>
        </w:rPr>
        <w:t>⑦</w:t>
      </w:r>
      <w:r>
        <w:rPr>
          <w:rFonts w:ascii="Times New Roman" w:eastAsia="宋体"/>
          <w:color w:val="auto"/>
          <w:szCs w:val="22"/>
        </w:rPr>
        <w:t>在土方开挖、运输过程中，应按需要进行排水、土壁支撑的工作。</w:t>
      </w:r>
    </w:p>
    <w:p>
      <w:pPr>
        <w:spacing w:line="360" w:lineRule="auto"/>
        <w:ind w:firstLine="482"/>
        <w:jc w:val="left"/>
        <w:rPr>
          <w:rFonts w:ascii="Times New Roman" w:eastAsia="宋体"/>
          <w:color w:val="auto"/>
          <w:szCs w:val="22"/>
        </w:rPr>
      </w:pPr>
      <w:r>
        <w:rPr>
          <w:rFonts w:hint="eastAsia" w:ascii="Times New Roman" w:eastAsia="宋体"/>
          <w:color w:val="auto"/>
          <w:szCs w:val="22"/>
        </w:rPr>
        <w:t>⑧</w:t>
      </w:r>
      <w:r>
        <w:rPr>
          <w:rFonts w:ascii="Times New Roman" w:eastAsia="宋体"/>
          <w:color w:val="auto"/>
          <w:szCs w:val="22"/>
        </w:rPr>
        <w:t>装载物料的运输车辆应尽量采用密闭车斗，若无密闭车斗，装载物料不得超过车辆槽帮上沿，车斗应进行覆盖，覆盖边缘应超出槽帮上沿以下15cm，保证物料不露出，车辆应按照批准的路线和时间进行运输。</w:t>
      </w:r>
    </w:p>
    <w:p>
      <w:pPr>
        <w:spacing w:line="360" w:lineRule="auto"/>
        <w:ind w:firstLine="482"/>
        <w:jc w:val="left"/>
        <w:rPr>
          <w:rFonts w:ascii="Times New Roman" w:eastAsia="宋体"/>
          <w:color w:val="auto"/>
          <w:szCs w:val="22"/>
        </w:rPr>
      </w:pPr>
      <w:r>
        <w:rPr>
          <w:rFonts w:hint="eastAsia" w:ascii="Times New Roman" w:eastAsia="宋体"/>
          <w:color w:val="auto"/>
          <w:szCs w:val="22"/>
        </w:rPr>
        <w:t>⑨</w:t>
      </w:r>
      <w:r>
        <w:rPr>
          <w:rFonts w:ascii="Times New Roman" w:eastAsia="宋体"/>
          <w:color w:val="auto"/>
          <w:szCs w:val="22"/>
        </w:rPr>
        <w:t>项目必须使用商品混凝土，且不在现场搅拌，以避免混凝土搅拌过程中粉尘产生的影响。</w:t>
      </w:r>
    </w:p>
    <w:p>
      <w:pPr>
        <w:spacing w:line="360" w:lineRule="auto"/>
        <w:ind w:firstLine="482"/>
        <w:jc w:val="left"/>
        <w:rPr>
          <w:rFonts w:ascii="Times New Roman" w:eastAsia="宋体"/>
          <w:color w:val="auto"/>
          <w:szCs w:val="22"/>
        </w:rPr>
      </w:pPr>
      <w:r>
        <w:rPr>
          <w:rFonts w:hint="eastAsia" w:ascii="Times New Roman" w:eastAsia="宋体"/>
          <w:color w:val="auto"/>
          <w:szCs w:val="22"/>
        </w:rPr>
        <w:t>⑩</w:t>
      </w:r>
      <w:r>
        <w:rPr>
          <w:rFonts w:ascii="Times New Roman" w:eastAsia="宋体"/>
          <w:color w:val="auto"/>
          <w:szCs w:val="22"/>
        </w:rPr>
        <w:t>工程脚手架外侧使用密闭安全网进行封闭。建、构筑物建设和装饰过程中运送散装物料、清理建筑垃圾和渣土，采用密闭方式。建筑垃圾、工程渣土在48小时内不能完成清运的，必须设置临时堆放场。施工工地出入口必须设立环境保护监督栏。</w:t>
      </w:r>
    </w:p>
    <w:p>
      <w:pPr>
        <w:spacing w:line="360" w:lineRule="auto"/>
        <w:ind w:firstLine="482"/>
        <w:jc w:val="left"/>
        <w:rPr>
          <w:rFonts w:ascii="Times New Roman" w:eastAsia="宋体"/>
          <w:color w:val="auto"/>
          <w:szCs w:val="22"/>
        </w:rPr>
      </w:pPr>
      <w:r>
        <w:rPr>
          <w:rFonts w:ascii="Times New Roman" w:eastAsia="宋体"/>
          <w:color w:val="auto"/>
          <w:szCs w:val="22"/>
        </w:rPr>
        <w:t>上述减少扬尘污染的措施是常用的、有效的，也能落实到实际施工过程中，例如围挡起直接阻挡扬尘飞扬的作用，洒水可降低施工扬尘的起尘量。项目在采取上述措施后，粉尘产生量将大大减少，对周围环境的影响也将随着减小，因此措施合理可行。</w:t>
      </w:r>
    </w:p>
    <w:p>
      <w:pPr>
        <w:spacing w:line="360" w:lineRule="auto"/>
        <w:ind w:firstLine="482"/>
        <w:rPr>
          <w:rFonts w:ascii="Times New Roman" w:eastAsia="宋体"/>
          <w:color w:val="auto"/>
          <w:lang w:val="zh-CN"/>
        </w:rPr>
      </w:pPr>
      <w:r>
        <w:rPr>
          <w:rFonts w:ascii="Times New Roman" w:eastAsia="宋体"/>
          <w:color w:val="auto"/>
          <w:lang w:val="zh-CN"/>
        </w:rPr>
        <w:t>（</w:t>
      </w:r>
      <w:r>
        <w:rPr>
          <w:rFonts w:ascii="Times New Roman" w:eastAsia="宋体"/>
          <w:color w:val="auto"/>
        </w:rPr>
        <w:t>2</w:t>
      </w:r>
      <w:r>
        <w:rPr>
          <w:rFonts w:ascii="Times New Roman" w:eastAsia="宋体"/>
          <w:color w:val="auto"/>
          <w:lang w:val="zh-CN"/>
        </w:rPr>
        <w:t>）施工设备废气</w:t>
      </w:r>
    </w:p>
    <w:p>
      <w:pPr>
        <w:spacing w:line="360" w:lineRule="auto"/>
        <w:ind w:firstLine="482"/>
        <w:jc w:val="left"/>
        <w:rPr>
          <w:rFonts w:ascii="Times New Roman" w:eastAsia="宋体"/>
          <w:color w:val="auto"/>
          <w:szCs w:val="22"/>
        </w:rPr>
      </w:pPr>
      <w:r>
        <w:rPr>
          <w:rFonts w:ascii="Times New Roman" w:eastAsia="宋体"/>
          <w:color w:val="auto"/>
          <w:szCs w:val="22"/>
        </w:rPr>
        <w:t>为尽可能减少施工设备废气的污染，降低对施工区局部环境的影响，应采取以下措施：</w:t>
      </w:r>
    </w:p>
    <w:p>
      <w:pPr>
        <w:spacing w:line="360" w:lineRule="auto"/>
        <w:ind w:firstLine="482"/>
        <w:jc w:val="left"/>
        <w:rPr>
          <w:rFonts w:ascii="Times New Roman" w:eastAsia="宋体"/>
          <w:color w:val="auto"/>
          <w:szCs w:val="22"/>
        </w:rPr>
      </w:pPr>
      <w:bookmarkStart w:id="496" w:name="_Toc397698090"/>
      <w:bookmarkStart w:id="497" w:name="_Toc361429258"/>
      <w:bookmarkStart w:id="498" w:name="_Toc385331667"/>
      <w:r>
        <w:rPr>
          <w:rFonts w:hint="eastAsia" w:ascii="Times New Roman" w:eastAsia="宋体"/>
          <w:color w:val="auto"/>
          <w:szCs w:val="22"/>
        </w:rPr>
        <w:t>①</w:t>
      </w:r>
      <w:r>
        <w:rPr>
          <w:rFonts w:ascii="Times New Roman" w:eastAsia="宋体"/>
          <w:color w:val="auto"/>
          <w:szCs w:val="22"/>
        </w:rPr>
        <w:t>施工单位应采用尾气排放符合国家规定标准的车辆和施工机械，确保其在运行时尾气达标排放，减少对环境空气的污染。禁止尾气排放不达标的车辆和施工机械运行作业。</w:t>
      </w:r>
    </w:p>
    <w:p>
      <w:pPr>
        <w:spacing w:line="360" w:lineRule="auto"/>
        <w:ind w:firstLine="482"/>
        <w:jc w:val="left"/>
        <w:rPr>
          <w:rFonts w:ascii="Times New Roman" w:eastAsia="宋体"/>
          <w:color w:val="auto"/>
          <w:szCs w:val="22"/>
        </w:rPr>
      </w:pPr>
      <w:r>
        <w:rPr>
          <w:rFonts w:hint="eastAsia" w:ascii="Times New Roman" w:eastAsia="宋体"/>
          <w:color w:val="auto"/>
          <w:szCs w:val="22"/>
        </w:rPr>
        <w:t>②</w:t>
      </w:r>
      <w:r>
        <w:rPr>
          <w:rFonts w:ascii="Times New Roman" w:eastAsia="宋体"/>
          <w:color w:val="auto"/>
          <w:szCs w:val="22"/>
        </w:rPr>
        <w:t>运输车辆和施工机械发生故障和损坏，必须及时维修或更新，防止设备带病运行，加大废气对环境空气的污染。</w:t>
      </w:r>
    </w:p>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6.</w:t>
      </w:r>
      <w:r>
        <w:rPr>
          <w:rFonts w:hint="eastAsia" w:ascii="Times New Roman" w:eastAsia="宋体"/>
          <w:b/>
          <w:bCs/>
          <w:color w:val="auto"/>
          <w:kern w:val="2"/>
          <w:sz w:val="24"/>
        </w:rPr>
        <w:t>1</w:t>
      </w:r>
      <w:r>
        <w:rPr>
          <w:rFonts w:ascii="Times New Roman" w:eastAsia="宋体"/>
          <w:b/>
          <w:bCs/>
          <w:color w:val="auto"/>
          <w:kern w:val="2"/>
          <w:sz w:val="24"/>
        </w:rPr>
        <w:t>.</w:t>
      </w:r>
      <w:r>
        <w:rPr>
          <w:rFonts w:hint="eastAsia" w:ascii="Times New Roman" w:eastAsia="宋体"/>
          <w:b/>
          <w:bCs/>
          <w:color w:val="auto"/>
          <w:kern w:val="2"/>
          <w:sz w:val="24"/>
        </w:rPr>
        <w:t>2</w:t>
      </w:r>
      <w:r>
        <w:rPr>
          <w:rFonts w:ascii="Times New Roman" w:eastAsia="宋体"/>
          <w:b/>
          <w:bCs/>
          <w:color w:val="auto"/>
          <w:kern w:val="2"/>
          <w:sz w:val="24"/>
        </w:rPr>
        <w:t>水环境污染防治措施</w:t>
      </w:r>
    </w:p>
    <w:p>
      <w:pPr>
        <w:spacing w:line="360" w:lineRule="auto"/>
        <w:ind w:firstLine="512" w:firstLineChars="200"/>
        <w:rPr>
          <w:rFonts w:ascii="Times New Roman" w:eastAsia="宋体"/>
          <w:color w:val="auto"/>
          <w:spacing w:val="4"/>
          <w:kern w:val="2"/>
        </w:rPr>
      </w:pPr>
      <w:r>
        <w:rPr>
          <w:rFonts w:ascii="Times New Roman" w:eastAsia="宋体"/>
          <w:color w:val="auto"/>
          <w:spacing w:val="4"/>
          <w:kern w:val="2"/>
        </w:rPr>
        <w:t>施工期的废水主要包括施工作业污水、施工人员生活污水和基础开挖时产生的地下涌水。采取的防治措施主要有：</w:t>
      </w:r>
    </w:p>
    <w:p>
      <w:pPr>
        <w:numPr>
          <w:ilvl w:val="0"/>
          <w:numId w:val="10"/>
        </w:numPr>
        <w:adjustRightInd w:val="0"/>
        <w:snapToGrid w:val="0"/>
        <w:spacing w:line="360" w:lineRule="auto"/>
        <w:ind w:firstLine="496" w:firstLineChars="200"/>
        <w:rPr>
          <w:rFonts w:ascii="Times New Roman" w:eastAsia="宋体"/>
          <w:color w:val="auto"/>
          <w:kern w:val="2"/>
        </w:rPr>
      </w:pPr>
      <w:r>
        <w:rPr>
          <w:rFonts w:ascii="Times New Roman" w:eastAsia="宋体"/>
          <w:color w:val="auto"/>
          <w:kern w:val="2"/>
        </w:rPr>
        <w:t>建设导流沟：在施工场地建设临时导流沟，将暴雨径流引至导流沟排放，避免雨水横流现象。</w:t>
      </w:r>
    </w:p>
    <w:p>
      <w:pPr>
        <w:spacing w:line="360" w:lineRule="auto"/>
        <w:ind w:firstLine="512" w:firstLineChars="200"/>
        <w:rPr>
          <w:rFonts w:ascii="Times New Roman" w:eastAsia="宋体"/>
          <w:color w:val="auto"/>
          <w:spacing w:val="4"/>
          <w:kern w:val="2"/>
          <w:szCs w:val="22"/>
        </w:rPr>
      </w:pPr>
      <w:r>
        <w:rPr>
          <w:rFonts w:ascii="Times New Roman" w:eastAsia="宋体"/>
          <w:color w:val="auto"/>
          <w:spacing w:val="4"/>
          <w:kern w:val="2"/>
          <w:szCs w:val="22"/>
        </w:rPr>
        <w:t>（</w:t>
      </w:r>
      <w:r>
        <w:rPr>
          <w:rFonts w:hint="eastAsia" w:ascii="Times New Roman" w:eastAsia="宋体"/>
          <w:color w:val="auto"/>
          <w:spacing w:val="4"/>
          <w:kern w:val="2"/>
          <w:szCs w:val="22"/>
        </w:rPr>
        <w:t>2</w:t>
      </w:r>
      <w:r>
        <w:rPr>
          <w:rFonts w:ascii="Times New Roman" w:eastAsia="宋体"/>
          <w:color w:val="auto"/>
          <w:spacing w:val="4"/>
          <w:kern w:val="2"/>
          <w:szCs w:val="22"/>
        </w:rPr>
        <w:t>）雨天施工要注意防止水土流失，堆积土方时适当采取覆盖措施，防止於塞下水系统，汛期及暴雨天要停止施工。</w:t>
      </w:r>
    </w:p>
    <w:p>
      <w:pPr>
        <w:spacing w:line="360" w:lineRule="auto"/>
        <w:ind w:firstLine="512" w:firstLineChars="200"/>
        <w:rPr>
          <w:rFonts w:ascii="Times New Roman" w:eastAsia="宋体"/>
          <w:color w:val="auto"/>
          <w:kern w:val="2"/>
        </w:rPr>
      </w:pPr>
      <w:r>
        <w:rPr>
          <w:rFonts w:ascii="Times New Roman" w:eastAsia="宋体"/>
          <w:color w:val="auto"/>
          <w:spacing w:val="4"/>
          <w:kern w:val="2"/>
          <w:szCs w:val="22"/>
        </w:rPr>
        <w:t>（</w:t>
      </w:r>
      <w:r>
        <w:rPr>
          <w:rFonts w:hint="eastAsia" w:ascii="Times New Roman" w:eastAsia="宋体"/>
          <w:color w:val="auto"/>
          <w:spacing w:val="4"/>
          <w:kern w:val="2"/>
          <w:szCs w:val="22"/>
        </w:rPr>
        <w:t>3</w:t>
      </w:r>
      <w:r>
        <w:rPr>
          <w:rFonts w:ascii="Times New Roman" w:eastAsia="宋体"/>
          <w:color w:val="auto"/>
          <w:spacing w:val="4"/>
          <w:kern w:val="2"/>
          <w:szCs w:val="22"/>
        </w:rPr>
        <w:t>）车辆、设备冲洗水循环使用：设置沉淀池</w:t>
      </w:r>
      <w:r>
        <w:rPr>
          <w:rFonts w:ascii="Times New Roman" w:eastAsia="宋体"/>
          <w:color w:val="auto"/>
          <w:kern w:val="2"/>
        </w:rPr>
        <w:t>，将设备、车辆洗涤水简单处理后循环使用，禁止此类废水直接外排。</w:t>
      </w:r>
    </w:p>
    <w:p>
      <w:pPr>
        <w:adjustRightInd w:val="0"/>
        <w:snapToGrid w:val="0"/>
        <w:spacing w:line="360" w:lineRule="auto"/>
        <w:ind w:firstLine="496" w:firstLineChars="200"/>
        <w:rPr>
          <w:rFonts w:ascii="Times New Roman" w:eastAsia="宋体"/>
          <w:color w:val="auto"/>
          <w:kern w:val="2"/>
        </w:rPr>
      </w:pPr>
      <w:r>
        <w:rPr>
          <w:rFonts w:ascii="Times New Roman" w:eastAsia="宋体"/>
          <w:color w:val="auto"/>
          <w:kern w:val="2"/>
        </w:rPr>
        <w:t>（</w:t>
      </w:r>
      <w:r>
        <w:rPr>
          <w:rFonts w:hint="eastAsia" w:ascii="Times New Roman" w:eastAsia="宋体"/>
          <w:color w:val="auto"/>
          <w:kern w:val="2"/>
        </w:rPr>
        <w:t>4</w:t>
      </w:r>
      <w:r>
        <w:rPr>
          <w:rFonts w:ascii="Times New Roman" w:eastAsia="宋体"/>
          <w:color w:val="auto"/>
          <w:kern w:val="2"/>
        </w:rPr>
        <w:t>）施工场地局部应进行硬化处理，避免施工期因水土流失造成下区域水环境污染。</w:t>
      </w:r>
    </w:p>
    <w:p>
      <w:pPr>
        <w:spacing w:line="360" w:lineRule="auto"/>
        <w:ind w:firstLine="496" w:firstLineChars="200"/>
        <w:rPr>
          <w:rFonts w:hint="eastAsia" w:ascii="Times New Roman" w:eastAsia="宋体"/>
          <w:color w:val="auto"/>
          <w:kern w:val="2"/>
          <w:lang w:val="en-US" w:eastAsia="zh-CN"/>
        </w:rPr>
      </w:pPr>
      <w:r>
        <w:rPr>
          <w:rFonts w:ascii="Times New Roman" w:eastAsia="宋体"/>
          <w:color w:val="auto"/>
          <w:kern w:val="2"/>
        </w:rPr>
        <w:t>（</w:t>
      </w:r>
      <w:r>
        <w:rPr>
          <w:rFonts w:hint="eastAsia" w:ascii="Times New Roman" w:eastAsia="宋体"/>
          <w:color w:val="auto"/>
          <w:kern w:val="2"/>
        </w:rPr>
        <w:t>5</w:t>
      </w:r>
      <w:r>
        <w:rPr>
          <w:rFonts w:ascii="Times New Roman" w:eastAsia="宋体"/>
          <w:color w:val="auto"/>
          <w:kern w:val="2"/>
        </w:rPr>
        <w:t>）</w:t>
      </w:r>
      <w:r>
        <w:rPr>
          <w:rFonts w:hint="eastAsia" w:ascii="Times New Roman" w:eastAsia="宋体"/>
          <w:color w:val="auto"/>
          <w:kern w:val="2"/>
          <w:lang w:val="en-US" w:eastAsia="zh-CN"/>
        </w:rPr>
        <w:t>施工地不建设营地，</w:t>
      </w:r>
      <w:r>
        <w:rPr>
          <w:rFonts w:ascii="Times New Roman" w:eastAsia="宋体"/>
          <w:color w:val="auto"/>
          <w:kern w:val="2"/>
        </w:rPr>
        <w:t>施工人员</w:t>
      </w:r>
      <w:r>
        <w:rPr>
          <w:rFonts w:hint="eastAsia" w:ascii="Times New Roman" w:eastAsia="宋体"/>
          <w:color w:val="auto"/>
          <w:kern w:val="2"/>
          <w:lang w:val="en-US" w:eastAsia="zh-CN"/>
        </w:rPr>
        <w:t>为当地居民，就餐等均依托周边，</w:t>
      </w:r>
      <w:r>
        <w:rPr>
          <w:rFonts w:hint="eastAsia" w:ascii="Times New Roman" w:eastAsia="宋体"/>
          <w:color w:val="auto"/>
          <w:lang w:val="en-US" w:eastAsia="zh-CN"/>
        </w:rPr>
        <w:t>设置移动厕所，</w:t>
      </w:r>
      <w:r>
        <w:rPr>
          <w:rFonts w:hint="eastAsia" w:ascii="Times New Roman" w:hAnsi="Times New Roman" w:eastAsia="宋体" w:cs="Times New Roman"/>
          <w:color w:val="auto"/>
          <w:lang w:val="en-US" w:eastAsia="zh-CN"/>
        </w:rPr>
        <w:t>生活污水经临时化粪池处理后用于周边菜地施肥</w:t>
      </w:r>
      <w:r>
        <w:rPr>
          <w:rFonts w:hint="eastAsia" w:ascii="Times New Roman" w:eastAsia="宋体"/>
          <w:color w:val="auto"/>
          <w:kern w:val="2"/>
          <w:lang w:val="en-US" w:eastAsia="zh-CN"/>
        </w:rPr>
        <w:t>。</w:t>
      </w:r>
    </w:p>
    <w:p>
      <w:pPr>
        <w:spacing w:line="360" w:lineRule="auto"/>
        <w:ind w:firstLine="496" w:firstLineChars="200"/>
        <w:rPr>
          <w:rFonts w:ascii="Times New Roman" w:eastAsia="宋体"/>
          <w:color w:val="auto"/>
          <w:kern w:val="2"/>
        </w:rPr>
      </w:pPr>
      <w:r>
        <w:rPr>
          <w:rFonts w:ascii="Times New Roman" w:eastAsia="宋体"/>
          <w:color w:val="auto"/>
        </w:rPr>
        <w:t>（</w:t>
      </w:r>
      <w:r>
        <w:rPr>
          <w:rFonts w:hint="eastAsia" w:ascii="Times New Roman" w:eastAsia="宋体"/>
          <w:color w:val="auto"/>
        </w:rPr>
        <w:t>6</w:t>
      </w:r>
      <w:r>
        <w:rPr>
          <w:rFonts w:ascii="Times New Roman" w:eastAsia="宋体"/>
          <w:color w:val="auto"/>
        </w:rPr>
        <w:t>）禁止向水体排放、倾倒施工废渣、生活垃圾和其他废弃物。</w:t>
      </w:r>
    </w:p>
    <w:p>
      <w:pPr>
        <w:adjustRightInd w:val="0"/>
        <w:snapToGrid w:val="0"/>
        <w:spacing w:line="360" w:lineRule="auto"/>
        <w:ind w:firstLine="496" w:firstLineChars="200"/>
        <w:rPr>
          <w:rFonts w:ascii="Times New Roman" w:eastAsia="宋体"/>
          <w:color w:val="auto"/>
          <w:kern w:val="2"/>
        </w:rPr>
      </w:pPr>
      <w:r>
        <w:rPr>
          <w:rFonts w:ascii="Times New Roman" w:eastAsia="宋体"/>
          <w:color w:val="auto"/>
          <w:kern w:val="2"/>
        </w:rPr>
        <w:t>（</w:t>
      </w:r>
      <w:r>
        <w:rPr>
          <w:rFonts w:hint="eastAsia" w:ascii="Times New Roman" w:eastAsia="宋体"/>
          <w:color w:val="auto"/>
          <w:kern w:val="2"/>
        </w:rPr>
        <w:t>7</w:t>
      </w:r>
      <w:r>
        <w:rPr>
          <w:rFonts w:ascii="Times New Roman" w:eastAsia="宋体"/>
          <w:color w:val="auto"/>
          <w:kern w:val="2"/>
        </w:rPr>
        <w:t>）基建完工后，及时恢复区域绿化和场地硬化，杜绝土壤裸露和水土流失。</w:t>
      </w:r>
    </w:p>
    <w:p>
      <w:pPr>
        <w:spacing w:line="360" w:lineRule="auto"/>
        <w:ind w:firstLine="512" w:firstLineChars="200"/>
        <w:rPr>
          <w:rFonts w:ascii="Times New Roman" w:eastAsia="宋体"/>
          <w:bCs/>
          <w:color w:val="auto"/>
          <w:spacing w:val="4"/>
          <w:kern w:val="2"/>
        </w:rPr>
      </w:pPr>
      <w:r>
        <w:rPr>
          <w:rFonts w:ascii="Times New Roman" w:eastAsia="宋体"/>
          <w:color w:val="auto"/>
          <w:spacing w:val="4"/>
          <w:kern w:val="2"/>
        </w:rPr>
        <w:t>采用上述措施后，项目施工废水可做到合理利用，对周围地表水体的影响较小，措施可行</w:t>
      </w:r>
      <w:r>
        <w:rPr>
          <w:rFonts w:ascii="Times New Roman" w:eastAsia="宋体"/>
          <w:bCs/>
          <w:color w:val="auto"/>
          <w:spacing w:val="4"/>
          <w:kern w:val="2"/>
        </w:rPr>
        <w:t>。</w:t>
      </w:r>
    </w:p>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6.1.3噪声污染控制措施</w:t>
      </w:r>
    </w:p>
    <w:p>
      <w:pPr>
        <w:spacing w:line="360" w:lineRule="auto"/>
        <w:ind w:firstLine="496" w:firstLineChars="200"/>
        <w:rPr>
          <w:rFonts w:ascii="Times New Roman" w:eastAsia="宋体"/>
          <w:color w:val="auto"/>
          <w:kern w:val="2"/>
        </w:rPr>
      </w:pPr>
      <w:r>
        <w:rPr>
          <w:rFonts w:ascii="Times New Roman" w:eastAsia="宋体"/>
          <w:color w:val="auto"/>
          <w:kern w:val="2"/>
        </w:rPr>
        <w:t>施工噪声源主要为挖掘机、推土机、打桩机、振捣器、电锯、电钻、卷扬机、水泵等施工机械设备以及建筑材料运输车辆，噪声源强85～105dB(A)；</w:t>
      </w:r>
    </w:p>
    <w:p>
      <w:pPr>
        <w:spacing w:line="360" w:lineRule="auto"/>
        <w:ind w:firstLine="496" w:firstLineChars="200"/>
        <w:rPr>
          <w:rFonts w:ascii="Times New Roman" w:eastAsia="宋体"/>
          <w:color w:val="auto"/>
          <w:kern w:val="2"/>
        </w:rPr>
      </w:pPr>
      <w:r>
        <w:rPr>
          <w:rFonts w:ascii="Times New Roman" w:eastAsia="宋体"/>
          <w:color w:val="auto"/>
          <w:kern w:val="2"/>
        </w:rPr>
        <w:t>项目周边</w:t>
      </w:r>
      <w:r>
        <w:rPr>
          <w:rFonts w:hint="eastAsia" w:ascii="Times New Roman" w:eastAsia="宋体"/>
          <w:color w:val="auto"/>
          <w:kern w:val="2"/>
        </w:rPr>
        <w:t>1</w:t>
      </w:r>
      <w:r>
        <w:rPr>
          <w:rFonts w:ascii="Times New Roman" w:eastAsia="宋体"/>
          <w:color w:val="auto"/>
          <w:kern w:val="2"/>
        </w:rPr>
        <w:t>00m范围内无居民点，但为减轻施工期噪声对外环境的影响，建设单位必须加强施工噪声污染防治措施，合理施工布局，采取以下污染防治措施：</w:t>
      </w:r>
    </w:p>
    <w:p>
      <w:pPr>
        <w:spacing w:line="360" w:lineRule="auto"/>
        <w:ind w:firstLine="496" w:firstLineChars="200"/>
        <w:rPr>
          <w:rFonts w:ascii="Times New Roman" w:eastAsia="宋体"/>
          <w:color w:val="auto"/>
          <w:kern w:val="2"/>
        </w:rPr>
      </w:pPr>
      <w:r>
        <w:rPr>
          <w:rFonts w:ascii="Times New Roman" w:eastAsia="宋体"/>
          <w:color w:val="auto"/>
          <w:kern w:val="2"/>
        </w:rPr>
        <w:t>（1）合理布置施工场地，高噪声施工设备布置应远离敏感目标的地方。</w:t>
      </w:r>
    </w:p>
    <w:p>
      <w:pPr>
        <w:spacing w:line="360" w:lineRule="auto"/>
        <w:ind w:firstLine="496" w:firstLineChars="200"/>
        <w:rPr>
          <w:rFonts w:ascii="Times New Roman" w:eastAsia="宋体"/>
          <w:color w:val="auto"/>
          <w:kern w:val="2"/>
        </w:rPr>
      </w:pPr>
      <w:r>
        <w:rPr>
          <w:rFonts w:ascii="Times New Roman" w:eastAsia="宋体"/>
          <w:color w:val="auto"/>
          <w:kern w:val="2"/>
        </w:rPr>
        <w:t>（2）尽量采用先进的低噪声施工机械设备，同时尽量使用新施工机械设备，并加强旧施工机械设备维护保养，避免由于其使用时间长久或维修不及时而造成工作时发出高噪声，从源头减少噪声源强，控制噪声污染。</w:t>
      </w:r>
    </w:p>
    <w:p>
      <w:pPr>
        <w:spacing w:line="360" w:lineRule="auto"/>
        <w:ind w:firstLine="496" w:firstLineChars="200"/>
        <w:rPr>
          <w:rFonts w:ascii="Times New Roman" w:eastAsia="宋体"/>
          <w:color w:val="auto"/>
          <w:kern w:val="2"/>
        </w:rPr>
      </w:pPr>
      <w:r>
        <w:rPr>
          <w:rFonts w:ascii="Times New Roman" w:eastAsia="宋体"/>
          <w:color w:val="auto"/>
          <w:kern w:val="2"/>
        </w:rPr>
        <w:t>（3）严格按照国家有关规定，禁止在夜间（22时～次日6 时）施工及运输建筑材料，限制高噪声源作业时间。</w:t>
      </w:r>
    </w:p>
    <w:p>
      <w:pPr>
        <w:spacing w:line="360" w:lineRule="auto"/>
        <w:ind w:firstLine="496" w:firstLineChars="200"/>
        <w:rPr>
          <w:rFonts w:ascii="Times New Roman" w:eastAsia="宋体"/>
          <w:color w:val="auto"/>
          <w:kern w:val="2"/>
        </w:rPr>
      </w:pPr>
      <w:r>
        <w:rPr>
          <w:rFonts w:ascii="Times New Roman" w:eastAsia="宋体"/>
          <w:color w:val="auto"/>
          <w:kern w:val="2"/>
        </w:rPr>
        <w:t>（4）定期检查施工设备，一发现产生的噪声增加应及时维修或更换。必要时建立临时隔声屏障。</w:t>
      </w:r>
    </w:p>
    <w:p>
      <w:pPr>
        <w:spacing w:line="360" w:lineRule="auto"/>
        <w:ind w:firstLine="496" w:firstLineChars="200"/>
        <w:rPr>
          <w:rFonts w:ascii="Times New Roman" w:eastAsia="宋体"/>
          <w:color w:val="auto"/>
          <w:kern w:val="2"/>
        </w:rPr>
      </w:pPr>
      <w:r>
        <w:rPr>
          <w:rFonts w:ascii="Times New Roman" w:eastAsia="宋体"/>
          <w:color w:val="auto"/>
          <w:kern w:val="2"/>
        </w:rPr>
        <w:t>（5）加强与周围居民的沟通，夜间施工除需办理环保审批手续外，还应提前以适当方式告知受影响群众，征得群众谅解。</w:t>
      </w:r>
    </w:p>
    <w:p>
      <w:pPr>
        <w:spacing w:line="360" w:lineRule="auto"/>
        <w:ind w:firstLine="496" w:firstLineChars="200"/>
        <w:rPr>
          <w:rFonts w:ascii="Times New Roman" w:eastAsia="宋体"/>
          <w:color w:val="auto"/>
          <w:kern w:val="2"/>
        </w:rPr>
      </w:pPr>
      <w:r>
        <w:rPr>
          <w:rFonts w:ascii="Times New Roman" w:eastAsia="宋体"/>
          <w:color w:val="auto"/>
          <w:kern w:val="2"/>
        </w:rPr>
        <w:t>（6）进出施工场界的物料运输车辆需限制行驶速度，并禁鸣喇叭，以最大程度减小运输车辆噪声对周边敏感目标的影响。</w:t>
      </w:r>
    </w:p>
    <w:p>
      <w:pPr>
        <w:spacing w:line="360" w:lineRule="auto"/>
        <w:ind w:firstLine="496" w:firstLineChars="200"/>
        <w:rPr>
          <w:rFonts w:ascii="Times New Roman" w:eastAsia="宋体"/>
          <w:color w:val="auto"/>
          <w:kern w:val="2"/>
        </w:rPr>
      </w:pPr>
      <w:r>
        <w:rPr>
          <w:rFonts w:ascii="Times New Roman" w:eastAsia="宋体"/>
          <w:color w:val="auto"/>
          <w:kern w:val="2"/>
        </w:rPr>
        <w:t>（7）项目在装修阶段使用的电锯、电刨、电钻产生的噪声值较高，故禁止中午或夜间施工，在施工工序上建议先装门、窗，后进行其它方面的装修，利用先装好的门窗，可隔噪声10dB(A)左右，以减小项目装修阶段其它工序产生的噪声对周边环境敏感目标的影响。</w:t>
      </w:r>
    </w:p>
    <w:p>
      <w:pPr>
        <w:autoSpaceDE w:val="0"/>
        <w:autoSpaceDN w:val="0"/>
        <w:adjustRightInd w:val="0"/>
        <w:spacing w:line="360" w:lineRule="auto"/>
        <w:ind w:firstLine="496" w:firstLineChars="200"/>
        <w:jc w:val="left"/>
        <w:rPr>
          <w:rFonts w:ascii="Times New Roman" w:eastAsia="宋体"/>
          <w:color w:val="auto"/>
        </w:rPr>
      </w:pPr>
      <w:r>
        <w:rPr>
          <w:rFonts w:ascii="Times New Roman" w:eastAsia="宋体"/>
          <w:color w:val="auto"/>
          <w:kern w:val="2"/>
        </w:rPr>
        <w:t>采取上述降噪措施后，项目施工期噪声对区域声环境不会产生明显不利影响，对周围声环境的影响可得到有效缓解。</w:t>
      </w:r>
    </w:p>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6.1.4固体废物污染控制措施</w:t>
      </w:r>
      <w:r>
        <w:rPr>
          <w:rFonts w:hint="eastAsia" w:ascii="Times New Roman" w:eastAsia="宋体"/>
          <w:b/>
          <w:bCs/>
          <w:color w:val="auto"/>
          <w:kern w:val="2"/>
          <w:sz w:val="24"/>
        </w:rPr>
        <w:t xml:space="preserve"> </w:t>
      </w:r>
    </w:p>
    <w:p>
      <w:pPr>
        <w:spacing w:line="360" w:lineRule="auto"/>
        <w:ind w:firstLine="496" w:firstLineChars="200"/>
        <w:rPr>
          <w:rFonts w:ascii="Times New Roman" w:eastAsia="宋体"/>
          <w:color w:val="auto"/>
          <w:kern w:val="2"/>
        </w:rPr>
      </w:pPr>
      <w:r>
        <w:rPr>
          <w:rFonts w:ascii="Times New Roman" w:eastAsia="宋体"/>
          <w:color w:val="auto"/>
          <w:kern w:val="2"/>
        </w:rPr>
        <w:t>（1）建设单位和施工单位要重视和加强建筑垃圾的管理，积极采取措施，防止其对环境的污染。</w:t>
      </w:r>
    </w:p>
    <w:p>
      <w:pPr>
        <w:spacing w:line="360" w:lineRule="auto"/>
        <w:ind w:firstLine="496" w:firstLineChars="200"/>
        <w:rPr>
          <w:rFonts w:ascii="Times New Roman" w:eastAsia="宋体"/>
          <w:color w:val="auto"/>
          <w:kern w:val="2"/>
        </w:rPr>
      </w:pPr>
      <w:r>
        <w:rPr>
          <w:rFonts w:ascii="Times New Roman" w:eastAsia="宋体"/>
          <w:color w:val="auto"/>
          <w:kern w:val="2"/>
        </w:rPr>
        <w:t>（2）施工单位要向当地市容卫生管理部门提出建筑垃圾处置的请示报告，经批准后将建筑垃圾清运到指定地点合理消纳，防止水土流失和破坏当地景观。</w:t>
      </w:r>
    </w:p>
    <w:p>
      <w:pPr>
        <w:spacing w:line="360" w:lineRule="auto"/>
        <w:ind w:firstLine="496" w:firstLineChars="200"/>
        <w:rPr>
          <w:rFonts w:ascii="Times New Roman" w:eastAsia="宋体"/>
          <w:color w:val="auto"/>
          <w:kern w:val="2"/>
        </w:rPr>
      </w:pPr>
      <w:r>
        <w:rPr>
          <w:rFonts w:ascii="Times New Roman" w:eastAsia="宋体"/>
          <w:color w:val="auto"/>
          <w:kern w:val="2"/>
        </w:rPr>
        <w:t>（3）对施工期间产生的建筑垃圾进行分类收集、分类暂存，能够回收利用的尽量回收综合利用，以节约宝贵的资源。</w:t>
      </w:r>
    </w:p>
    <w:p>
      <w:pPr>
        <w:spacing w:line="360" w:lineRule="auto"/>
        <w:ind w:firstLine="496" w:firstLineChars="200"/>
        <w:rPr>
          <w:rFonts w:ascii="Times New Roman" w:eastAsia="宋体"/>
          <w:color w:val="auto"/>
          <w:kern w:val="2"/>
        </w:rPr>
      </w:pPr>
      <w:r>
        <w:rPr>
          <w:rFonts w:ascii="Times New Roman" w:eastAsia="宋体"/>
          <w:color w:val="auto"/>
          <w:kern w:val="2"/>
        </w:rPr>
        <w:t>（4）对建筑垃圾要进行收集并固定地点集中暂存，尽量缩短暂存的时间，争取日产日清。同时要做好建筑垃圾暂存点的防护工作，避免风吹、雨淋散失或流失。</w:t>
      </w:r>
    </w:p>
    <w:p>
      <w:pPr>
        <w:spacing w:line="360" w:lineRule="auto"/>
        <w:ind w:firstLine="496" w:firstLineChars="200"/>
        <w:rPr>
          <w:rFonts w:ascii="Times New Roman" w:eastAsia="宋体"/>
          <w:color w:val="auto"/>
          <w:kern w:val="2"/>
        </w:rPr>
      </w:pPr>
      <w:r>
        <w:rPr>
          <w:rFonts w:ascii="Times New Roman" w:eastAsia="宋体"/>
          <w:color w:val="auto"/>
          <w:kern w:val="2"/>
        </w:rPr>
        <w:t>（5）生活垃圾应定点存放，由环卫部门定时和统一集中处置。</w:t>
      </w:r>
    </w:p>
    <w:p>
      <w:pPr>
        <w:spacing w:line="360" w:lineRule="auto"/>
        <w:ind w:firstLine="496" w:firstLineChars="200"/>
        <w:rPr>
          <w:rFonts w:ascii="Times New Roman" w:eastAsia="宋体"/>
          <w:color w:val="auto"/>
          <w:kern w:val="2"/>
        </w:rPr>
      </w:pPr>
      <w:r>
        <w:rPr>
          <w:rFonts w:ascii="Times New Roman" w:eastAsia="宋体"/>
          <w:color w:val="auto"/>
          <w:kern w:val="2"/>
        </w:rPr>
        <w:t>（6）施工单位不准将各种固体废物随意丢弃和随意排放。</w:t>
      </w:r>
    </w:p>
    <w:p>
      <w:pPr>
        <w:spacing w:line="360" w:lineRule="auto"/>
        <w:ind w:firstLine="496" w:firstLineChars="200"/>
        <w:rPr>
          <w:rFonts w:ascii="Times New Roman" w:eastAsia="宋体"/>
          <w:color w:val="auto"/>
          <w:kern w:val="2"/>
          <w:u w:val="single"/>
        </w:rPr>
      </w:pPr>
      <w:r>
        <w:rPr>
          <w:rFonts w:ascii="Times New Roman" w:eastAsia="宋体"/>
          <w:color w:val="auto"/>
          <w:kern w:val="2"/>
        </w:rPr>
        <w:t>（7）</w:t>
      </w:r>
      <w:r>
        <w:rPr>
          <w:rFonts w:ascii="Times New Roman" w:eastAsia="宋体"/>
          <w:color w:val="auto"/>
          <w:kern w:val="2"/>
          <w:u w:val="single"/>
        </w:rPr>
        <w:t>车辆运输散体物和废弃物时，必须密封、覆盖，不得沿途撒漏；运载土方的车辆必须在规定的时间内，按指定路段行驶。</w:t>
      </w:r>
    </w:p>
    <w:p>
      <w:pPr>
        <w:spacing w:line="360" w:lineRule="auto"/>
        <w:ind w:firstLine="496" w:firstLineChars="200"/>
        <w:rPr>
          <w:rFonts w:ascii="Times New Roman" w:eastAsia="宋体"/>
          <w:color w:val="auto"/>
          <w:kern w:val="2"/>
        </w:rPr>
      </w:pPr>
      <w:r>
        <w:rPr>
          <w:rFonts w:ascii="Times New Roman" w:eastAsia="宋体"/>
          <w:color w:val="auto"/>
          <w:kern w:val="2"/>
        </w:rPr>
        <w:t>通过以上措施处理，固体废物污染可得到有效控制，并避免二次污染的产生，措施可行。</w:t>
      </w:r>
    </w:p>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6.1.5生态环境保护与恢复措施</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施工期生态环境影响主要表现在对生物多样性、土地利用、水土流失以及景观等方面的影响。</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本项目占地43905</w:t>
      </w:r>
      <w:r>
        <w:rPr>
          <w:rFonts w:ascii="Times New Roman" w:eastAsia="宋体"/>
          <w:color w:val="auto"/>
          <w:kern w:val="2"/>
          <w:szCs w:val="24"/>
        </w:rPr>
        <w:t>m</w:t>
      </w:r>
      <w:r>
        <w:rPr>
          <w:rFonts w:ascii="Times New Roman" w:eastAsia="宋体"/>
          <w:color w:val="auto"/>
          <w:kern w:val="2"/>
          <w:szCs w:val="24"/>
          <w:vertAlign w:val="superscript"/>
        </w:rPr>
        <w:t>2</w:t>
      </w:r>
      <w:r>
        <w:rPr>
          <w:rFonts w:ascii="Times New Roman" w:eastAsia="宋体"/>
          <w:color w:val="auto"/>
          <w:kern w:val="2"/>
        </w:rPr>
        <w:t>，建设用地为主要为</w:t>
      </w:r>
      <w:r>
        <w:rPr>
          <w:rFonts w:hint="eastAsia" w:ascii="Times New Roman" w:eastAsia="宋体"/>
          <w:color w:val="auto"/>
          <w:kern w:val="2"/>
        </w:rPr>
        <w:t>林地</w:t>
      </w:r>
      <w:r>
        <w:rPr>
          <w:rFonts w:ascii="Times New Roman" w:eastAsia="宋体"/>
          <w:color w:val="auto"/>
          <w:kern w:val="2"/>
        </w:rPr>
        <w:t>，周边无风景名胜区、无文物保护单位，因此工程建设对生物多样性、土地利用及景观的影响较小，但施工期不可避免产生水土流失问题，建设单位应采取如下措施：</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（1）科学规划，合理安排，挖填方配套作业，及时运输挖方、及时压实填方，防止暴雨径流对开挖面及填方区的冲刷，对于暂未开发区域采用防尘布覆盖，从根本上减少水土流失量。</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2）施工中采取临时防护措施，如在场地周围设临时排洪沟，并用草席、沙袋等对坡面进行护理，确保下雨时不出现大量水土流失。对高填深挖以及不良地质和滑坡等水土流失易发地带，将合理安排施工季节，尽量避免雨季施工；不能避免时，保证其施工期间排水通畅，不出现积水浸泡工作面的现象。如果防护不能紧跟开挖时，对开挖面采取加覆盖物等防护措施</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（3）降雨是造成水蚀和重力侵蚀的重要原因，雨季施工应根据现场实际情况确定，施工前须编制雨季施工实施计划。</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4）施工时须同时建设挡土墙、护墙、泵砌片石等辅助工程，稳定边坡。在施工过程中，必须对临时土方堆置区采取适当的临时性防护措施，目前最常见的措施是在堆土后在堆土范围之外设置排水沟，预防堆置区的汇水对裸露土体形成冲蚀。</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（5）设备堆放场、材料堆放场的防径流冲刷措施应加强，采取挖明沟，设挡墙等措施；废土、渣不得随意堆放，并应注意挖填平衡，防止出现废土、渣处置不当而导致的水土流失。</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（6）在项目建设的同时应及时搞好场址内的植树、绿化及地面硬化，工程建成后，场地内应无裸露地面，使区域水土保持功能得到加强。</w:t>
      </w:r>
    </w:p>
    <w:p>
      <w:pPr>
        <w:adjustRightInd w:val="0"/>
        <w:snapToGrid w:val="0"/>
        <w:spacing w:line="360" w:lineRule="auto"/>
        <w:ind w:firstLine="480"/>
        <w:rPr>
          <w:rFonts w:ascii="Times New Roman" w:eastAsia="宋体"/>
          <w:color w:val="auto"/>
          <w:kern w:val="2"/>
        </w:rPr>
      </w:pPr>
      <w:r>
        <w:rPr>
          <w:rFonts w:ascii="Times New Roman" w:eastAsia="宋体"/>
          <w:color w:val="auto"/>
          <w:kern w:val="2"/>
        </w:rPr>
        <w:t>采取以上措施后，项目施工对生态环境的影响较小，可控制在环境承受范围内，措施可行。</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499" w:name="_Toc7811"/>
      <w:r>
        <w:rPr>
          <w:rFonts w:hint="eastAsia" w:ascii="Times New Roman" w:hAnsi="Times New Roman" w:eastAsia="宋体"/>
          <w:color w:val="auto"/>
          <w:kern w:val="2"/>
          <w:sz w:val="28"/>
          <w:szCs w:val="28"/>
        </w:rPr>
        <w:t>6</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2</w:t>
      </w:r>
      <w:r>
        <w:rPr>
          <w:rFonts w:ascii="Times New Roman" w:hAnsi="Times New Roman" w:eastAsia="宋体"/>
          <w:color w:val="auto"/>
          <w:kern w:val="2"/>
          <w:sz w:val="28"/>
          <w:szCs w:val="28"/>
        </w:rPr>
        <w:t>运营期环境保护措施可行性分析</w:t>
      </w:r>
      <w:bookmarkEnd w:id="499"/>
    </w:p>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6.2.1废气污染防治措施及技术经济的可行性</w:t>
      </w:r>
    </w:p>
    <w:p>
      <w:pPr>
        <w:spacing w:line="360" w:lineRule="auto"/>
        <w:ind w:firstLine="496" w:firstLineChars="200"/>
        <w:rPr>
          <w:rFonts w:ascii="Times New Roman" w:eastAsia="宋体"/>
          <w:color w:val="auto"/>
        </w:rPr>
      </w:pPr>
      <w:r>
        <w:rPr>
          <w:rFonts w:ascii="Times New Roman" w:eastAsia="宋体"/>
          <w:color w:val="auto"/>
        </w:rPr>
        <w:t>根据工程分析可知，本项目运营后主要废气污染为：生物质成型燃料锅炉产生的SO</w:t>
      </w:r>
      <w:r>
        <w:rPr>
          <w:rFonts w:ascii="Times New Roman" w:eastAsia="宋体"/>
          <w:color w:val="auto"/>
          <w:vertAlign w:val="subscript"/>
        </w:rPr>
        <w:t>2</w:t>
      </w:r>
      <w:r>
        <w:rPr>
          <w:rFonts w:ascii="Times New Roman" w:eastAsia="宋体"/>
          <w:color w:val="auto"/>
        </w:rPr>
        <w:t>、NOx、烟尘；鸡舍、</w:t>
      </w:r>
      <w:r>
        <w:rPr>
          <w:rFonts w:hint="eastAsia" w:ascii="Times New Roman" w:eastAsia="宋体"/>
          <w:color w:val="auto"/>
        </w:rPr>
        <w:t>污水沉淀池</w:t>
      </w:r>
      <w:r>
        <w:rPr>
          <w:rFonts w:ascii="Times New Roman" w:eastAsia="宋体"/>
          <w:color w:val="auto"/>
        </w:rPr>
        <w:t>产生的恶臭和食堂油烟废气。采取的治理措施如下：</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6</w:t>
      </w:r>
      <w:r>
        <w:rPr>
          <w:rFonts w:ascii="Times New Roman" w:eastAsia="宋体"/>
          <w:color w:val="auto"/>
          <w:sz w:val="24"/>
        </w:rPr>
        <w:t>.2.</w:t>
      </w:r>
      <w:r>
        <w:rPr>
          <w:rFonts w:hint="eastAsia" w:ascii="Times New Roman" w:eastAsia="宋体"/>
          <w:color w:val="auto"/>
          <w:sz w:val="24"/>
        </w:rPr>
        <w:t>1.1</w:t>
      </w:r>
      <w:r>
        <w:rPr>
          <w:rFonts w:ascii="Times New Roman" w:eastAsia="宋体"/>
          <w:color w:val="auto"/>
          <w:sz w:val="24"/>
        </w:rPr>
        <w:t>生物质成型燃料锅炉</w:t>
      </w:r>
    </w:p>
    <w:p>
      <w:pPr>
        <w:spacing w:line="360" w:lineRule="auto"/>
        <w:ind w:firstLine="496" w:firstLineChars="200"/>
        <w:rPr>
          <w:rFonts w:ascii="Times New Roman" w:eastAsia="宋体"/>
          <w:color w:val="auto"/>
        </w:rPr>
      </w:pPr>
      <w:r>
        <w:rPr>
          <w:rFonts w:ascii="Times New Roman" w:eastAsia="宋体"/>
          <w:color w:val="auto"/>
        </w:rPr>
        <w:t>本项目鸡舍</w:t>
      </w:r>
      <w:r>
        <w:rPr>
          <w:rFonts w:hint="eastAsia" w:ascii="Times New Roman" w:eastAsia="宋体"/>
          <w:color w:val="auto"/>
        </w:rPr>
        <w:t>供暖</w:t>
      </w:r>
      <w:r>
        <w:rPr>
          <w:rFonts w:ascii="Times New Roman" w:eastAsia="宋体"/>
          <w:color w:val="auto"/>
        </w:rPr>
        <w:t>使用</w:t>
      </w:r>
      <w:r>
        <w:rPr>
          <w:rFonts w:hint="eastAsia" w:ascii="Times New Roman" w:eastAsia="宋体"/>
          <w:color w:val="auto"/>
        </w:rPr>
        <w:t>生物质成型燃料锅炉，</w:t>
      </w:r>
      <w:r>
        <w:rPr>
          <w:rFonts w:ascii="Times New Roman" w:eastAsia="宋体"/>
          <w:color w:val="auto"/>
        </w:rPr>
        <w:t>项目</w:t>
      </w:r>
      <w:r>
        <w:rPr>
          <w:rFonts w:hint="eastAsia" w:ascii="Times New Roman" w:eastAsia="宋体"/>
          <w:color w:val="auto"/>
        </w:rPr>
        <w:t>锅炉房内共</w:t>
      </w:r>
      <w:r>
        <w:rPr>
          <w:rFonts w:ascii="Times New Roman" w:eastAsia="宋体"/>
          <w:color w:val="auto"/>
        </w:rPr>
        <w:t>配备</w:t>
      </w:r>
      <w:r>
        <w:rPr>
          <w:rFonts w:hint="eastAsia" w:ascii="Times New Roman" w:eastAsia="宋体"/>
          <w:color w:val="auto"/>
        </w:rPr>
        <w:t>2</w:t>
      </w:r>
      <w:r>
        <w:rPr>
          <w:rFonts w:ascii="Times New Roman" w:eastAsia="宋体"/>
          <w:color w:val="auto"/>
        </w:rPr>
        <w:t>台</w:t>
      </w:r>
      <w:r>
        <w:rPr>
          <w:rFonts w:hint="eastAsia" w:ascii="Times New Roman" w:eastAsia="宋体"/>
          <w:color w:val="auto"/>
        </w:rPr>
        <w:t>1t/h</w:t>
      </w:r>
      <w:r>
        <w:rPr>
          <w:rFonts w:ascii="Times New Roman" w:eastAsia="宋体"/>
          <w:color w:val="auto"/>
        </w:rPr>
        <w:t>的</w:t>
      </w:r>
      <w:r>
        <w:rPr>
          <w:rFonts w:hint="eastAsia" w:ascii="Times New Roman" w:eastAsia="宋体"/>
          <w:color w:val="auto"/>
        </w:rPr>
        <w:t>生物质锅炉，</w:t>
      </w:r>
      <w:r>
        <w:rPr>
          <w:rFonts w:ascii="Times New Roman" w:eastAsia="宋体"/>
          <w:color w:val="auto"/>
        </w:rPr>
        <w:t>年运行时间为</w:t>
      </w:r>
      <w:r>
        <w:rPr>
          <w:rFonts w:hint="eastAsia" w:ascii="Times New Roman" w:eastAsia="宋体"/>
          <w:color w:val="auto"/>
        </w:rPr>
        <w:t>1200</w:t>
      </w:r>
      <w:r>
        <w:rPr>
          <w:rFonts w:ascii="Times New Roman" w:eastAsia="宋体"/>
          <w:color w:val="auto"/>
        </w:rPr>
        <w:t>h，消耗燃料量为</w:t>
      </w:r>
      <w:r>
        <w:rPr>
          <w:rFonts w:hint="eastAsia" w:ascii="Times New Roman" w:eastAsia="宋体"/>
          <w:color w:val="auto"/>
          <w:lang w:val="en-US" w:eastAsia="zh-CN"/>
        </w:rPr>
        <w:t>480</w:t>
      </w:r>
      <w:r>
        <w:rPr>
          <w:rFonts w:ascii="Times New Roman" w:eastAsia="宋体"/>
          <w:color w:val="auto"/>
        </w:rPr>
        <w:t>t/a，本项目</w:t>
      </w:r>
      <w:r>
        <w:rPr>
          <w:rFonts w:hint="eastAsia" w:ascii="Times New Roman" w:eastAsia="宋体"/>
          <w:color w:val="auto"/>
        </w:rPr>
        <w:t>每台生物质锅炉均配备</w:t>
      </w:r>
      <w:r>
        <w:rPr>
          <w:rFonts w:ascii="Times New Roman" w:eastAsia="宋体"/>
          <w:color w:val="auto"/>
        </w:rPr>
        <w:t>配套</w:t>
      </w:r>
      <w:r>
        <w:rPr>
          <w:rFonts w:hint="eastAsia" w:ascii="Times New Roman" w:eastAsia="宋体"/>
          <w:color w:val="auto"/>
        </w:rPr>
        <w:t>“</w:t>
      </w:r>
      <w:r>
        <w:rPr>
          <w:rFonts w:hint="eastAsia" w:ascii="Times New Roman" w:eastAsia="宋体"/>
          <w:color w:val="auto"/>
          <w:lang w:eastAsia="zh-CN"/>
        </w:rPr>
        <w:t>布袋除尘器</w:t>
      </w:r>
      <w:r>
        <w:rPr>
          <w:rFonts w:hint="eastAsia" w:ascii="Times New Roman" w:eastAsia="宋体"/>
          <w:color w:val="auto"/>
        </w:rPr>
        <w:t>”，</w:t>
      </w:r>
      <w:r>
        <w:rPr>
          <w:rFonts w:ascii="Times New Roman" w:eastAsia="宋体"/>
          <w:color w:val="auto"/>
        </w:rPr>
        <w:t>燃烧烟气经</w:t>
      </w:r>
      <w:r>
        <w:rPr>
          <w:rFonts w:hint="eastAsia" w:ascii="Times New Roman" w:eastAsia="宋体"/>
          <w:color w:val="auto"/>
        </w:rPr>
        <w:t>各自</w:t>
      </w:r>
      <w:r>
        <w:rPr>
          <w:rFonts w:hint="eastAsia" w:ascii="Times New Roman" w:eastAsia="宋体"/>
          <w:color w:val="auto"/>
          <w:lang w:eastAsia="zh-CN"/>
        </w:rPr>
        <w:t>布袋除尘器</w:t>
      </w:r>
      <w:r>
        <w:rPr>
          <w:rFonts w:ascii="Times New Roman" w:eastAsia="宋体"/>
          <w:color w:val="auto"/>
        </w:rPr>
        <w:t>处理后，</w:t>
      </w:r>
      <w:r>
        <w:rPr>
          <w:rFonts w:hint="eastAsia" w:ascii="Times New Roman" w:eastAsia="宋体"/>
          <w:color w:val="auto"/>
        </w:rPr>
        <w:t>经一根30</w:t>
      </w:r>
      <w:r>
        <w:rPr>
          <w:rFonts w:ascii="Times New Roman" w:eastAsia="宋体"/>
          <w:color w:val="auto"/>
        </w:rPr>
        <w:t>m高排气筒有组织排放，布袋除尘效率达到9</w:t>
      </w:r>
      <w:r>
        <w:rPr>
          <w:rFonts w:hint="eastAsia" w:ascii="Times New Roman" w:eastAsia="宋体"/>
          <w:color w:val="auto"/>
          <w:lang w:val="en-US" w:eastAsia="zh-CN"/>
        </w:rPr>
        <w:t>0</w:t>
      </w:r>
      <w:r>
        <w:rPr>
          <w:rFonts w:ascii="Times New Roman" w:eastAsia="宋体"/>
          <w:color w:val="auto"/>
        </w:rPr>
        <w:t>%，布袋除尘器收集的</w:t>
      </w:r>
      <w:r>
        <w:rPr>
          <w:rFonts w:hint="eastAsia" w:ascii="Times New Roman" w:eastAsia="宋体"/>
          <w:color w:val="auto"/>
        </w:rPr>
        <w:t>粉尘</w:t>
      </w:r>
      <w:r>
        <w:rPr>
          <w:rFonts w:ascii="Times New Roman" w:eastAsia="宋体"/>
          <w:color w:val="auto"/>
        </w:rPr>
        <w:t>与生物质灰</w:t>
      </w:r>
      <w:r>
        <w:rPr>
          <w:rFonts w:hint="eastAsia" w:ascii="Times New Roman" w:eastAsia="宋体"/>
          <w:color w:val="auto"/>
        </w:rPr>
        <w:t>渣</w:t>
      </w:r>
      <w:r>
        <w:rPr>
          <w:rFonts w:ascii="Times New Roman" w:eastAsia="宋体"/>
          <w:color w:val="auto"/>
        </w:rPr>
        <w:t>共同作为农田肥料综合利用。</w:t>
      </w:r>
      <w:r>
        <w:rPr>
          <w:rFonts w:hint="eastAsia" w:ascii="Times New Roman" w:eastAsia="宋体"/>
          <w:color w:val="auto"/>
        </w:rPr>
        <w:t>根据《排污许可申请与核发技术规范锅炉》（HJ953-2018），生物质锅炉采取“</w:t>
      </w:r>
      <w:r>
        <w:rPr>
          <w:rFonts w:hint="eastAsia" w:ascii="Times New Roman" w:eastAsia="宋体"/>
          <w:color w:val="auto"/>
          <w:lang w:eastAsia="zh-CN"/>
        </w:rPr>
        <w:t>布袋除尘器</w:t>
      </w:r>
      <w:r>
        <w:rPr>
          <w:rFonts w:hint="eastAsia" w:ascii="Times New Roman" w:eastAsia="宋体"/>
          <w:color w:val="auto"/>
        </w:rPr>
        <w:t>”属可行性技术，因此生物质锅炉燃烧废气采取“</w:t>
      </w:r>
      <w:r>
        <w:rPr>
          <w:rFonts w:hint="eastAsia" w:ascii="Times New Roman" w:eastAsia="宋体"/>
          <w:color w:val="auto"/>
          <w:lang w:eastAsia="zh-CN"/>
        </w:rPr>
        <w:t>布袋除尘器</w:t>
      </w:r>
      <w:r>
        <w:rPr>
          <w:rFonts w:hint="eastAsia" w:ascii="Times New Roman" w:eastAsia="宋体"/>
          <w:color w:val="auto"/>
        </w:rPr>
        <w:t>”处理是可行的。</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6</w:t>
      </w:r>
      <w:r>
        <w:rPr>
          <w:rFonts w:ascii="Times New Roman" w:eastAsia="宋体"/>
          <w:color w:val="auto"/>
          <w:sz w:val="24"/>
        </w:rPr>
        <w:t>.2.</w:t>
      </w:r>
      <w:r>
        <w:rPr>
          <w:rFonts w:hint="eastAsia" w:ascii="Times New Roman" w:eastAsia="宋体"/>
          <w:color w:val="auto"/>
          <w:sz w:val="24"/>
        </w:rPr>
        <w:t>1.</w:t>
      </w:r>
      <w:r>
        <w:rPr>
          <w:rFonts w:ascii="Times New Roman" w:eastAsia="宋体"/>
          <w:color w:val="auto"/>
          <w:sz w:val="24"/>
        </w:rPr>
        <w:t>2恶臭气体控制措施</w:t>
      </w:r>
    </w:p>
    <w:p>
      <w:pPr>
        <w:spacing w:line="360" w:lineRule="auto"/>
        <w:ind w:firstLine="482"/>
        <w:rPr>
          <w:rFonts w:ascii="Times New Roman" w:eastAsia="宋体"/>
          <w:color w:val="auto"/>
          <w:u w:val="single"/>
          <w:lang w:val="zh-CN"/>
        </w:rPr>
      </w:pPr>
      <w:r>
        <w:rPr>
          <w:rFonts w:hint="eastAsia" w:ascii="Times New Roman" w:eastAsia="宋体"/>
          <w:color w:val="auto"/>
          <w:u w:val="single"/>
          <w:lang w:val="zh-CN"/>
        </w:rPr>
        <w:t>（</w:t>
      </w:r>
      <w:r>
        <w:rPr>
          <w:rFonts w:hint="eastAsia" w:ascii="Times New Roman" w:eastAsia="宋体"/>
          <w:color w:val="auto"/>
          <w:u w:val="single"/>
        </w:rPr>
        <w:t>1</w:t>
      </w:r>
      <w:r>
        <w:rPr>
          <w:rFonts w:hint="eastAsia" w:ascii="Times New Roman" w:eastAsia="宋体"/>
          <w:color w:val="auto"/>
          <w:u w:val="single"/>
          <w:lang w:val="zh-CN"/>
        </w:rPr>
        <w:t>）</w:t>
      </w:r>
      <w:r>
        <w:rPr>
          <w:rFonts w:ascii="Times New Roman" w:eastAsia="宋体"/>
          <w:color w:val="auto"/>
          <w:u w:val="single"/>
          <w:lang w:val="zh-CN"/>
        </w:rPr>
        <w:t>鸡舍</w:t>
      </w:r>
      <w:r>
        <w:rPr>
          <w:rFonts w:hint="eastAsia" w:ascii="Times New Roman" w:eastAsia="宋体"/>
          <w:color w:val="auto"/>
          <w:u w:val="single"/>
          <w:lang w:val="zh-CN"/>
        </w:rPr>
        <w:t>恶臭</w:t>
      </w:r>
      <w:r>
        <w:rPr>
          <w:rFonts w:ascii="Times New Roman" w:eastAsia="宋体"/>
          <w:color w:val="auto"/>
          <w:u w:val="single"/>
          <w:lang w:val="zh-CN"/>
        </w:rPr>
        <w:t>治理措施</w:t>
      </w:r>
    </w:p>
    <w:p>
      <w:pPr>
        <w:spacing w:line="360" w:lineRule="auto"/>
        <w:ind w:firstLine="496" w:firstLineChars="200"/>
        <w:rPr>
          <w:rFonts w:ascii="Times New Roman" w:eastAsia="宋体"/>
          <w:color w:val="auto"/>
          <w:u w:val="single"/>
        </w:rPr>
      </w:pPr>
      <w:r>
        <w:rPr>
          <w:rFonts w:ascii="Times New Roman" w:eastAsia="宋体"/>
          <w:color w:val="auto"/>
          <w:u w:val="single"/>
        </w:rPr>
        <w:t>通过对同类型养殖场污染源调查，认为恶臭废气发生主要原因是鸡粪管理和鸡舍的构造，恶臭的组成和强度还与影响鸡粪腐败分解因素有关，可从降低水分、温度、湿度、调整pH值，增加通风量，减少微尘和尽量保持粪尿所处于静止状态等方面，采取污染控制和资源化相结合的防治措施，有效地防止和减轻其危害。</w:t>
      </w:r>
    </w:p>
    <w:p>
      <w:pPr>
        <w:spacing w:line="360" w:lineRule="auto"/>
        <w:ind w:firstLine="496" w:firstLineChars="200"/>
        <w:rPr>
          <w:rFonts w:ascii="Times New Roman" w:eastAsia="宋体"/>
          <w:color w:val="auto"/>
          <w:szCs w:val="22"/>
          <w:u w:val="single"/>
        </w:rPr>
      </w:pPr>
      <w:r>
        <w:rPr>
          <w:rFonts w:ascii="Times New Roman" w:eastAsia="宋体"/>
          <w:color w:val="auto"/>
          <w:szCs w:val="22"/>
          <w:u w:val="single"/>
        </w:rPr>
        <w:t>①改进饲料</w:t>
      </w:r>
    </w:p>
    <w:p>
      <w:pPr>
        <w:pStyle w:val="150"/>
        <w:ind w:firstLine="373"/>
        <w:rPr>
          <w:rFonts w:ascii="Times New Roman" w:eastAsia="宋体"/>
          <w:color w:val="auto"/>
          <w:u w:val="single"/>
        </w:rPr>
      </w:pPr>
      <w:r>
        <w:rPr>
          <w:rFonts w:ascii="Times New Roman" w:eastAsia="宋体"/>
          <w:color w:val="auto"/>
          <w:u w:val="single"/>
        </w:rPr>
        <w:t>通过饲料原料的合理处理、饲料配方设计、饲料加工及消化、吸收促进剂的应用，可显著提高饲料利用率，从而有效地降低动物便中的N、P和金属元素含量，减少对环境的污染。具体措施为在饲料中添加微生态制剂(EM)。</w:t>
      </w:r>
    </w:p>
    <w:p>
      <w:pPr>
        <w:spacing w:line="360" w:lineRule="auto"/>
        <w:ind w:firstLine="496" w:firstLineChars="200"/>
        <w:rPr>
          <w:rFonts w:ascii="Times New Roman" w:eastAsia="宋体"/>
          <w:color w:val="auto"/>
          <w:u w:val="single"/>
        </w:rPr>
      </w:pPr>
      <w:r>
        <w:rPr>
          <w:rFonts w:ascii="Times New Roman" w:eastAsia="宋体"/>
          <w:color w:val="auto"/>
          <w:u w:val="single"/>
        </w:rPr>
        <w:t>微生态制剂(EM)是一种新型活菌制剂，具有除臭、增重、防病和改善胴体品质的效果。将EM制剂添加到饲料中之后、不仅鸡舍内氨气浓度下降，相关研究表明对氨气的去除率可达69.7%，恶臭味明显降低，蝇虫明显减少，而且鸡的增重率及饲料利用率也能得到一定的提高。</w:t>
      </w:r>
    </w:p>
    <w:p>
      <w:pPr>
        <w:spacing w:line="360" w:lineRule="auto"/>
        <w:ind w:firstLine="496" w:firstLineChars="200"/>
        <w:rPr>
          <w:rFonts w:ascii="Times New Roman" w:eastAsia="宋体"/>
          <w:color w:val="auto"/>
          <w:u w:val="single"/>
        </w:rPr>
      </w:pPr>
      <w:r>
        <w:rPr>
          <w:rFonts w:ascii="Times New Roman" w:eastAsia="宋体"/>
          <w:color w:val="auto"/>
          <w:u w:val="single"/>
        </w:rPr>
        <w:t>②使用除臭剂</w:t>
      </w:r>
    </w:p>
    <w:p>
      <w:pPr>
        <w:pStyle w:val="150"/>
        <w:ind w:firstLine="620" w:firstLineChars="250"/>
        <w:rPr>
          <w:rFonts w:ascii="Times New Roman" w:eastAsia="宋体"/>
          <w:color w:val="auto"/>
          <w:u w:val="single"/>
        </w:rPr>
      </w:pPr>
      <w:r>
        <w:rPr>
          <w:rFonts w:ascii="Times New Roman" w:eastAsia="宋体"/>
          <w:color w:val="auto"/>
          <w:u w:val="single"/>
        </w:rPr>
        <w:t>为了减轻畜禽排泄物及其气味的危害，可以使用一些除臭剂。本项目拟在鸡舍内产生的粪便中添加生物除臭剂，相关研究表明生物除臭剂除臭率可达</w:t>
      </w:r>
      <w:r>
        <w:rPr>
          <w:rFonts w:hint="eastAsia" w:ascii="Times New Roman" w:eastAsia="宋体"/>
          <w:color w:val="auto"/>
          <w:u w:val="single"/>
        </w:rPr>
        <w:t>80</w:t>
      </w:r>
      <w:r>
        <w:rPr>
          <w:rFonts w:ascii="Times New Roman" w:eastAsia="宋体"/>
          <w:color w:val="auto"/>
          <w:u w:val="single"/>
        </w:rPr>
        <w:t>%。</w:t>
      </w:r>
    </w:p>
    <w:p>
      <w:pPr>
        <w:pStyle w:val="150"/>
        <w:ind w:firstLine="620" w:firstLineChars="250"/>
        <w:rPr>
          <w:rFonts w:ascii="Times New Roman" w:eastAsia="宋体"/>
          <w:color w:val="auto"/>
          <w:u w:val="single"/>
        </w:rPr>
      </w:pPr>
      <w:r>
        <w:rPr>
          <w:rFonts w:ascii="Times New Roman" w:eastAsia="宋体"/>
          <w:color w:val="auto"/>
          <w:u w:val="single"/>
        </w:rPr>
        <w:t>③</w:t>
      </w:r>
      <w:r>
        <w:rPr>
          <w:rFonts w:ascii="Times New Roman" w:eastAsia="宋体"/>
          <w:color w:val="auto"/>
          <w:szCs w:val="24"/>
          <w:u w:val="single"/>
          <w:lang w:val="zh-CN"/>
        </w:rPr>
        <w:t>干清粪工艺</w:t>
      </w:r>
      <w:r>
        <w:rPr>
          <w:rFonts w:ascii="Times New Roman" w:eastAsia="宋体"/>
          <w:color w:val="auto"/>
          <w:szCs w:val="24"/>
          <w:u w:val="single"/>
        </w:rPr>
        <w:t>+车间</w:t>
      </w:r>
      <w:r>
        <w:rPr>
          <w:rFonts w:hint="eastAsia" w:ascii="Times New Roman" w:eastAsia="宋体"/>
          <w:color w:val="auto"/>
          <w:szCs w:val="24"/>
          <w:u w:val="single"/>
        </w:rPr>
        <w:t>密闭负压，机械</w:t>
      </w:r>
      <w:r>
        <w:rPr>
          <w:rFonts w:ascii="Times New Roman" w:eastAsia="宋体"/>
          <w:color w:val="auto"/>
          <w:szCs w:val="24"/>
          <w:u w:val="single"/>
        </w:rPr>
        <w:t>通风</w:t>
      </w:r>
      <w:r>
        <w:rPr>
          <w:rFonts w:hint="eastAsia" w:ascii="Times New Roman" w:eastAsia="宋体"/>
          <w:color w:val="auto"/>
          <w:szCs w:val="24"/>
          <w:u w:val="single"/>
        </w:rPr>
        <w:t>+水帘除臭</w:t>
      </w:r>
    </w:p>
    <w:p>
      <w:pPr>
        <w:pStyle w:val="150"/>
        <w:ind w:firstLine="373"/>
        <w:rPr>
          <w:rFonts w:ascii="Times New Roman" w:eastAsia="宋体"/>
          <w:color w:val="auto"/>
          <w:szCs w:val="24"/>
          <w:u w:val="single"/>
          <w:lang w:val="zh-CN"/>
        </w:rPr>
      </w:pPr>
      <w:r>
        <w:rPr>
          <w:rFonts w:ascii="Times New Roman" w:eastAsia="宋体"/>
          <w:color w:val="auto"/>
          <w:szCs w:val="24"/>
          <w:u w:val="single"/>
          <w:lang w:val="zh-CN"/>
        </w:rPr>
        <w:t>干清粪工艺可实现鸡粪日产日清，减少鸡粪在鸡舍内的存放时间，从而减少鸡粪降解产生大量NH</w:t>
      </w:r>
      <w:r>
        <w:rPr>
          <w:rFonts w:ascii="Times New Roman" w:eastAsia="宋体"/>
          <w:color w:val="auto"/>
          <w:szCs w:val="24"/>
          <w:u w:val="single"/>
          <w:vertAlign w:val="subscript"/>
          <w:lang w:val="zh-CN"/>
        </w:rPr>
        <w:t>3</w:t>
      </w:r>
      <w:r>
        <w:rPr>
          <w:rFonts w:ascii="Times New Roman" w:eastAsia="宋体"/>
          <w:color w:val="auto"/>
          <w:szCs w:val="24"/>
          <w:u w:val="single"/>
          <w:lang w:val="zh-CN"/>
        </w:rPr>
        <w:t>、H</w:t>
      </w:r>
      <w:r>
        <w:rPr>
          <w:rFonts w:ascii="Times New Roman" w:eastAsia="宋体"/>
          <w:color w:val="auto"/>
          <w:szCs w:val="24"/>
          <w:u w:val="single"/>
          <w:vertAlign w:val="subscript"/>
          <w:lang w:val="zh-CN"/>
        </w:rPr>
        <w:t>2</w:t>
      </w:r>
      <w:r>
        <w:rPr>
          <w:rFonts w:ascii="Times New Roman" w:eastAsia="宋体"/>
          <w:color w:val="auto"/>
          <w:szCs w:val="24"/>
          <w:u w:val="single"/>
          <w:lang w:val="zh-CN"/>
        </w:rPr>
        <w:t>S等恶臭气体，可从源头上减少恶臭气体排放量。各鸡舍</w:t>
      </w:r>
      <w:r>
        <w:rPr>
          <w:rFonts w:hint="eastAsia" w:ascii="Times New Roman" w:eastAsia="宋体"/>
          <w:color w:val="auto"/>
          <w:szCs w:val="24"/>
          <w:u w:val="single"/>
        </w:rPr>
        <w:t>密闭，</w:t>
      </w:r>
      <w:r>
        <w:rPr>
          <w:rFonts w:ascii="Times New Roman" w:eastAsia="宋体"/>
          <w:color w:val="auto"/>
          <w:szCs w:val="24"/>
          <w:u w:val="single"/>
          <w:lang w:val="zh-CN"/>
        </w:rPr>
        <w:t>配套安装抽风机，</w:t>
      </w:r>
      <w:r>
        <w:rPr>
          <w:rFonts w:hint="eastAsia" w:ascii="Times New Roman" w:eastAsia="宋体"/>
          <w:color w:val="auto"/>
          <w:szCs w:val="24"/>
          <w:u w:val="single"/>
        </w:rPr>
        <w:t>单侧引风，</w:t>
      </w:r>
      <w:r>
        <w:rPr>
          <w:rFonts w:ascii="Times New Roman" w:eastAsia="宋体"/>
          <w:color w:val="auto"/>
          <w:szCs w:val="24"/>
          <w:u w:val="single"/>
          <w:lang w:val="zh-CN"/>
        </w:rPr>
        <w:t>加强鸡舍通风，加速鸡舍内的空气流动，尽量保持鸡舍干燥</w:t>
      </w:r>
      <w:r>
        <w:rPr>
          <w:rFonts w:hint="eastAsia" w:ascii="Times New Roman" w:eastAsia="宋体"/>
          <w:color w:val="auto"/>
          <w:szCs w:val="24"/>
          <w:u w:val="single"/>
          <w:lang w:val="zh-CN"/>
        </w:rPr>
        <w:t>，</w:t>
      </w:r>
      <w:r>
        <w:rPr>
          <w:rFonts w:hint="eastAsia" w:ascii="Times New Roman" w:eastAsia="宋体"/>
          <w:color w:val="auto"/>
          <w:szCs w:val="24"/>
          <w:u w:val="single"/>
        </w:rPr>
        <w:t>同时恶臭气体经水帘除臭后屋顶排放，有效降低恶臭气体的逸散。</w:t>
      </w:r>
      <w:r>
        <w:rPr>
          <w:rFonts w:ascii="Times New Roman" w:eastAsia="宋体"/>
          <w:color w:val="auto"/>
          <w:szCs w:val="24"/>
          <w:u w:val="single"/>
          <w:lang w:val="zh-CN"/>
        </w:rPr>
        <w:t>粪污收集全部采用密闭管道，避免恶臭气体排放。</w:t>
      </w:r>
    </w:p>
    <w:p>
      <w:pPr>
        <w:pStyle w:val="150"/>
        <w:ind w:firstLine="620" w:firstLineChars="250"/>
        <w:rPr>
          <w:rFonts w:ascii="Times New Roman" w:eastAsia="宋体"/>
          <w:color w:val="auto"/>
          <w:szCs w:val="24"/>
          <w:u w:val="single"/>
          <w:lang w:val="zh-CN"/>
        </w:rPr>
      </w:pPr>
      <w:r>
        <w:rPr>
          <w:rFonts w:ascii="Times New Roman" w:eastAsia="宋体"/>
          <w:color w:val="auto"/>
          <w:szCs w:val="24"/>
          <w:u w:val="single"/>
          <w:lang w:val="zh-CN"/>
        </w:rPr>
        <w:t>④加强恶臭污染源管理</w:t>
      </w:r>
    </w:p>
    <w:p>
      <w:pPr>
        <w:pStyle w:val="150"/>
        <w:ind w:firstLine="620" w:firstLineChars="250"/>
        <w:rPr>
          <w:rFonts w:ascii="Times New Roman" w:eastAsia="宋体"/>
          <w:color w:val="auto"/>
          <w:szCs w:val="24"/>
          <w:u w:val="single"/>
          <w:lang w:val="zh-CN"/>
        </w:rPr>
      </w:pPr>
      <w:r>
        <w:rPr>
          <w:rFonts w:ascii="Times New Roman" w:eastAsia="宋体"/>
          <w:color w:val="auto"/>
          <w:szCs w:val="24"/>
          <w:u w:val="single"/>
          <w:lang w:val="zh-CN"/>
        </w:rPr>
        <w:t>增加清粪频次，做到每日清理；易污染地面经常打扫，并喷洒石灰，蚊蝇滋长季节喷洒消毒液，杜绝蚊蝇的生长，降低臭气无组织排放。</w:t>
      </w:r>
    </w:p>
    <w:p>
      <w:pPr>
        <w:pStyle w:val="150"/>
        <w:ind w:firstLine="620" w:firstLineChars="250"/>
        <w:rPr>
          <w:rFonts w:ascii="Times New Roman" w:eastAsia="宋体"/>
          <w:color w:val="auto"/>
          <w:szCs w:val="24"/>
          <w:u w:val="single"/>
          <w:lang w:val="zh-CN"/>
        </w:rPr>
      </w:pPr>
      <w:r>
        <w:rPr>
          <w:rFonts w:ascii="Times New Roman" w:eastAsia="宋体"/>
          <w:color w:val="auto"/>
          <w:szCs w:val="24"/>
          <w:u w:val="single"/>
          <w:lang w:val="zh-CN"/>
        </w:rPr>
        <w:t>⑤</w:t>
      </w:r>
      <w:r>
        <w:rPr>
          <w:rFonts w:hint="eastAsia" w:ascii="Times New Roman" w:eastAsia="宋体"/>
          <w:color w:val="auto"/>
          <w:szCs w:val="24"/>
          <w:u w:val="single"/>
          <w:lang w:val="zh-CN"/>
        </w:rPr>
        <w:t>场区</w:t>
      </w:r>
      <w:r>
        <w:rPr>
          <w:rFonts w:ascii="Times New Roman" w:eastAsia="宋体"/>
          <w:color w:val="auto"/>
          <w:szCs w:val="24"/>
          <w:u w:val="single"/>
          <w:lang w:val="zh-CN"/>
        </w:rPr>
        <w:t>内设置绿化带</w:t>
      </w:r>
    </w:p>
    <w:p>
      <w:pPr>
        <w:pStyle w:val="150"/>
        <w:ind w:firstLine="620" w:firstLineChars="250"/>
        <w:rPr>
          <w:rFonts w:ascii="Times New Roman" w:eastAsia="宋体"/>
          <w:color w:val="auto"/>
          <w:szCs w:val="24"/>
          <w:u w:val="single"/>
          <w:lang w:val="zh-CN"/>
        </w:rPr>
      </w:pPr>
      <w:r>
        <w:rPr>
          <w:rFonts w:ascii="Times New Roman" w:eastAsia="宋体"/>
          <w:color w:val="auto"/>
          <w:szCs w:val="24"/>
          <w:u w:val="single"/>
          <w:lang w:val="zh-CN"/>
        </w:rPr>
        <w:t>绿化工程对改善养殖场的环境质量是十分重要的。</w:t>
      </w:r>
      <w:r>
        <w:rPr>
          <w:rFonts w:hint="eastAsia" w:ascii="Times New Roman" w:eastAsia="宋体"/>
          <w:color w:val="auto"/>
          <w:szCs w:val="24"/>
          <w:u w:val="single"/>
          <w:lang w:val="zh-CN"/>
        </w:rPr>
        <w:t>场区</w:t>
      </w:r>
      <w:r>
        <w:rPr>
          <w:rFonts w:ascii="Times New Roman" w:eastAsia="宋体"/>
          <w:color w:val="auto"/>
          <w:szCs w:val="24"/>
          <w:u w:val="single"/>
          <w:lang w:val="zh-CN"/>
        </w:rPr>
        <w:t>广种花草树木，道路两边种植乔灌木、杨树、柳树等，厂界边缘地带形成多层防护林带，以降低恶臭污染的影响程度。绿化带的布置采用多行、高低结合进行，树种选择根据当地习惯多选用吸尘、降噪、防毒树种，一方面可改善厂内环境，另一方面植被具有隔音、净化空气、杀菌、滞尘等功能。同时，由于可阻低风速，减少</w:t>
      </w:r>
      <w:r>
        <w:rPr>
          <w:rFonts w:hint="eastAsia" w:ascii="Times New Roman" w:eastAsia="宋体"/>
          <w:color w:val="auto"/>
          <w:szCs w:val="24"/>
          <w:u w:val="single"/>
          <w:lang w:val="zh-CN"/>
        </w:rPr>
        <w:t>场区</w:t>
      </w:r>
      <w:r>
        <w:rPr>
          <w:rFonts w:ascii="Times New Roman" w:eastAsia="宋体"/>
          <w:color w:val="auto"/>
          <w:szCs w:val="24"/>
          <w:u w:val="single"/>
          <w:lang w:val="zh-CN"/>
        </w:rPr>
        <w:t>内的扬尘产生量，从而在一定程度上减少污染物对周围环境的影响。</w:t>
      </w:r>
    </w:p>
    <w:p>
      <w:pPr>
        <w:pStyle w:val="150"/>
        <w:ind w:firstLine="620" w:firstLineChars="250"/>
        <w:rPr>
          <w:rFonts w:ascii="Times New Roman" w:eastAsia="宋体"/>
          <w:color w:val="auto"/>
          <w:szCs w:val="24"/>
          <w:u w:val="single"/>
        </w:rPr>
      </w:pPr>
      <w:r>
        <w:rPr>
          <w:rFonts w:ascii="Times New Roman" w:eastAsia="宋体"/>
          <w:color w:val="auto"/>
          <w:u w:val="single"/>
          <w:lang w:val="zh-CN"/>
        </w:rPr>
        <w:t>⑥</w:t>
      </w:r>
      <w:r>
        <w:rPr>
          <w:rFonts w:ascii="Times New Roman" w:eastAsia="宋体"/>
          <w:color w:val="auto"/>
          <w:szCs w:val="24"/>
          <w:u w:val="single"/>
        </w:rPr>
        <w:t>鸡舍降温除湿</w:t>
      </w:r>
    </w:p>
    <w:p>
      <w:pPr>
        <w:pStyle w:val="150"/>
        <w:ind w:firstLine="620" w:firstLineChars="250"/>
        <w:rPr>
          <w:rFonts w:ascii="Times New Roman" w:eastAsia="宋体"/>
          <w:color w:val="auto"/>
          <w:szCs w:val="24"/>
          <w:u w:val="single"/>
        </w:rPr>
      </w:pPr>
      <w:r>
        <w:rPr>
          <w:rFonts w:ascii="Times New Roman" w:eastAsia="宋体"/>
          <w:color w:val="auto"/>
          <w:szCs w:val="24"/>
          <w:u w:val="single"/>
        </w:rPr>
        <w:t>在夏季使用合理的方法降温降湿可有效的降低粪污内微生物与病菌的活性，从而降低粪污的分解速度，可以有效减少臭气的产生。</w:t>
      </w:r>
      <w:r>
        <w:rPr>
          <w:rFonts w:hint="eastAsia" w:ascii="Times New Roman" w:eastAsia="宋体"/>
          <w:color w:val="auto"/>
          <w:szCs w:val="24"/>
          <w:u w:val="single"/>
        </w:rPr>
        <w:t>各鸡舍采取水帘降温</w:t>
      </w:r>
      <w:r>
        <w:rPr>
          <w:rFonts w:ascii="Times New Roman" w:eastAsia="宋体"/>
          <w:color w:val="auto"/>
          <w:szCs w:val="24"/>
          <w:u w:val="single"/>
        </w:rPr>
        <w:t>，尽可能保持粪便干燥，尽量做到粪水分离并及时排放污水粪便，力求维持舍内的干燥清洁。由夏季潮湿多雨，也可在舍内放置氯化钙，生石灰等吸潮物来降低湿度。</w:t>
      </w:r>
    </w:p>
    <w:p>
      <w:pPr>
        <w:spacing w:line="360" w:lineRule="auto"/>
        <w:ind w:firstLine="496" w:firstLineChars="200"/>
        <w:rPr>
          <w:rFonts w:ascii="Times New Roman" w:eastAsia="宋体"/>
          <w:color w:val="auto"/>
          <w:u w:val="single"/>
        </w:rPr>
      </w:pPr>
      <w:r>
        <w:rPr>
          <w:rFonts w:ascii="Times New Roman" w:eastAsia="宋体"/>
          <w:color w:val="auto"/>
          <w:u w:val="single"/>
        </w:rPr>
        <w:t>综上所述，采取以上措施后，鸡舍恶臭可减少</w:t>
      </w:r>
      <w:r>
        <w:rPr>
          <w:rFonts w:hint="eastAsia" w:ascii="Times New Roman" w:eastAsia="宋体"/>
          <w:color w:val="auto"/>
          <w:u w:val="single"/>
        </w:rPr>
        <w:t>8</w:t>
      </w:r>
      <w:r>
        <w:rPr>
          <w:rFonts w:ascii="Times New Roman" w:eastAsia="宋体"/>
          <w:color w:val="auto"/>
          <w:u w:val="single"/>
        </w:rPr>
        <w:t>0%。</w:t>
      </w:r>
    </w:p>
    <w:p>
      <w:pPr>
        <w:spacing w:line="360" w:lineRule="auto"/>
        <w:ind w:firstLine="496" w:firstLineChars="200"/>
        <w:rPr>
          <w:rFonts w:ascii="Times New Roman" w:eastAsia="宋体"/>
          <w:color w:val="auto"/>
          <w:szCs w:val="22"/>
          <w:u w:val="single"/>
        </w:rPr>
      </w:pPr>
      <w:r>
        <w:rPr>
          <w:rFonts w:hAnsi="宋体" w:eastAsia="宋体" w:cs="宋体"/>
          <w:color w:val="auto"/>
          <w:szCs w:val="24"/>
          <w:u w:val="single"/>
        </w:rPr>
        <w:t>根据《排污许可证申请与核发技术规范 畜禽养殖行业》（HJ1029-2019）中表 7，养殖栏舍无组织排放控制要求：（1）选用益生菌配方饲料；（2）及时清运粪污；（3） 向粪便或舍内投（铺）放吸附剂减少臭气的散发；（4）投加或喷酒除臭剂；（5）集中通风排气经处理（喷淋法、生物洗涤法、吸收法等）后排放；（6）集中收集气体经处理（生物过滤法、生物洗涤法、吸收法等）后由排气筒排放。</w:t>
      </w:r>
    </w:p>
    <w:p>
      <w:pPr>
        <w:spacing w:line="360" w:lineRule="auto"/>
        <w:ind w:firstLine="482"/>
        <w:rPr>
          <w:rFonts w:ascii="Times New Roman" w:eastAsia="宋体"/>
          <w:color w:val="auto"/>
          <w:u w:val="single"/>
          <w:lang w:val="zh-CN"/>
        </w:rPr>
      </w:pPr>
      <w:r>
        <w:rPr>
          <w:rFonts w:hAnsi="宋体" w:eastAsia="宋体" w:cs="宋体"/>
          <w:color w:val="auto"/>
          <w:szCs w:val="24"/>
          <w:u w:val="single"/>
        </w:rPr>
        <w:t>综上分析，本项目鸡舍采取加强通风，及时清粪，使用节水型饮水器等管理措施， 以及采取在鸡只日粮中加入益生菌，使用生物除臭剂对鸡舍进行除臭等一系列措施，符合《畜禽养殖业污染治理工程技术规范》（HJ497-2009）、排污许可证申请与核发技术 规范 畜禽养殖行业》（HJ1029-2019 相关要求，措施可行。</w:t>
      </w:r>
    </w:p>
    <w:p>
      <w:pPr>
        <w:spacing w:line="360" w:lineRule="auto"/>
        <w:ind w:firstLine="482"/>
        <w:rPr>
          <w:rFonts w:ascii="Times New Roman" w:eastAsia="宋体"/>
          <w:color w:val="auto"/>
          <w:u w:val="single"/>
          <w:lang w:val="zh-CN"/>
        </w:rPr>
      </w:pPr>
      <w:r>
        <w:rPr>
          <w:rFonts w:hint="eastAsia" w:ascii="Times New Roman" w:eastAsia="宋体"/>
          <w:color w:val="auto"/>
          <w:u w:val="single"/>
          <w:lang w:val="zh-CN"/>
        </w:rPr>
        <w:t>（</w:t>
      </w:r>
      <w:r>
        <w:rPr>
          <w:rFonts w:hint="eastAsia" w:ascii="Times New Roman" w:eastAsia="宋体"/>
          <w:color w:val="auto"/>
          <w:u w:val="single"/>
        </w:rPr>
        <w:t>2</w:t>
      </w:r>
      <w:r>
        <w:rPr>
          <w:rFonts w:hint="eastAsia" w:ascii="Times New Roman" w:eastAsia="宋体"/>
          <w:color w:val="auto"/>
          <w:u w:val="single"/>
          <w:lang w:val="zh-CN"/>
        </w:rPr>
        <w:t>）</w:t>
      </w:r>
      <w:r>
        <w:rPr>
          <w:rFonts w:hint="eastAsia" w:ascii="Times New Roman" w:eastAsia="宋体"/>
          <w:color w:val="auto"/>
          <w:u w:val="single"/>
        </w:rPr>
        <w:t>污水池</w:t>
      </w:r>
      <w:r>
        <w:rPr>
          <w:rFonts w:hint="eastAsia" w:ascii="Times New Roman" w:eastAsia="宋体"/>
          <w:color w:val="auto"/>
          <w:u w:val="single"/>
          <w:lang w:val="zh-CN"/>
        </w:rPr>
        <w:t>恶臭</w:t>
      </w:r>
      <w:r>
        <w:rPr>
          <w:rFonts w:ascii="Times New Roman" w:eastAsia="宋体"/>
          <w:color w:val="auto"/>
          <w:u w:val="single"/>
          <w:lang w:val="zh-CN"/>
        </w:rPr>
        <w:t>治理措施</w:t>
      </w:r>
    </w:p>
    <w:p>
      <w:pPr>
        <w:spacing w:line="360" w:lineRule="auto"/>
        <w:ind w:firstLine="496" w:firstLineChars="200"/>
        <w:rPr>
          <w:rFonts w:ascii="Times New Roman" w:eastAsia="宋体"/>
          <w:color w:val="auto"/>
          <w:kern w:val="2"/>
          <w:szCs w:val="24"/>
          <w:u w:val="single"/>
        </w:rPr>
      </w:pPr>
      <w:r>
        <w:rPr>
          <w:rFonts w:hAnsi="宋体" w:eastAsia="宋体" w:cs="宋体"/>
          <w:color w:val="auto"/>
          <w:szCs w:val="24"/>
          <w:u w:val="single"/>
        </w:rPr>
        <w:t xml:space="preserve">根据《排污许可证申请与核发技术规范 畜禽养殖行业》（HJ1029-2019）中表 7， </w:t>
      </w:r>
      <w:r>
        <w:rPr>
          <w:rFonts w:hint="eastAsia" w:hAnsi="宋体" w:eastAsia="宋体" w:cs="宋体"/>
          <w:color w:val="auto"/>
          <w:szCs w:val="24"/>
          <w:u w:val="single"/>
        </w:rPr>
        <w:t>废水处理工程</w:t>
      </w:r>
      <w:r>
        <w:rPr>
          <w:rFonts w:hAnsi="宋体" w:eastAsia="宋体" w:cs="宋体"/>
          <w:color w:val="auto"/>
          <w:szCs w:val="24"/>
          <w:u w:val="single"/>
        </w:rPr>
        <w:t>无组织排放控制要求：（1）</w:t>
      </w:r>
      <w:r>
        <w:rPr>
          <w:rFonts w:hint="eastAsia" w:hAnsi="宋体" w:eastAsia="宋体" w:cs="宋体"/>
          <w:color w:val="auto"/>
          <w:szCs w:val="24"/>
          <w:u w:val="single"/>
        </w:rPr>
        <w:t>定期喷洒除臭剂</w:t>
      </w:r>
      <w:r>
        <w:rPr>
          <w:rFonts w:hAnsi="宋体" w:eastAsia="宋体" w:cs="宋体"/>
          <w:color w:val="auto"/>
          <w:szCs w:val="24"/>
          <w:u w:val="single"/>
        </w:rPr>
        <w:t>；（2）</w:t>
      </w:r>
      <w:r>
        <w:rPr>
          <w:rFonts w:hint="eastAsia" w:hAnsi="宋体" w:eastAsia="宋体" w:cs="宋体"/>
          <w:color w:val="auto"/>
          <w:szCs w:val="24"/>
          <w:u w:val="single"/>
        </w:rPr>
        <w:t>废水处理设施加盖或加罩</w:t>
      </w:r>
      <w:r>
        <w:rPr>
          <w:rFonts w:hAnsi="宋体" w:eastAsia="宋体" w:cs="宋体"/>
          <w:color w:val="auto"/>
          <w:szCs w:val="24"/>
          <w:u w:val="single"/>
        </w:rPr>
        <w:t>；（3）集中收集气体经处理（生物过滤法、生物洗涤法、吸收法等）后由排气筒排放。</w:t>
      </w:r>
    </w:p>
    <w:p>
      <w:pPr>
        <w:spacing w:line="360" w:lineRule="auto"/>
        <w:ind w:firstLine="496" w:firstLineChars="200"/>
        <w:rPr>
          <w:rFonts w:hAnsi="宋体" w:eastAsia="宋体" w:cs="宋体"/>
          <w:color w:val="auto"/>
          <w:szCs w:val="24"/>
          <w:u w:val="single"/>
        </w:rPr>
      </w:pPr>
      <w:r>
        <w:rPr>
          <w:rFonts w:hint="eastAsia" w:ascii="Times New Roman" w:eastAsia="宋体"/>
          <w:color w:val="auto"/>
          <w:kern w:val="2"/>
          <w:szCs w:val="24"/>
          <w:u w:val="single"/>
        </w:rPr>
        <w:t>本</w:t>
      </w:r>
      <w:r>
        <w:rPr>
          <w:rFonts w:ascii="Times New Roman" w:eastAsia="宋体"/>
          <w:color w:val="auto"/>
          <w:kern w:val="2"/>
          <w:szCs w:val="24"/>
          <w:u w:val="single"/>
        </w:rPr>
        <w:t>项目在污水</w:t>
      </w:r>
      <w:r>
        <w:rPr>
          <w:rFonts w:hint="eastAsia" w:ascii="Times New Roman" w:eastAsia="宋体"/>
          <w:color w:val="auto"/>
          <w:kern w:val="2"/>
          <w:szCs w:val="24"/>
          <w:u w:val="single"/>
        </w:rPr>
        <w:t>沉淀池</w:t>
      </w:r>
      <w:r>
        <w:rPr>
          <w:rFonts w:ascii="Times New Roman" w:eastAsia="宋体"/>
          <w:color w:val="auto"/>
          <w:kern w:val="2"/>
          <w:szCs w:val="24"/>
          <w:u w:val="single"/>
        </w:rPr>
        <w:t>通过</w:t>
      </w:r>
      <w:r>
        <w:rPr>
          <w:rFonts w:hint="eastAsia" w:ascii="Times New Roman" w:eastAsia="宋体"/>
          <w:color w:val="auto"/>
          <w:kern w:val="2"/>
          <w:szCs w:val="24"/>
          <w:u w:val="single"/>
        </w:rPr>
        <w:t>密闭+</w:t>
      </w:r>
      <w:r>
        <w:rPr>
          <w:rFonts w:ascii="Times New Roman" w:eastAsia="宋体"/>
          <w:color w:val="auto"/>
          <w:kern w:val="2"/>
          <w:szCs w:val="24"/>
          <w:u w:val="single"/>
        </w:rPr>
        <w:t>喷洒除臭剂来控制恶臭，可以从根本上改善饲养场内外环境卫生条件，减免了对大气、水源和土壤的污染。</w:t>
      </w:r>
      <w:r>
        <w:rPr>
          <w:rFonts w:hint="eastAsia" w:ascii="Times New Roman" w:eastAsia="宋体"/>
          <w:color w:val="auto"/>
          <w:kern w:val="2"/>
          <w:szCs w:val="24"/>
          <w:u w:val="single"/>
        </w:rPr>
        <w:t>同时</w:t>
      </w:r>
      <w:r>
        <w:rPr>
          <w:rFonts w:hAnsi="宋体" w:eastAsia="宋体" w:cs="宋体"/>
          <w:color w:val="auto"/>
          <w:szCs w:val="24"/>
          <w:u w:val="single"/>
        </w:rPr>
        <w:t>污水处理站所在区域加强绿化、定期喷洒除臭剂，以达到降低无组织排放影响。项目污水处理站采取的恶臭无组织排放控制措施满足《排污许可证申请与核发技术规范畜禽养殖行业》 （HJ1029-2019）无组织排放控制要求。</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6</w:t>
      </w:r>
      <w:r>
        <w:rPr>
          <w:rFonts w:ascii="Times New Roman" w:eastAsia="宋体"/>
          <w:color w:val="auto"/>
          <w:sz w:val="24"/>
        </w:rPr>
        <w:t>.2</w:t>
      </w:r>
      <w:r>
        <w:rPr>
          <w:rFonts w:hint="eastAsia" w:ascii="Times New Roman" w:eastAsia="宋体"/>
          <w:color w:val="auto"/>
          <w:sz w:val="24"/>
        </w:rPr>
        <w:t>.1</w:t>
      </w:r>
      <w:r>
        <w:rPr>
          <w:rFonts w:ascii="Times New Roman" w:eastAsia="宋体"/>
          <w:color w:val="auto"/>
          <w:sz w:val="24"/>
        </w:rPr>
        <w:t>.3食堂油烟</w:t>
      </w:r>
    </w:p>
    <w:p>
      <w:pPr>
        <w:spacing w:line="360" w:lineRule="auto"/>
        <w:ind w:firstLine="496" w:firstLineChars="200"/>
        <w:rPr>
          <w:rFonts w:ascii="Times New Roman" w:eastAsia="宋体"/>
          <w:color w:val="auto"/>
        </w:rPr>
      </w:pPr>
      <w:r>
        <w:rPr>
          <w:rFonts w:ascii="Times New Roman" w:eastAsia="宋体"/>
          <w:color w:val="auto"/>
        </w:rPr>
        <w:t>建设项目食堂安装使用油烟去除率不低于</w:t>
      </w:r>
      <w:r>
        <w:rPr>
          <w:rFonts w:hint="eastAsia" w:ascii="Times New Roman" w:eastAsia="宋体"/>
          <w:color w:val="auto"/>
        </w:rPr>
        <w:t>65</w:t>
      </w:r>
      <w:r>
        <w:rPr>
          <w:rFonts w:ascii="Times New Roman" w:eastAsia="宋体"/>
          <w:color w:val="auto"/>
        </w:rPr>
        <w:t>%的油烟净化器，环评推荐采用“静电高效油烟净化装置”对其油烟废气进行净化，本项目食堂油烟经油烟净化设施处理之后由引风机通过排烟烟道引至屋顶排放，排放浓度低于2.0mg/m</w:t>
      </w:r>
      <w:r>
        <w:rPr>
          <w:rFonts w:ascii="Times New Roman" w:eastAsia="宋体"/>
          <w:color w:val="auto"/>
          <w:vertAlign w:val="superscript"/>
        </w:rPr>
        <w:t>3</w:t>
      </w:r>
      <w:r>
        <w:rPr>
          <w:rFonts w:ascii="Times New Roman" w:eastAsia="宋体"/>
          <w:color w:val="auto"/>
        </w:rPr>
        <w:t>。</w:t>
      </w:r>
    </w:p>
    <w:p>
      <w:pPr>
        <w:pStyle w:val="430"/>
        <w:snapToGrid w:val="0"/>
        <w:spacing w:line="360" w:lineRule="auto"/>
        <w:outlineLvl w:val="3"/>
        <w:rPr>
          <w:rFonts w:ascii="Times New Roman" w:eastAsia="宋体"/>
          <w:color w:val="auto"/>
          <w:sz w:val="24"/>
        </w:rPr>
      </w:pPr>
      <w:r>
        <w:rPr>
          <w:rFonts w:ascii="Times New Roman" w:eastAsia="宋体"/>
          <w:color w:val="auto"/>
          <w:sz w:val="24"/>
        </w:rPr>
        <w:t>6.2.1.</w:t>
      </w:r>
      <w:r>
        <w:rPr>
          <w:rFonts w:hint="eastAsia" w:ascii="Times New Roman" w:eastAsia="宋体"/>
          <w:color w:val="auto"/>
          <w:sz w:val="24"/>
        </w:rPr>
        <w:t>4</w:t>
      </w:r>
      <w:r>
        <w:rPr>
          <w:rFonts w:ascii="Times New Roman" w:eastAsia="宋体"/>
          <w:color w:val="auto"/>
          <w:sz w:val="24"/>
        </w:rPr>
        <w:t>发电机废气污染防治措施</w:t>
      </w:r>
    </w:p>
    <w:p>
      <w:pPr>
        <w:spacing w:line="360" w:lineRule="auto"/>
        <w:ind w:firstLine="482"/>
        <w:rPr>
          <w:rFonts w:ascii="Times New Roman" w:eastAsia="宋体"/>
          <w:color w:val="auto"/>
          <w:kern w:val="2"/>
          <w:szCs w:val="24"/>
        </w:rPr>
      </w:pPr>
      <w:r>
        <w:rPr>
          <w:rFonts w:ascii="Times New Roman" w:eastAsia="宋体"/>
          <w:color w:val="auto"/>
          <w:kern w:val="2"/>
          <w:szCs w:val="24"/>
        </w:rPr>
        <w:t>养殖场内的备用发电机尾气由内置专用烟道引至发电机房所在构筑物楼顶排放,能够满足《非道路移动机械用柴油机排气污染物排放限值及测量方法(中国第三、四阶段）》(GB 20891—2014)中第三阶段标准要求，措施可行。</w:t>
      </w:r>
    </w:p>
    <w:bookmarkEnd w:id="496"/>
    <w:bookmarkEnd w:id="497"/>
    <w:bookmarkEnd w:id="498"/>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6</w:t>
      </w:r>
      <w:r>
        <w:rPr>
          <w:rFonts w:ascii="Times New Roman" w:eastAsia="宋体"/>
          <w:b/>
          <w:bCs/>
          <w:color w:val="auto"/>
          <w:kern w:val="2"/>
          <w:sz w:val="24"/>
        </w:rPr>
        <w:t>.2.2地表水污染防治措施及其可行性论证</w:t>
      </w:r>
    </w:p>
    <w:p>
      <w:pPr>
        <w:spacing w:line="360" w:lineRule="auto"/>
        <w:ind w:firstLine="496" w:firstLineChars="200"/>
        <w:rPr>
          <w:rFonts w:hint="eastAsia" w:ascii="Times New Roman" w:eastAsia="宋体"/>
          <w:color w:val="auto"/>
          <w:lang w:eastAsia="zh-CN"/>
        </w:rPr>
      </w:pPr>
      <w:r>
        <w:rPr>
          <w:rFonts w:ascii="Times New Roman" w:eastAsia="宋体"/>
          <w:color w:val="auto"/>
        </w:rPr>
        <w:t>本项目废水主要来自生活污水、鸡舍冲洗水</w:t>
      </w:r>
      <w:r>
        <w:rPr>
          <w:rFonts w:hint="eastAsia" w:ascii="Times New Roman" w:eastAsia="宋体"/>
          <w:color w:val="auto"/>
          <w:lang w:eastAsia="zh-CN"/>
        </w:rPr>
        <w:t>、</w:t>
      </w:r>
      <w:r>
        <w:rPr>
          <w:rFonts w:hint="eastAsia" w:ascii="Times New Roman" w:eastAsia="宋体"/>
          <w:color w:val="auto"/>
          <w:lang w:val="en-US" w:eastAsia="zh-CN"/>
        </w:rPr>
        <w:t>除臭水帘水和锅炉废水</w:t>
      </w:r>
      <w:r>
        <w:rPr>
          <w:rFonts w:ascii="Times New Roman" w:eastAsia="宋体"/>
          <w:color w:val="auto"/>
        </w:rPr>
        <w:t>等。本项目采取雨污分流的排水体制</w:t>
      </w:r>
      <w:r>
        <w:rPr>
          <w:rFonts w:hint="eastAsia" w:ascii="Times New Roman" w:eastAsia="宋体"/>
          <w:color w:val="auto"/>
          <w:lang w:eastAsia="zh-CN"/>
        </w:rPr>
        <w:t>，</w:t>
      </w:r>
      <w:r>
        <w:rPr>
          <w:rFonts w:ascii="Times New Roman" w:eastAsia="宋体"/>
          <w:color w:val="auto"/>
        </w:rPr>
        <w:t>生活污水</w:t>
      </w:r>
      <w:r>
        <w:rPr>
          <w:rFonts w:hint="eastAsia" w:ascii="Times New Roman" w:eastAsia="宋体"/>
          <w:color w:val="auto"/>
        </w:rPr>
        <w:t>经化粪池处理后排入沉淀池</w:t>
      </w:r>
      <w:r>
        <w:rPr>
          <w:rFonts w:hint="eastAsia" w:ascii="Times New Roman" w:eastAsia="宋体"/>
          <w:color w:val="auto"/>
          <w:lang w:eastAsia="zh-CN"/>
        </w:rPr>
        <w:t>，</w:t>
      </w:r>
      <w:r>
        <w:rPr>
          <w:rFonts w:hint="eastAsia" w:ascii="Times New Roman" w:eastAsia="宋体"/>
          <w:color w:val="auto"/>
          <w:lang w:val="en-US" w:eastAsia="zh-CN"/>
        </w:rPr>
        <w:t>鸡舍冲洗水和除臭水帘水均经管道汇入沉淀池，后用密闭槽罐车运至新华养殖场污水处理站处理，处理后废水用于农林施肥；锅炉废水污染物主要为悬浮物，用于厂区地面洒水抑尘</w:t>
      </w:r>
      <w:r>
        <w:rPr>
          <w:rFonts w:hint="eastAsia" w:ascii="Times New Roman" w:eastAsia="宋体"/>
          <w:color w:val="auto"/>
          <w:lang w:eastAsia="zh-CN"/>
        </w:rPr>
        <w:t>。</w:t>
      </w:r>
    </w:p>
    <w:p>
      <w:pPr>
        <w:pStyle w:val="5"/>
        <w:numPr>
          <w:ilvl w:val="0"/>
          <w:numId w:val="0"/>
        </w:numPr>
        <w:tabs>
          <w:tab w:val="clear" w:pos="864"/>
        </w:tabs>
        <w:spacing w:before="0" w:after="0" w:line="360" w:lineRule="auto"/>
        <w:rPr>
          <w:rFonts w:ascii="Times New Roman" w:hAnsi="Times New Roman" w:eastAsia="宋体"/>
          <w:color w:val="auto"/>
          <w:kern w:val="2"/>
          <w:szCs w:val="24"/>
        </w:rPr>
      </w:pPr>
      <w:bookmarkStart w:id="500" w:name="OLE_LINK704"/>
      <w:r>
        <w:rPr>
          <w:rFonts w:hint="eastAsia" w:ascii="Times New Roman" w:hAnsi="Times New Roman" w:eastAsia="宋体"/>
          <w:color w:val="auto"/>
          <w:kern w:val="2"/>
          <w:szCs w:val="24"/>
          <w:lang w:val="en-US" w:eastAsia="zh-CN"/>
        </w:rPr>
        <w:t>6</w:t>
      </w:r>
      <w:r>
        <w:rPr>
          <w:rFonts w:ascii="Times New Roman" w:hAnsi="Times New Roman" w:eastAsia="宋体"/>
          <w:color w:val="auto"/>
          <w:kern w:val="2"/>
          <w:szCs w:val="24"/>
        </w:rPr>
        <w:t>.2.2.1废水沉淀贮存池规模（容积）可行性分析</w:t>
      </w:r>
      <w:bookmarkEnd w:id="500"/>
    </w:p>
    <w:p>
      <w:pPr>
        <w:spacing w:line="360" w:lineRule="auto"/>
        <w:ind w:firstLine="496" w:firstLineChars="200"/>
        <w:rPr>
          <w:rFonts w:ascii="Times New Roman" w:eastAsia="宋体"/>
          <w:color w:val="auto"/>
          <w:szCs w:val="24"/>
        </w:rPr>
      </w:pPr>
      <w:r>
        <w:rPr>
          <w:rFonts w:ascii="Times New Roman" w:eastAsia="宋体"/>
          <w:color w:val="auto"/>
          <w:szCs w:val="24"/>
        </w:rPr>
        <w:t>项目设置</w:t>
      </w:r>
      <w:r>
        <w:rPr>
          <w:rFonts w:hint="eastAsia" w:ascii="Times New Roman" w:eastAsia="宋体"/>
          <w:color w:val="auto"/>
          <w:szCs w:val="24"/>
        </w:rPr>
        <w:t>400m</w:t>
      </w:r>
      <w:r>
        <w:rPr>
          <w:rFonts w:hint="eastAsia" w:ascii="Times New Roman" w:eastAsia="宋体"/>
          <w:color w:val="auto"/>
          <w:szCs w:val="24"/>
          <w:vertAlign w:val="superscript"/>
        </w:rPr>
        <w:t>3</w:t>
      </w:r>
      <w:r>
        <w:rPr>
          <w:rFonts w:hint="eastAsia" w:ascii="Times New Roman" w:eastAsia="宋体"/>
          <w:color w:val="auto"/>
          <w:szCs w:val="24"/>
        </w:rPr>
        <w:t>污水沉淀池</w:t>
      </w:r>
      <w:r>
        <w:rPr>
          <w:rFonts w:ascii="Times New Roman" w:eastAsia="宋体"/>
          <w:color w:val="auto"/>
          <w:szCs w:val="24"/>
        </w:rPr>
        <w:t>，</w:t>
      </w:r>
      <w:r>
        <w:rPr>
          <w:rFonts w:hint="eastAsia" w:ascii="Times New Roman" w:eastAsia="宋体"/>
          <w:color w:val="auto"/>
          <w:szCs w:val="24"/>
        </w:rPr>
        <w:t>通过</w:t>
      </w:r>
      <w:r>
        <w:rPr>
          <w:rFonts w:ascii="Times New Roman" w:eastAsia="宋体"/>
          <w:color w:val="auto"/>
          <w:szCs w:val="24"/>
        </w:rPr>
        <w:t>污水管道收集</w:t>
      </w:r>
      <w:r>
        <w:rPr>
          <w:rFonts w:hint="eastAsia" w:ascii="Times New Roman" w:eastAsia="宋体"/>
          <w:color w:val="auto"/>
          <w:szCs w:val="24"/>
        </w:rPr>
        <w:t>鸡舍冲洗废水、除臭水帘水和生活废水，后依托公司新华养殖场污水处理站处理废水</w:t>
      </w:r>
      <w:r>
        <w:rPr>
          <w:rFonts w:ascii="Times New Roman" w:eastAsia="宋体"/>
          <w:color w:val="auto"/>
          <w:szCs w:val="24"/>
        </w:rPr>
        <w:t>。</w:t>
      </w:r>
    </w:p>
    <w:p>
      <w:pPr>
        <w:spacing w:line="360" w:lineRule="auto"/>
        <w:ind w:firstLine="496" w:firstLineChars="200"/>
        <w:rPr>
          <w:rFonts w:hint="eastAsia" w:ascii="Times New Roman" w:eastAsia="宋体"/>
          <w:color w:val="auto"/>
          <w:szCs w:val="24"/>
        </w:rPr>
      </w:pPr>
      <w:r>
        <w:rPr>
          <w:rFonts w:ascii="Times New Roman" w:eastAsia="宋体"/>
          <w:color w:val="auto"/>
          <w:szCs w:val="24"/>
        </w:rPr>
        <w:t>养殖场采取“同进同出”饲养模式，即同时进雏，同时出栏。年可饲养</w:t>
      </w:r>
      <w:r>
        <w:rPr>
          <w:rFonts w:hint="eastAsia" w:ascii="Times New Roman" w:eastAsia="宋体"/>
          <w:color w:val="auto"/>
          <w:szCs w:val="24"/>
        </w:rPr>
        <w:t>4</w:t>
      </w:r>
      <w:r>
        <w:rPr>
          <w:rFonts w:ascii="Times New Roman" w:eastAsia="宋体"/>
          <w:color w:val="auto"/>
          <w:szCs w:val="24"/>
        </w:rPr>
        <w:t>个批次，每批饲养周期为</w:t>
      </w:r>
      <w:r>
        <w:rPr>
          <w:rFonts w:hint="eastAsia" w:ascii="Times New Roman" w:eastAsia="宋体"/>
          <w:color w:val="auto"/>
          <w:szCs w:val="24"/>
        </w:rPr>
        <w:t>60</w:t>
      </w:r>
      <w:r>
        <w:rPr>
          <w:rFonts w:ascii="Times New Roman" w:eastAsia="宋体"/>
          <w:color w:val="auto"/>
          <w:szCs w:val="24"/>
        </w:rPr>
        <w:t>d，消毒空舍期</w:t>
      </w:r>
      <w:r>
        <w:rPr>
          <w:rFonts w:hint="eastAsia" w:ascii="Times New Roman" w:eastAsia="宋体"/>
          <w:color w:val="auto"/>
          <w:szCs w:val="24"/>
        </w:rPr>
        <w:t>30</w:t>
      </w:r>
      <w:r>
        <w:rPr>
          <w:rFonts w:ascii="Times New Roman" w:eastAsia="宋体"/>
          <w:color w:val="auto"/>
          <w:szCs w:val="24"/>
        </w:rPr>
        <w:t>d，每次出栏后鸡舍冲洗一次，鸡舍冲洗废水量</w:t>
      </w:r>
      <w:r>
        <w:rPr>
          <w:rFonts w:hint="eastAsia" w:ascii="Times New Roman" w:eastAsia="宋体"/>
          <w:color w:val="auto"/>
          <w:szCs w:val="24"/>
        </w:rPr>
        <w:t>150</w:t>
      </w:r>
      <w:r>
        <w:rPr>
          <w:rFonts w:ascii="Times New Roman" w:eastAsia="宋体"/>
          <w:color w:val="auto"/>
          <w:szCs w:val="24"/>
        </w:rPr>
        <w:t>t/次</w:t>
      </w:r>
      <w:r>
        <w:rPr>
          <w:rFonts w:hint="eastAsia" w:ascii="Times New Roman" w:eastAsia="宋体"/>
          <w:color w:val="auto"/>
          <w:szCs w:val="24"/>
        </w:rPr>
        <w:t>。同时除臭水帘每批次产生废水量约为51t/批次，生活废水量约为139.2t/批次，即每栏次产水废水量约340.2t，污水沉淀池容积为400m</w:t>
      </w:r>
      <w:r>
        <w:rPr>
          <w:rFonts w:hint="eastAsia" w:ascii="Times New Roman" w:eastAsia="宋体"/>
          <w:color w:val="auto"/>
          <w:szCs w:val="24"/>
          <w:vertAlign w:val="superscript"/>
        </w:rPr>
        <w:t>3</w:t>
      </w:r>
      <w:r>
        <w:rPr>
          <w:rFonts w:hint="eastAsia" w:ascii="Times New Roman" w:eastAsia="宋体"/>
          <w:color w:val="auto"/>
          <w:szCs w:val="24"/>
        </w:rPr>
        <w:t>，满足储存要求。</w:t>
      </w:r>
    </w:p>
    <w:p>
      <w:pPr>
        <w:pStyle w:val="5"/>
        <w:numPr>
          <w:ilvl w:val="0"/>
          <w:numId w:val="0"/>
        </w:numPr>
        <w:tabs>
          <w:tab w:val="clear" w:pos="864"/>
        </w:tabs>
        <w:spacing w:before="0" w:after="0" w:line="360" w:lineRule="auto"/>
        <w:rPr>
          <w:rFonts w:ascii="Times New Roman" w:hAnsi="Times New Roman" w:eastAsia="宋体"/>
          <w:color w:val="auto"/>
          <w:kern w:val="2"/>
          <w:szCs w:val="24"/>
        </w:rPr>
      </w:pPr>
      <w:r>
        <w:rPr>
          <w:rFonts w:hint="eastAsia" w:ascii="Times New Roman" w:hAnsi="Times New Roman" w:eastAsia="宋体"/>
          <w:color w:val="auto"/>
          <w:kern w:val="2"/>
          <w:szCs w:val="24"/>
          <w:lang w:val="en-US" w:eastAsia="zh-CN"/>
        </w:rPr>
        <w:t>6</w:t>
      </w:r>
      <w:r>
        <w:rPr>
          <w:rFonts w:ascii="Times New Roman" w:hAnsi="Times New Roman" w:eastAsia="宋体"/>
          <w:color w:val="auto"/>
          <w:kern w:val="2"/>
          <w:szCs w:val="24"/>
        </w:rPr>
        <w:t>.2.2.</w:t>
      </w:r>
      <w:r>
        <w:rPr>
          <w:rFonts w:hint="eastAsia" w:ascii="Times New Roman" w:hAnsi="Times New Roman" w:eastAsia="宋体"/>
          <w:color w:val="auto"/>
          <w:kern w:val="2"/>
          <w:szCs w:val="24"/>
          <w:lang w:val="en-US" w:eastAsia="zh-CN"/>
        </w:rPr>
        <w:t>2</w:t>
      </w:r>
      <w:r>
        <w:rPr>
          <w:rFonts w:ascii="Times New Roman" w:hAnsi="Times New Roman" w:eastAsia="宋体"/>
          <w:color w:val="auto"/>
          <w:kern w:val="2"/>
          <w:szCs w:val="24"/>
        </w:rPr>
        <w:t>废水</w:t>
      </w:r>
      <w:r>
        <w:rPr>
          <w:rFonts w:hint="eastAsia" w:ascii="Times New Roman" w:hAnsi="Times New Roman" w:eastAsia="宋体"/>
          <w:color w:val="auto"/>
          <w:kern w:val="2"/>
          <w:szCs w:val="24"/>
          <w:lang w:val="en-US" w:eastAsia="zh-CN"/>
        </w:rPr>
        <w:t>依托处理</w:t>
      </w:r>
      <w:r>
        <w:rPr>
          <w:rFonts w:ascii="Times New Roman" w:hAnsi="Times New Roman" w:eastAsia="宋体"/>
          <w:color w:val="auto"/>
          <w:kern w:val="2"/>
          <w:szCs w:val="24"/>
        </w:rPr>
        <w:t>可行性分析</w:t>
      </w:r>
    </w:p>
    <w:p>
      <w:pPr>
        <w:numPr>
          <w:ilvl w:val="0"/>
          <w:numId w:val="0"/>
        </w:numPr>
        <w:spacing w:line="360" w:lineRule="auto"/>
        <w:ind w:firstLine="420" w:firstLineChars="0"/>
        <w:rPr>
          <w:rFonts w:ascii="Times New Roman" w:eastAsia="宋体"/>
          <w:color w:val="auto"/>
        </w:rPr>
      </w:pPr>
      <w:r>
        <w:rPr>
          <w:rFonts w:hint="eastAsia" w:ascii="Times New Roman" w:eastAsia="宋体"/>
          <w:color w:val="auto"/>
        </w:rPr>
        <w:t>本项目产生的鸡舍冲洗废水、除臭废水和经过化粪池处理后的生活污水，经沉淀后委托湖南春雨生物科技有限公司用密闭槽罐车运往新华养殖场的污水处理站。本项目每次清栏后集中清运污水，污水量约为340.2t。</w:t>
      </w:r>
    </w:p>
    <w:p>
      <w:pPr>
        <w:spacing w:line="360" w:lineRule="auto"/>
        <w:ind w:firstLine="496" w:firstLineChars="200"/>
        <w:rPr>
          <w:rFonts w:ascii="Times New Roman" w:eastAsia="宋体"/>
          <w:color w:val="auto"/>
        </w:rPr>
      </w:pPr>
      <w:r>
        <w:rPr>
          <w:rFonts w:hint="eastAsia" w:ascii="Times New Roman" w:eastAsia="宋体"/>
          <w:color w:val="auto"/>
        </w:rPr>
        <w:t>新华养殖场</w:t>
      </w:r>
      <w:r>
        <w:rPr>
          <w:rFonts w:ascii="Times New Roman" w:eastAsia="宋体"/>
          <w:color w:val="auto"/>
        </w:rPr>
        <w:t>设计污水处理能力</w:t>
      </w:r>
      <w:r>
        <w:rPr>
          <w:rFonts w:hint="eastAsia" w:ascii="Times New Roman" w:eastAsia="宋体"/>
          <w:color w:val="auto"/>
        </w:rPr>
        <w:t>为6</w:t>
      </w:r>
      <w:r>
        <w:rPr>
          <w:rFonts w:ascii="Times New Roman" w:eastAsia="宋体"/>
          <w:color w:val="auto"/>
        </w:rPr>
        <w:t>0m</w:t>
      </w:r>
      <w:r>
        <w:rPr>
          <w:rFonts w:ascii="Times New Roman" w:eastAsia="宋体"/>
          <w:color w:val="auto"/>
          <w:vertAlign w:val="superscript"/>
        </w:rPr>
        <w:t>3</w:t>
      </w:r>
      <w:r>
        <w:rPr>
          <w:rFonts w:ascii="Times New Roman" w:eastAsia="宋体"/>
          <w:color w:val="auto"/>
        </w:rPr>
        <w:t>/d，</w:t>
      </w:r>
      <w:r>
        <w:rPr>
          <w:rFonts w:hint="eastAsia" w:ascii="Times New Roman" w:eastAsia="宋体"/>
          <w:color w:val="auto"/>
        </w:rPr>
        <w:t>目前除处置本场养殖污水外，同时接纳处置前进养殖场的生产废水</w:t>
      </w:r>
      <w:r>
        <w:rPr>
          <w:rFonts w:ascii="Times New Roman" w:eastAsia="宋体"/>
          <w:color w:val="auto"/>
        </w:rPr>
        <w:t>。</w:t>
      </w:r>
      <w:r>
        <w:rPr>
          <w:rFonts w:hint="eastAsia" w:ascii="Times New Roman" w:eastAsia="宋体"/>
          <w:color w:val="auto"/>
        </w:rPr>
        <w:t>新华养殖场和前进养殖场均为岳阳湘佳牧业有限公司的肉鸡养殖场，废水产生量均为</w:t>
      </w:r>
      <w:r>
        <w:rPr>
          <w:rFonts w:hint="eastAsia" w:ascii="Times New Roman" w:eastAsia="宋体"/>
          <w:color w:val="auto"/>
          <w:lang w:val="en-US" w:eastAsia="zh-CN"/>
        </w:rPr>
        <w:t>5</w:t>
      </w:r>
      <w:r>
        <w:rPr>
          <w:rFonts w:ascii="Times New Roman" w:eastAsia="宋体"/>
          <w:color w:val="auto"/>
        </w:rPr>
        <w:t>m</w:t>
      </w:r>
      <w:r>
        <w:rPr>
          <w:rFonts w:ascii="Times New Roman" w:eastAsia="宋体"/>
          <w:color w:val="auto"/>
          <w:vertAlign w:val="superscript"/>
        </w:rPr>
        <w:t>3</w:t>
      </w:r>
      <w:r>
        <w:rPr>
          <w:rFonts w:ascii="Times New Roman" w:eastAsia="宋体"/>
          <w:color w:val="auto"/>
        </w:rPr>
        <w:t>/d</w:t>
      </w:r>
      <w:r>
        <w:rPr>
          <w:rFonts w:hint="eastAsia" w:ascii="Times New Roman" w:eastAsia="宋体"/>
          <w:color w:val="auto"/>
        </w:rPr>
        <w:t>。新华养殖场养殖废水为连续性处理，前进养殖场根据养殖周期分批次运送至废水处理站处理（约300m</w:t>
      </w:r>
      <w:r>
        <w:rPr>
          <w:rFonts w:ascii="Times New Roman" w:eastAsia="宋体"/>
          <w:color w:val="auto"/>
          <w:vertAlign w:val="superscript"/>
        </w:rPr>
        <w:t>3</w:t>
      </w:r>
      <w:r>
        <w:rPr>
          <w:rFonts w:ascii="Times New Roman" w:eastAsia="宋体"/>
          <w:color w:val="auto"/>
        </w:rPr>
        <w:t>/</w:t>
      </w:r>
      <w:r>
        <w:rPr>
          <w:rFonts w:hint="eastAsia" w:ascii="Times New Roman" w:eastAsia="宋体"/>
          <w:color w:val="auto"/>
        </w:rPr>
        <w:t>批次*4次）。考虑本项目和前进养殖场废水均为分批集中处置，且清舍周期较长（约30d），则公司可通过统一调度进行错峰处置废水。</w:t>
      </w:r>
    </w:p>
    <w:p>
      <w:pPr>
        <w:spacing w:line="360" w:lineRule="auto"/>
        <w:ind w:firstLine="496" w:firstLineChars="200"/>
        <w:rPr>
          <w:rFonts w:ascii="Times New Roman" w:eastAsia="宋体"/>
          <w:color w:val="auto"/>
        </w:rPr>
      </w:pPr>
      <w:r>
        <w:rPr>
          <w:rFonts w:hint="eastAsia" w:ascii="Times New Roman" w:eastAsia="宋体"/>
          <w:color w:val="auto"/>
        </w:rPr>
        <w:t>本养殖场规模、原辅料和养殖方式等，与新华养殖场基本一致，则废水主要污染物和浓度基本一致，主要为COD、SS、氨氮、BOD5和粪大肠菌群等。新华养殖场污水处理站</w:t>
      </w:r>
      <w:r>
        <w:rPr>
          <w:rFonts w:ascii="Times New Roman" w:eastAsia="宋体"/>
          <w:color w:val="auto"/>
        </w:rPr>
        <w:t>废水处理工艺采用的是</w:t>
      </w:r>
      <w:r>
        <w:rPr>
          <w:rFonts w:hint="eastAsia" w:ascii="Times New Roman" w:eastAsia="宋体"/>
          <w:color w:val="auto"/>
        </w:rPr>
        <w:t>“沉淀+水解+兼氧+接触氧化+沉淀”处理工艺，</w:t>
      </w:r>
      <w:r>
        <w:rPr>
          <w:rFonts w:hint="eastAsia" w:ascii="Times New Roman" w:eastAsia="宋体"/>
          <w:color w:val="auto"/>
          <w:lang w:val="en-US" w:eastAsia="zh-CN"/>
        </w:rPr>
        <w:t>回用废水可进入消毒池处理后回用，其余废水</w:t>
      </w:r>
      <w:r>
        <w:rPr>
          <w:rFonts w:hint="eastAsia" w:ascii="Times New Roman" w:eastAsia="宋体"/>
          <w:color w:val="auto"/>
        </w:rPr>
        <w:t>排入水塘进一步沉淀净化后用于周边</w:t>
      </w:r>
      <w:r>
        <w:rPr>
          <w:rFonts w:hint="eastAsia" w:ascii="Times New Roman" w:eastAsia="宋体"/>
          <w:color w:val="auto"/>
          <w:lang w:eastAsia="zh-CN"/>
        </w:rPr>
        <w:t>农林施肥</w:t>
      </w:r>
      <w:r>
        <w:rPr>
          <w:rFonts w:hint="eastAsia" w:ascii="Times New Roman" w:eastAsia="宋体"/>
          <w:color w:val="auto"/>
        </w:rPr>
        <w:t>，执行《污水综合排放标准》（GB 8978-1996）一级标准</w:t>
      </w:r>
      <w:r>
        <w:rPr>
          <w:rFonts w:hint="eastAsia" w:ascii="Times New Roman" w:eastAsia="宋体"/>
          <w:color w:val="auto"/>
          <w:lang w:eastAsia="zh-CN"/>
        </w:rPr>
        <w:t>。</w:t>
      </w:r>
      <w:r>
        <w:rPr>
          <w:rFonts w:hint="eastAsia" w:ascii="Times New Roman" w:eastAsia="宋体"/>
          <w:color w:val="auto"/>
          <w:lang w:val="en-US" w:eastAsia="zh-CN"/>
        </w:rPr>
        <w:t>经调查新华养殖场处理后废水现阶段暂未回用，本项目桃源养殖场的废水按全部用于农林施肥进行分析</w:t>
      </w:r>
      <w:r>
        <w:rPr>
          <w:rFonts w:hint="eastAsia" w:ascii="Times New Roman" w:eastAsia="宋体"/>
          <w:color w:val="auto"/>
        </w:rPr>
        <w:t>。</w:t>
      </w:r>
    </w:p>
    <w:p>
      <w:pPr>
        <w:spacing w:line="360" w:lineRule="auto"/>
        <w:ind w:firstLine="496" w:firstLineChars="200"/>
        <w:rPr>
          <w:rFonts w:ascii="Times New Roman" w:eastAsia="宋体"/>
          <w:color w:val="auto"/>
        </w:rPr>
      </w:pPr>
      <w:r>
        <w:rPr>
          <w:rFonts w:ascii="Times New Roman" w:eastAsia="宋体"/>
          <w:color w:val="auto"/>
        </w:rPr>
        <w:t>处理工艺如图所示：</w:t>
      </w:r>
    </w:p>
    <w:p>
      <w:pPr>
        <w:pStyle w:val="23"/>
        <w:jc w:val="center"/>
      </w:pPr>
      <w:r>
        <w:rPr>
          <w:sz w:val="24"/>
        </w:rPr>
        <mc:AlternateContent>
          <mc:Choice Requires="wps">
            <w:drawing>
              <wp:anchor distT="0" distB="0" distL="114300" distR="114300" simplePos="0" relativeHeight="251722752" behindDoc="0" locked="0" layoutInCell="1" allowOverlap="1">
                <wp:simplePos x="0" y="0"/>
                <wp:positionH relativeFrom="column">
                  <wp:posOffset>3143885</wp:posOffset>
                </wp:positionH>
                <wp:positionV relativeFrom="paragraph">
                  <wp:posOffset>2782570</wp:posOffset>
                </wp:positionV>
                <wp:extent cx="1408430" cy="447675"/>
                <wp:effectExtent l="0" t="0" r="0" b="0"/>
                <wp:wrapNone/>
                <wp:docPr id="136" name="矩形 136"/>
                <wp:cNvGraphicFramePr/>
                <a:graphic xmlns:a="http://schemas.openxmlformats.org/drawingml/2006/main">
                  <a:graphicData uri="http://schemas.microsoft.com/office/word/2010/wordprocessingShape">
                    <wps:wsp>
                      <wps:cNvSpPr/>
                      <wps:spPr>
                        <a:xfrm>
                          <a:off x="4288790" y="3696970"/>
                          <a:ext cx="1408430" cy="44767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7.55pt;margin-top:219.1pt;height:35.25pt;width:110.9pt;z-index:251722752;v-text-anchor:middle;mso-width-relative:page;mso-height-relative:page;" fillcolor="#FFFFFF [3212]" filled="t" stroked="f" coordsize="21600,21600" o:gfxdata="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GxmUktcAAAALAQAADwAAAAAAAAABACAAAAAiAAAAZHJzL2Rvd25yZXYueG1s&#10;UEsBAhQAFAAAAAgAh07iQCx5rf1rAgAAxAQAAA4AAAAAAAAAAQAgAAAAJgEAAGRycy9lMm9Eb2Mu&#10;eG1sUEsFBgAAAAAGAAYAWQEAAAMGAAAAAA==&#10;">
                <v:fill on="t" focussize="0,0"/>
                <v:stroke on="f" weight="2pt"/>
                <v:imagedata o:title=""/>
                <o:lock v:ext="edit" aspectratio="f"/>
              </v:rect>
            </w:pict>
          </mc:Fallback>
        </mc:AlternateContent>
      </w:r>
      <w:r>
        <w:rPr>
          <w:sz w:val="24"/>
        </w:rPr>
        <mc:AlternateContent>
          <mc:Choice Requires="wps">
            <w:drawing>
              <wp:anchor distT="0" distB="0" distL="114300" distR="114300" simplePos="0" relativeHeight="251711488" behindDoc="0" locked="0" layoutInCell="1" allowOverlap="1">
                <wp:simplePos x="0" y="0"/>
                <wp:positionH relativeFrom="column">
                  <wp:posOffset>3887470</wp:posOffset>
                </wp:positionH>
                <wp:positionV relativeFrom="paragraph">
                  <wp:posOffset>1862455</wp:posOffset>
                </wp:positionV>
                <wp:extent cx="1330960" cy="430530"/>
                <wp:effectExtent l="4445" t="4445" r="10795" b="9525"/>
                <wp:wrapNone/>
                <wp:docPr id="108" name="文本框 259"/>
                <wp:cNvGraphicFramePr/>
                <a:graphic xmlns:a="http://schemas.openxmlformats.org/drawingml/2006/main">
                  <a:graphicData uri="http://schemas.microsoft.com/office/word/2010/wordprocessingShape">
                    <wps:wsp>
                      <wps:cNvSpPr txBox="1"/>
                      <wps:spPr>
                        <a:xfrm>
                          <a:off x="0" y="0"/>
                          <a:ext cx="1330960" cy="430530"/>
                        </a:xfrm>
                        <a:prstGeom prst="rect">
                          <a:avLst/>
                        </a:prstGeom>
                        <a:solidFill>
                          <a:srgbClr val="FFFFFF"/>
                        </a:solidFill>
                        <a:ln w="9525" cap="flat" cmpd="sng">
                          <a:solidFill>
                            <a:schemeClr val="bg1"/>
                          </a:solidFill>
                          <a:prstDash val="solid"/>
                          <a:miter/>
                          <a:headEnd type="none" w="med" len="med"/>
                          <a:tailEnd type="none" w="med" len="med"/>
                        </a:ln>
                      </wps:spPr>
                      <wps:txbx>
                        <w:txbxContent>
                          <w:p>
                            <w:pPr>
                              <w:rPr>
                                <w:rFonts w:hint="eastAsia" w:eastAsia="仿宋"/>
                                <w:lang w:val="en-US" w:eastAsia="zh-CN"/>
                              </w:rPr>
                            </w:pPr>
                          </w:p>
                        </w:txbxContent>
                      </wps:txbx>
                      <wps:bodyPr upright="1"/>
                    </wps:wsp>
                  </a:graphicData>
                </a:graphic>
              </wp:anchor>
            </w:drawing>
          </mc:Choice>
          <mc:Fallback>
            <w:pict>
              <v:shape id="文本框 259" o:spid="_x0000_s1026" o:spt="202" type="#_x0000_t202" style="position:absolute;left:0pt;margin-left:306.1pt;margin-top:146.65pt;height:33.9pt;width:104.8pt;z-index:251711488;mso-width-relative:page;mso-height-relative:page;" fillcolor="#FFFFFF" filled="t" stroked="t" coordsize="21600,21600" o:gfxdata="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2rRgs2QAAAAsBAAAPAAAAAAAAAAEAIAAA&#10;ACIAAABkcnMvZG93bnJldi54bWxQSwECFAAUAAAACACHTuJA0dqCDwsCAAA6BAAADgAAAAAAAAAB&#10;ACAAAAAoAQAAZHJzL2Uyb0RvYy54bWxQSwUGAAAAAAYABgBZAQAApQUAAAAA&#10;">
                <v:fill on="t" focussize="0,0"/>
                <v:stroke color="#FFFFFF [3212]" joinstyle="miter"/>
                <v:imagedata o:title=""/>
                <o:lock v:ext="edit" aspectratio="f"/>
                <v:textbox>
                  <w:txbxContent>
                    <w:p>
                      <w:pPr>
                        <w:rPr>
                          <w:rFonts w:hint="eastAsia" w:eastAsia="仿宋"/>
                          <w:lang w:val="en-US" w:eastAsia="zh-CN"/>
                        </w:rPr>
                      </w:pPr>
                    </w:p>
                  </w:txbxContent>
                </v:textbox>
              </v:shape>
            </w:pict>
          </mc:Fallback>
        </mc:AlternateContent>
      </w:r>
      <w:r>
        <w:rPr>
          <w:sz w:val="24"/>
        </w:rPr>
        <mc:AlternateContent>
          <mc:Choice Requires="wps">
            <w:drawing>
              <wp:anchor distT="0" distB="0" distL="114300" distR="114300" simplePos="0" relativeHeight="251721728" behindDoc="0" locked="0" layoutInCell="1" allowOverlap="1">
                <wp:simplePos x="0" y="0"/>
                <wp:positionH relativeFrom="column">
                  <wp:posOffset>3322320</wp:posOffset>
                </wp:positionH>
                <wp:positionV relativeFrom="paragraph">
                  <wp:posOffset>3703955</wp:posOffset>
                </wp:positionV>
                <wp:extent cx="889635" cy="279400"/>
                <wp:effectExtent l="0" t="0" r="12065" b="0"/>
                <wp:wrapNone/>
                <wp:docPr id="6" name="文本框 257"/>
                <wp:cNvGraphicFramePr/>
                <a:graphic xmlns:a="http://schemas.openxmlformats.org/drawingml/2006/main">
                  <a:graphicData uri="http://schemas.microsoft.com/office/word/2010/wordprocessingShape">
                    <wps:wsp>
                      <wps:cNvSpPr txBox="1"/>
                      <wps:spPr>
                        <a:xfrm>
                          <a:off x="0" y="0"/>
                          <a:ext cx="889635" cy="279400"/>
                        </a:xfrm>
                        <a:prstGeom prst="rect">
                          <a:avLst/>
                        </a:prstGeom>
                        <a:solidFill>
                          <a:srgbClr val="FFFFFF"/>
                        </a:solidFill>
                        <a:ln>
                          <a:noFill/>
                        </a:ln>
                      </wps:spPr>
                      <wps:txbx>
                        <w:txbxContent>
                          <w:p>
                            <w:pPr>
                              <w:rPr>
                                <w:rFonts w:hint="default" w:eastAsia="仿宋"/>
                                <w:lang w:val="en-US" w:eastAsia="zh-CN"/>
                              </w:rPr>
                            </w:pPr>
                            <w:r>
                              <w:rPr>
                                <w:rFonts w:hint="eastAsia"/>
                                <w:lang w:val="en-US" w:eastAsia="zh-CN"/>
                              </w:rPr>
                              <w:t>农林施肥</w:t>
                            </w:r>
                          </w:p>
                        </w:txbxContent>
                      </wps:txbx>
                      <wps:bodyPr upright="1"/>
                    </wps:wsp>
                  </a:graphicData>
                </a:graphic>
              </wp:anchor>
            </w:drawing>
          </mc:Choice>
          <mc:Fallback>
            <w:pict>
              <v:shape id="文本框 257" o:spid="_x0000_s1026" o:spt="202" type="#_x0000_t202" style="position:absolute;left:0pt;margin-left:261.6pt;margin-top:291.65pt;height:22pt;width:70.05pt;z-index:251721728;mso-width-relative:page;mso-height-relative:page;" fillcolor="#FFFFFF" filled="t" stroked="f" coordsize="21600,21600" o:gfxdata="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4xU9+1wAAAAsBAAAPAAAAAAAAAAEAIAAAACIAAABkcnMvZG93bnJl&#10;di54bWxQSwECFAAUAAAACACHTuJAUQy7dcUBAAB4AwAADgAAAAAAAAABACAAAAAmAQAAZHJzL2Uy&#10;b0RvYy54bWxQSwUGAAAAAAYABgBZAQAAXQUAAAAA&#10;">
                <v:fill on="t" focussize="0,0"/>
                <v:stroke on="f"/>
                <v:imagedata o:title=""/>
                <o:lock v:ext="edit" aspectratio="f"/>
                <v:textbox>
                  <w:txbxContent>
                    <w:p>
                      <w:pPr>
                        <w:rPr>
                          <w:rFonts w:hint="default" w:eastAsia="仿宋"/>
                          <w:lang w:val="en-US" w:eastAsia="zh-CN"/>
                        </w:rPr>
                      </w:pPr>
                      <w:r>
                        <w:rPr>
                          <w:rFonts w:hint="eastAsia"/>
                          <w:lang w:val="en-US" w:eastAsia="zh-CN"/>
                        </w:rPr>
                        <w:t>农林施肥</w:t>
                      </w:r>
                    </w:p>
                  </w:txbxContent>
                </v:textbox>
              </v:shape>
            </w:pict>
          </mc:Fallback>
        </mc:AlternateContent>
      </w:r>
      <w:r>
        <w:rPr>
          <w:sz w:val="24"/>
        </w:rPr>
        <mc:AlternateContent>
          <mc:Choice Requires="wps">
            <w:drawing>
              <wp:anchor distT="0" distB="0" distL="114300" distR="114300" simplePos="0" relativeHeight="251720704" behindDoc="0" locked="0" layoutInCell="1" allowOverlap="1">
                <wp:simplePos x="0" y="0"/>
                <wp:positionH relativeFrom="column">
                  <wp:posOffset>2900680</wp:posOffset>
                </wp:positionH>
                <wp:positionV relativeFrom="paragraph">
                  <wp:posOffset>3789680</wp:posOffset>
                </wp:positionV>
                <wp:extent cx="316865" cy="100965"/>
                <wp:effectExtent l="0" t="0" r="635" b="635"/>
                <wp:wrapNone/>
                <wp:docPr id="109" name="自选图形 258"/>
                <wp:cNvGraphicFramePr/>
                <a:graphic xmlns:a="http://schemas.openxmlformats.org/drawingml/2006/main">
                  <a:graphicData uri="http://schemas.microsoft.com/office/word/2010/wordprocessingShape">
                    <wps:wsp>
                      <wps:cNvSpPr/>
                      <wps:spPr>
                        <a:xfrm>
                          <a:off x="0" y="0"/>
                          <a:ext cx="316865" cy="100965"/>
                        </a:xfrm>
                        <a:prstGeom prst="rightArrow">
                          <a:avLst>
                            <a:gd name="adj1" fmla="val 50000"/>
                            <a:gd name="adj2" fmla="val 78459"/>
                          </a:avLst>
                        </a:prstGeom>
                        <a:solidFill>
                          <a:srgbClr val="92D050"/>
                        </a:solidFill>
                        <a:ln>
                          <a:noFill/>
                        </a:ln>
                      </wps:spPr>
                      <wps:bodyPr upright="1"/>
                    </wps:wsp>
                  </a:graphicData>
                </a:graphic>
              </wp:anchor>
            </w:drawing>
          </mc:Choice>
          <mc:Fallback>
            <w:pict>
              <v:shape id="自选图形 258" o:spid="_x0000_s1026" o:spt="13" type="#_x0000_t13" style="position:absolute;left:0pt;margin-left:228.4pt;margin-top:298.4pt;height:7.95pt;width:24.95pt;z-index:251720704;mso-width-relative:page;mso-height-relative:page;" fillcolor="#92D050" filled="t" stroked="f" coordsize="21600,21600" o:gfxdata="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67s&#10;/NkAAAALAQAADwAAAAAAAAABACAAAAAiAAAAZHJzL2Rvd25yZXYueG1sUEsBAhQAFAAAAAgAh07i&#10;QNz7NmjoAQAAvwMAAA4AAAAAAAAAAQAgAAAAKAEAAGRycy9lMm9Eb2MueG1sUEsFBgAAAAAGAAYA&#10;WQEAAIIFAAAAAA==&#10;" adj="16201,5400">
                <v:fill on="t" focussize="0,0"/>
                <v:stroke on="f"/>
                <v:imagedata o:title=""/>
                <o:lock v:ext="edit" aspectratio="f"/>
              </v:shape>
            </w:pict>
          </mc:Fallback>
        </mc:AlternateContent>
      </w:r>
      <w:r>
        <w:rPr>
          <w:sz w:val="24"/>
        </w:rPr>
        <mc:AlternateContent>
          <mc:Choice Requires="wps">
            <w:drawing>
              <wp:anchor distT="0" distB="0" distL="114300" distR="114300" simplePos="0" relativeHeight="251712512" behindDoc="0" locked="0" layoutInCell="1" allowOverlap="1">
                <wp:simplePos x="0" y="0"/>
                <wp:positionH relativeFrom="column">
                  <wp:posOffset>2145030</wp:posOffset>
                </wp:positionH>
                <wp:positionV relativeFrom="paragraph">
                  <wp:posOffset>3681730</wp:posOffset>
                </wp:positionV>
                <wp:extent cx="889635" cy="279400"/>
                <wp:effectExtent l="0" t="0" r="12065" b="0"/>
                <wp:wrapNone/>
                <wp:docPr id="110" name="文本框 257"/>
                <wp:cNvGraphicFramePr/>
                <a:graphic xmlns:a="http://schemas.openxmlformats.org/drawingml/2006/main">
                  <a:graphicData uri="http://schemas.microsoft.com/office/word/2010/wordprocessingShape">
                    <wps:wsp>
                      <wps:cNvSpPr txBox="1"/>
                      <wps:spPr>
                        <a:xfrm>
                          <a:off x="0" y="0"/>
                          <a:ext cx="889635" cy="279400"/>
                        </a:xfrm>
                        <a:prstGeom prst="rect">
                          <a:avLst/>
                        </a:prstGeom>
                        <a:solidFill>
                          <a:srgbClr val="FFFFFF"/>
                        </a:solidFill>
                        <a:ln>
                          <a:noFill/>
                        </a:ln>
                      </wps:spPr>
                      <wps:txbx>
                        <w:txbxContent>
                          <w:p>
                            <w:pPr>
                              <w:rPr>
                                <w:rFonts w:hint="default" w:eastAsia="仿宋"/>
                                <w:lang w:val="en-US" w:eastAsia="zh-CN"/>
                              </w:rPr>
                            </w:pPr>
                            <w:r>
                              <w:rPr>
                                <w:rFonts w:hint="eastAsia"/>
                                <w:lang w:val="en-US" w:eastAsia="zh-CN"/>
                              </w:rPr>
                              <w:t>东侧水塘</w:t>
                            </w:r>
                          </w:p>
                        </w:txbxContent>
                      </wps:txbx>
                      <wps:bodyPr upright="1"/>
                    </wps:wsp>
                  </a:graphicData>
                </a:graphic>
              </wp:anchor>
            </w:drawing>
          </mc:Choice>
          <mc:Fallback>
            <w:pict>
              <v:shape id="文本框 257" o:spid="_x0000_s1026" o:spt="202" type="#_x0000_t202" style="position:absolute;left:0pt;margin-left:168.9pt;margin-top:289.9pt;height:22pt;width:70.05pt;z-index:251712512;mso-width-relative:page;mso-height-relative:page;" fillcolor="#FFFFFF" filled="t" stroked="f" coordsize="21600,21600" o:gfxdata="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hz6hZ2QAAAAsBAAAPAAAAAAAAAAEAIAAAACIAAABkcnMvZG93&#10;bnJldi54bWxQSwECFAAUAAAACACHTuJAm40jiMYBAAB6AwAADgAAAAAAAAABACAAAAAoAQAAZHJz&#10;L2Uyb0RvYy54bWxQSwUGAAAAAAYABgBZAQAAYAUAAAAA&#10;">
                <v:fill on="t" focussize="0,0"/>
                <v:stroke on="f"/>
                <v:imagedata o:title=""/>
                <o:lock v:ext="edit" aspectratio="f"/>
                <v:textbox>
                  <w:txbxContent>
                    <w:p>
                      <w:pPr>
                        <w:rPr>
                          <w:rFonts w:hint="default" w:eastAsia="仿宋"/>
                          <w:lang w:val="en-US" w:eastAsia="zh-CN"/>
                        </w:rPr>
                      </w:pPr>
                      <w:r>
                        <w:rPr>
                          <w:rFonts w:hint="eastAsia"/>
                          <w:lang w:val="en-US" w:eastAsia="zh-CN"/>
                        </w:rPr>
                        <w:t>东侧水塘</w:t>
                      </w:r>
                    </w:p>
                  </w:txbxContent>
                </v:textbox>
              </v:shape>
            </w:pict>
          </mc:Fallback>
        </mc:AlternateContent>
      </w:r>
      <w:r>
        <w:drawing>
          <wp:inline distT="0" distB="0" distL="114300" distR="114300">
            <wp:extent cx="4431030" cy="3886200"/>
            <wp:effectExtent l="0" t="0" r="127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42"/>
                    <a:srcRect t="17522" r="-403" b="23462"/>
                    <a:stretch>
                      <a:fillRect/>
                    </a:stretch>
                  </pic:blipFill>
                  <pic:spPr>
                    <a:xfrm>
                      <a:off x="0" y="0"/>
                      <a:ext cx="4431030" cy="3886200"/>
                    </a:xfrm>
                    <a:prstGeom prst="rect">
                      <a:avLst/>
                    </a:prstGeom>
                    <a:noFill/>
                    <a:ln>
                      <a:noFill/>
                    </a:ln>
                  </pic:spPr>
                </pic:pic>
              </a:graphicData>
            </a:graphic>
          </wp:inline>
        </w:drawing>
      </w:r>
    </w:p>
    <w:p>
      <w:pPr>
        <w:pStyle w:val="264"/>
        <w:spacing w:before="0" w:after="0" w:line="360" w:lineRule="auto"/>
        <w:ind w:left="0" w:firstLine="0" w:firstLineChars="0"/>
        <w:jc w:val="center"/>
        <w:rPr>
          <w:rFonts w:ascii="Times New Roman" w:hAnsi="Times New Roman"/>
          <w:b/>
          <w:bCs w:val="0"/>
          <w:color w:val="auto"/>
          <w:sz w:val="21"/>
          <w:szCs w:val="21"/>
        </w:rPr>
      </w:pPr>
      <w:r>
        <w:rPr>
          <w:rFonts w:hint="eastAsia" w:ascii="Times New Roman" w:hAnsi="Times New Roman"/>
          <w:b/>
          <w:bCs w:val="0"/>
          <w:color w:val="auto"/>
          <w:sz w:val="21"/>
          <w:szCs w:val="21"/>
        </w:rPr>
        <w:t>图5.2-2 污水处理站工艺流程图</w:t>
      </w:r>
    </w:p>
    <w:p>
      <w:pPr>
        <w:spacing w:line="360" w:lineRule="auto"/>
        <w:ind w:firstLine="420"/>
        <w:jc w:val="left"/>
        <w:rPr>
          <w:rFonts w:ascii="Times New Roman" w:eastAsia="宋体"/>
          <w:color w:val="auto"/>
          <w:szCs w:val="24"/>
        </w:rPr>
      </w:pPr>
      <w:r>
        <w:rPr>
          <w:rFonts w:hint="eastAsia" w:ascii="Times New Roman" w:eastAsia="宋体"/>
          <w:color w:val="auto"/>
          <w:szCs w:val="24"/>
        </w:rPr>
        <w:t>查阅新华养殖场2022年至今的废水检测报告，经处理后的废水均可满足《污水综合排放标准》（GB 8978-1996）一级标准，报告详见附件。</w:t>
      </w:r>
    </w:p>
    <w:p>
      <w:pPr>
        <w:spacing w:line="360" w:lineRule="auto"/>
        <w:ind w:firstLine="420"/>
        <w:jc w:val="left"/>
        <w:rPr>
          <w:rFonts w:hint="eastAsia" w:ascii="Times New Roman" w:eastAsia="宋体"/>
          <w:color w:val="auto"/>
          <w:szCs w:val="24"/>
          <w:lang w:val="en-US" w:eastAsia="zh-CN"/>
        </w:rPr>
      </w:pPr>
      <w:r>
        <w:rPr>
          <w:rFonts w:hint="eastAsia" w:ascii="Times New Roman" w:eastAsia="宋体"/>
          <w:color w:val="auto"/>
          <w:szCs w:val="24"/>
          <w:lang w:val="en-US" w:eastAsia="zh-CN"/>
        </w:rPr>
        <w:t>由上可知本项目生产废水依托新华养殖场污水处理站处置可行。</w:t>
      </w:r>
    </w:p>
    <w:p>
      <w:pPr>
        <w:keepNext/>
        <w:keepLines/>
        <w:widowControl w:val="0"/>
        <w:numPr>
          <w:ilvl w:val="0"/>
          <w:numId w:val="0"/>
        </w:numPr>
        <w:spacing w:before="0" w:after="0" w:line="360" w:lineRule="auto"/>
        <w:jc w:val="both"/>
        <w:outlineLvl w:val="3"/>
        <w:rPr>
          <w:rFonts w:ascii="Times New Roman" w:hAnsi="Times New Roman" w:eastAsia="宋体" w:cs="Times New Roman"/>
          <w:b/>
          <w:bCs/>
          <w:color w:val="auto"/>
          <w:kern w:val="2"/>
          <w:sz w:val="24"/>
          <w:szCs w:val="24"/>
          <w:lang w:val="en-US" w:eastAsia="zh-CN" w:bidi="ar-SA"/>
        </w:rPr>
      </w:pPr>
      <w:bookmarkStart w:id="501" w:name="_Toc20744"/>
      <w:bookmarkStart w:id="502" w:name="_Toc7087"/>
      <w:bookmarkStart w:id="503" w:name="_Toc16704"/>
      <w:bookmarkStart w:id="504" w:name="_Toc3620"/>
      <w:bookmarkStart w:id="505" w:name="_Toc17995"/>
      <w:bookmarkStart w:id="506" w:name="_Toc885"/>
      <w:bookmarkStart w:id="507" w:name="_Toc28021"/>
      <w:bookmarkStart w:id="508" w:name="_Toc4145"/>
      <w:bookmarkStart w:id="509" w:name="_Toc12280"/>
      <w:bookmarkStart w:id="510" w:name="_Toc22746"/>
      <w:bookmarkStart w:id="511" w:name="_Toc44582002"/>
      <w:bookmarkStart w:id="512" w:name="_Toc1475"/>
      <w:bookmarkStart w:id="513" w:name="_Toc5325"/>
      <w:bookmarkStart w:id="514" w:name="_Toc3451"/>
      <w:r>
        <w:rPr>
          <w:rFonts w:hint="eastAsia" w:ascii="Times New Roman" w:hAnsi="Times New Roman" w:eastAsia="宋体" w:cs="Times New Roman"/>
          <w:b/>
          <w:bCs/>
          <w:color w:val="auto"/>
          <w:kern w:val="2"/>
          <w:sz w:val="24"/>
          <w:szCs w:val="24"/>
          <w:lang w:val="en-US" w:eastAsia="zh-CN" w:bidi="ar-SA"/>
        </w:rPr>
        <w:t>6</w:t>
      </w:r>
      <w:r>
        <w:rPr>
          <w:rFonts w:ascii="Times New Roman" w:hAnsi="Times New Roman" w:eastAsia="宋体" w:cs="Times New Roman"/>
          <w:b/>
          <w:bCs/>
          <w:color w:val="auto"/>
          <w:kern w:val="2"/>
          <w:sz w:val="24"/>
          <w:szCs w:val="24"/>
          <w:lang w:val="en-US" w:eastAsia="zh-CN" w:bidi="ar-SA"/>
        </w:rPr>
        <w:t>.2.2.</w:t>
      </w:r>
      <w:r>
        <w:rPr>
          <w:rFonts w:hint="eastAsia" w:ascii="Times New Roman" w:eastAsia="宋体" w:cs="Times New Roman"/>
          <w:b/>
          <w:bCs/>
          <w:color w:val="auto"/>
          <w:kern w:val="2"/>
          <w:sz w:val="24"/>
          <w:szCs w:val="24"/>
          <w:lang w:val="en-US" w:eastAsia="zh-CN" w:bidi="ar-SA"/>
        </w:rPr>
        <w:t>3</w:t>
      </w:r>
      <w:r>
        <w:rPr>
          <w:rFonts w:hint="eastAsia" w:ascii="Times New Roman" w:hAnsi="Times New Roman" w:eastAsia="宋体" w:cs="Times New Roman"/>
          <w:b/>
          <w:bCs/>
          <w:color w:val="auto"/>
          <w:kern w:val="2"/>
          <w:sz w:val="24"/>
          <w:szCs w:val="24"/>
          <w:lang w:val="en-US" w:eastAsia="zh-CN" w:bidi="ar-SA"/>
        </w:rPr>
        <w:t>废水消纳可行性分析</w:t>
      </w:r>
    </w:p>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pPr>
        <w:spacing w:line="360" w:lineRule="auto"/>
        <w:ind w:firstLine="496" w:firstLineChars="200"/>
        <w:rPr>
          <w:rFonts w:hint="default" w:ascii="Times New Roman" w:hAnsi="Times New Roman" w:eastAsia="宋体" w:cs="Times New Roman"/>
          <w:color w:val="auto"/>
          <w:kern w:val="2"/>
          <w:sz w:val="24"/>
          <w:u w:val="single"/>
          <w:lang w:val="en-US" w:eastAsia="zh-CN"/>
        </w:rPr>
      </w:pPr>
      <w:r>
        <w:rPr>
          <w:rFonts w:hint="eastAsia" w:ascii="Times New Roman" w:hAnsi="Times New Roman" w:eastAsia="宋体" w:cs="Times New Roman"/>
          <w:color w:val="auto"/>
          <w:kern w:val="2"/>
          <w:sz w:val="24"/>
          <w:u w:val="single"/>
          <w:lang w:val="en-US" w:eastAsia="zh-CN"/>
        </w:rPr>
        <w:t>（1）水量消纳可行性</w:t>
      </w:r>
    </w:p>
    <w:p>
      <w:pPr>
        <w:spacing w:line="360" w:lineRule="auto"/>
        <w:ind w:firstLine="496" w:firstLineChars="200"/>
        <w:rPr>
          <w:rFonts w:hint="eastAsia" w:ascii="Times New Roman" w:hAnsi="Times New Roman" w:eastAsia="宋体" w:cs="Times New Roman"/>
          <w:color w:val="auto"/>
          <w:kern w:val="2"/>
          <w:sz w:val="24"/>
          <w:u w:val="single"/>
          <w:lang w:val="en-US" w:eastAsia="zh-CN"/>
        </w:rPr>
      </w:pPr>
      <w:r>
        <w:rPr>
          <w:rFonts w:hint="eastAsia" w:ascii="Times New Roman" w:hAnsi="Times New Roman" w:eastAsia="宋体" w:cs="Times New Roman"/>
          <w:color w:val="auto"/>
          <w:kern w:val="2"/>
          <w:sz w:val="24"/>
          <w:u w:val="single"/>
          <w:lang w:val="en-US" w:eastAsia="zh-CN"/>
        </w:rPr>
        <w:t>根据</w:t>
      </w:r>
      <w:r>
        <w:rPr>
          <w:rFonts w:hint="default" w:ascii="Times New Roman" w:hAnsi="Times New Roman" w:eastAsia="宋体" w:cs="Times New Roman"/>
          <w:color w:val="auto"/>
          <w:kern w:val="2"/>
          <w:sz w:val="24"/>
          <w:u w:val="single"/>
        </w:rPr>
        <w:fldChar w:fldCharType="begin"/>
      </w:r>
      <w:r>
        <w:rPr>
          <w:rFonts w:hint="default" w:ascii="Times New Roman" w:hAnsi="Times New Roman" w:eastAsia="宋体" w:cs="Times New Roman"/>
          <w:color w:val="auto"/>
          <w:kern w:val="2"/>
          <w:sz w:val="24"/>
          <w:u w:val="single"/>
        </w:rPr>
        <w:instrText xml:space="preserve"> HYPERLINK "https://www.baidu.com/link?url=5UKD8otYbpikCWwXYrX_Yl17fSgETLrGFS14d-K43qM5F8A9IIXdkq5KZN87F5KXyRshqRYPvg6aa8EjGh8-e--lXeJy_0RSfbxHdF9lGJe&amp;wd=&amp;eqid=f19864e900011187000000055ab079f8" \t "_blank" </w:instrText>
      </w:r>
      <w:r>
        <w:rPr>
          <w:rFonts w:hint="default" w:ascii="Times New Roman" w:hAnsi="Times New Roman" w:eastAsia="宋体" w:cs="Times New Roman"/>
          <w:color w:val="auto"/>
          <w:kern w:val="2"/>
          <w:sz w:val="24"/>
          <w:u w:val="single"/>
        </w:rPr>
        <w:fldChar w:fldCharType="separate"/>
      </w:r>
      <w:r>
        <w:rPr>
          <w:rFonts w:hint="default" w:ascii="Times New Roman" w:hAnsi="Times New Roman" w:eastAsia="宋体" w:cs="Times New Roman"/>
          <w:color w:val="auto"/>
          <w:kern w:val="2"/>
          <w:sz w:val="24"/>
          <w:u w:val="single"/>
        </w:rPr>
        <w:t>湖南省用水定额（DB43T388-20</w:t>
      </w:r>
      <w:r>
        <w:rPr>
          <w:rFonts w:hint="eastAsia" w:ascii="Times New Roman" w:hAnsi="Times New Roman" w:eastAsia="宋体" w:cs="Times New Roman"/>
          <w:color w:val="auto"/>
          <w:kern w:val="2"/>
          <w:sz w:val="24"/>
          <w:u w:val="single"/>
          <w:lang w:val="en-US" w:eastAsia="zh-CN"/>
        </w:rPr>
        <w:t>20</w:t>
      </w:r>
      <w:r>
        <w:rPr>
          <w:rFonts w:hint="default" w:ascii="Times New Roman" w:hAnsi="Times New Roman" w:eastAsia="宋体" w:cs="Times New Roman"/>
          <w:color w:val="auto"/>
          <w:kern w:val="2"/>
          <w:sz w:val="24"/>
          <w:u w:val="single"/>
        </w:rPr>
        <w:t>）</w:t>
      </w:r>
      <w:r>
        <w:rPr>
          <w:rFonts w:hint="default" w:ascii="Times New Roman" w:hAnsi="Times New Roman" w:eastAsia="宋体" w:cs="Times New Roman"/>
          <w:color w:val="auto"/>
          <w:kern w:val="2"/>
          <w:sz w:val="24"/>
          <w:u w:val="single"/>
        </w:rPr>
        <w:fldChar w:fldCharType="end"/>
      </w:r>
      <w:r>
        <w:rPr>
          <w:rFonts w:hint="default" w:ascii="Times New Roman" w:hAnsi="Times New Roman" w:eastAsia="宋体" w:cs="Times New Roman"/>
          <w:color w:val="auto"/>
          <w:kern w:val="2"/>
          <w:sz w:val="24"/>
          <w:szCs w:val="24"/>
          <w:u w:val="single"/>
        </w:rPr>
        <w:t>，岳阳县属于湖南省灌溉分区中的Ⅲ类，</w:t>
      </w:r>
      <w:r>
        <w:rPr>
          <w:rFonts w:hint="eastAsia" w:ascii="Times New Roman" w:hAnsi="Times New Roman" w:eastAsia="宋体" w:cs="Times New Roman"/>
          <w:color w:val="auto"/>
          <w:kern w:val="2"/>
          <w:sz w:val="24"/>
          <w:szCs w:val="24"/>
          <w:u w:val="single"/>
          <w:lang w:eastAsia="zh-CN"/>
        </w:rPr>
        <w:t>农田早稻灌溉用水定额为</w:t>
      </w:r>
      <w:r>
        <w:rPr>
          <w:rFonts w:hint="eastAsia" w:ascii="Times New Roman" w:hAnsi="Times New Roman" w:eastAsia="宋体" w:cs="Times New Roman"/>
          <w:color w:val="auto"/>
          <w:kern w:val="2"/>
          <w:sz w:val="24"/>
          <w:szCs w:val="24"/>
          <w:u w:val="single"/>
          <w:lang w:val="en-US" w:eastAsia="zh-CN"/>
        </w:rPr>
        <w:t>263</w:t>
      </w:r>
      <w:r>
        <w:rPr>
          <w:rFonts w:hint="default" w:ascii="Times New Roman" w:hAnsi="Times New Roman" w:eastAsia="宋体" w:cs="Times New Roman"/>
          <w:color w:val="auto"/>
          <w:kern w:val="2"/>
          <w:sz w:val="24"/>
          <w:szCs w:val="24"/>
          <w:u w:val="single"/>
        </w:rPr>
        <w:t>m</w:t>
      </w:r>
      <w:r>
        <w:rPr>
          <w:rFonts w:hint="default" w:ascii="Times New Roman" w:hAnsi="Times New Roman" w:eastAsia="宋体" w:cs="Times New Roman"/>
          <w:color w:val="auto"/>
          <w:kern w:val="2"/>
          <w:sz w:val="24"/>
          <w:szCs w:val="24"/>
          <w:u w:val="single"/>
          <w:vertAlign w:val="superscript"/>
        </w:rPr>
        <w:t>3</w:t>
      </w:r>
      <w:r>
        <w:rPr>
          <w:rFonts w:hint="default" w:ascii="Times New Roman" w:hAnsi="Times New Roman" w:eastAsia="宋体" w:cs="Times New Roman"/>
          <w:color w:val="auto"/>
          <w:kern w:val="2"/>
          <w:sz w:val="24"/>
          <w:szCs w:val="24"/>
          <w:u w:val="single"/>
        </w:rPr>
        <w:t>/亩</w:t>
      </w:r>
      <w:r>
        <w:rPr>
          <w:rFonts w:hint="eastAsia" w:ascii="Times New Roman" w:hAnsi="Times New Roman" w:eastAsia="宋体" w:cs="Times New Roman"/>
          <w:color w:val="auto"/>
          <w:kern w:val="2"/>
          <w:sz w:val="24"/>
          <w:szCs w:val="24"/>
          <w:u w:val="single"/>
          <w:lang w:val="en-US" w:eastAsia="zh-CN"/>
        </w:rPr>
        <w:t>·</w:t>
      </w:r>
      <w:r>
        <w:rPr>
          <w:rFonts w:hint="default" w:ascii="Times New Roman" w:hAnsi="Times New Roman" w:eastAsia="宋体" w:cs="Times New Roman"/>
          <w:color w:val="auto"/>
          <w:kern w:val="2"/>
          <w:sz w:val="24"/>
          <w:szCs w:val="24"/>
          <w:u w:val="single"/>
        </w:rPr>
        <w:t>年</w:t>
      </w:r>
      <w:r>
        <w:rPr>
          <w:rFonts w:hint="eastAsia" w:ascii="Times New Roman" w:hAnsi="Times New Roman" w:eastAsia="宋体" w:cs="Times New Roman"/>
          <w:color w:val="auto"/>
          <w:kern w:val="2"/>
          <w:sz w:val="24"/>
          <w:szCs w:val="24"/>
          <w:u w:val="single"/>
          <w:lang w:eastAsia="zh-CN"/>
        </w:rPr>
        <w:t>，晚稻灌溉用水定额为</w:t>
      </w:r>
      <w:r>
        <w:rPr>
          <w:rFonts w:hint="eastAsia" w:ascii="Times New Roman" w:hAnsi="Times New Roman" w:eastAsia="宋体" w:cs="Times New Roman"/>
          <w:color w:val="auto"/>
          <w:kern w:val="2"/>
          <w:sz w:val="24"/>
          <w:szCs w:val="24"/>
          <w:u w:val="single"/>
          <w:lang w:val="en-US" w:eastAsia="zh-CN"/>
        </w:rPr>
        <w:t>411</w:t>
      </w:r>
      <w:r>
        <w:rPr>
          <w:rFonts w:hint="default" w:ascii="Times New Roman" w:hAnsi="Times New Roman" w:eastAsia="宋体" w:cs="Times New Roman"/>
          <w:color w:val="auto"/>
          <w:kern w:val="2"/>
          <w:sz w:val="24"/>
          <w:szCs w:val="24"/>
          <w:u w:val="single"/>
        </w:rPr>
        <w:t>m</w:t>
      </w:r>
      <w:r>
        <w:rPr>
          <w:rFonts w:hint="default" w:ascii="Times New Roman" w:hAnsi="Times New Roman" w:eastAsia="宋体" w:cs="Times New Roman"/>
          <w:color w:val="auto"/>
          <w:kern w:val="2"/>
          <w:sz w:val="24"/>
          <w:szCs w:val="24"/>
          <w:u w:val="single"/>
          <w:vertAlign w:val="superscript"/>
        </w:rPr>
        <w:t>3</w:t>
      </w:r>
      <w:r>
        <w:rPr>
          <w:rFonts w:hint="default" w:ascii="Times New Roman" w:hAnsi="Times New Roman" w:eastAsia="宋体" w:cs="Times New Roman"/>
          <w:color w:val="auto"/>
          <w:kern w:val="2"/>
          <w:sz w:val="24"/>
          <w:szCs w:val="24"/>
          <w:u w:val="single"/>
        </w:rPr>
        <w:t>/亩</w:t>
      </w:r>
      <w:r>
        <w:rPr>
          <w:rFonts w:hint="eastAsia" w:ascii="Times New Roman" w:hAnsi="Times New Roman" w:eastAsia="宋体" w:cs="Times New Roman"/>
          <w:color w:val="auto"/>
          <w:kern w:val="2"/>
          <w:sz w:val="24"/>
          <w:szCs w:val="24"/>
          <w:u w:val="single"/>
          <w:lang w:val="en-US" w:eastAsia="zh-CN"/>
        </w:rPr>
        <w:t>·</w:t>
      </w:r>
      <w:r>
        <w:rPr>
          <w:rFonts w:hint="default" w:ascii="Times New Roman" w:hAnsi="Times New Roman" w:eastAsia="宋体" w:cs="Times New Roman"/>
          <w:color w:val="auto"/>
          <w:kern w:val="2"/>
          <w:sz w:val="24"/>
          <w:szCs w:val="24"/>
          <w:u w:val="single"/>
        </w:rPr>
        <w:t>年</w:t>
      </w:r>
      <w:r>
        <w:rPr>
          <w:rFonts w:hint="eastAsia" w:ascii="Times New Roman" w:hAnsi="Times New Roman" w:eastAsia="宋体" w:cs="Times New Roman"/>
          <w:color w:val="auto"/>
          <w:kern w:val="2"/>
          <w:sz w:val="24"/>
          <w:szCs w:val="24"/>
          <w:u w:val="single"/>
          <w:lang w:eastAsia="zh-CN"/>
        </w:rPr>
        <w:t>，</w:t>
      </w:r>
      <w:r>
        <w:rPr>
          <w:rFonts w:hint="eastAsia" w:ascii="Times New Roman" w:eastAsia="宋体" w:cs="Times New Roman"/>
          <w:color w:val="auto"/>
          <w:kern w:val="2"/>
          <w:sz w:val="24"/>
          <w:szCs w:val="24"/>
          <w:u w:val="single"/>
          <w:lang w:val="en-US" w:eastAsia="zh-CN"/>
        </w:rPr>
        <w:t>新华养殖场已</w:t>
      </w:r>
      <w:r>
        <w:rPr>
          <w:rFonts w:hint="eastAsia" w:ascii="Times New Roman" w:hAnsi="Times New Roman" w:eastAsia="宋体" w:cs="Times New Roman"/>
          <w:color w:val="auto"/>
          <w:kern w:val="2"/>
          <w:sz w:val="24"/>
          <w:szCs w:val="24"/>
          <w:u w:val="single"/>
          <w:lang w:eastAsia="zh-CN"/>
        </w:rPr>
        <w:t>租用农田约</w:t>
      </w:r>
      <w:r>
        <w:rPr>
          <w:rFonts w:hint="eastAsia" w:ascii="Times New Roman" w:hAnsi="Times New Roman" w:eastAsia="宋体" w:cs="Times New Roman"/>
          <w:color w:val="auto"/>
          <w:kern w:val="2"/>
          <w:sz w:val="24"/>
          <w:szCs w:val="24"/>
          <w:u w:val="single"/>
          <w:lang w:val="en-US" w:eastAsia="zh-CN"/>
        </w:rPr>
        <w:t>20亩，所租用农田种植双季稻，可消纳废水量为8220</w:t>
      </w:r>
      <w:r>
        <w:rPr>
          <w:rFonts w:ascii="Times New Roman" w:hAnsi="Times New Roman" w:eastAsia="宋体" w:cs="Times New Roman"/>
          <w:color w:val="auto"/>
          <w:kern w:val="2"/>
          <w:sz w:val="24"/>
          <w:szCs w:val="24"/>
          <w:u w:val="single"/>
        </w:rPr>
        <w:t>m</w:t>
      </w:r>
      <w:r>
        <w:rPr>
          <w:rFonts w:ascii="Times New Roman" w:hAnsi="Times New Roman" w:eastAsia="宋体" w:cs="Times New Roman"/>
          <w:color w:val="auto"/>
          <w:kern w:val="2"/>
          <w:sz w:val="24"/>
          <w:szCs w:val="24"/>
          <w:u w:val="single"/>
          <w:vertAlign w:val="superscript"/>
        </w:rPr>
        <w:t>3</w:t>
      </w:r>
      <w:r>
        <w:rPr>
          <w:rFonts w:ascii="Times New Roman" w:hAnsi="Times New Roman" w:eastAsia="宋体" w:cs="Times New Roman"/>
          <w:color w:val="auto"/>
          <w:kern w:val="2"/>
          <w:sz w:val="24"/>
          <w:szCs w:val="24"/>
          <w:u w:val="single"/>
        </w:rPr>
        <w:t>/a</w:t>
      </w:r>
      <w:r>
        <w:rPr>
          <w:rFonts w:hint="eastAsia" w:ascii="Times New Roman" w:hAnsi="Times New Roman" w:eastAsia="宋体" w:cs="Times New Roman"/>
          <w:color w:val="auto"/>
          <w:kern w:val="2"/>
          <w:sz w:val="24"/>
          <w:szCs w:val="24"/>
          <w:u w:val="single"/>
          <w:lang w:eastAsia="zh-CN"/>
        </w:rPr>
        <w:t>，完全能够消纳本项目外排农田的废水量。</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default" w:ascii="Times New Roman" w:hAnsi="Times New Roman" w:eastAsia="宋体" w:cs="Times New Roman"/>
          <w:color w:val="auto"/>
          <w:kern w:val="2"/>
          <w:sz w:val="24"/>
          <w:szCs w:val="24"/>
          <w:u w:val="single"/>
          <w:lang w:val="en-US" w:eastAsia="zh-CN"/>
        </w:rPr>
      </w:pPr>
      <w:r>
        <w:rPr>
          <w:rFonts w:hint="eastAsia" w:ascii="Times New Roman" w:hAnsi="Times New Roman" w:eastAsia="宋体" w:cs="Times New Roman"/>
          <w:color w:val="auto"/>
          <w:kern w:val="2"/>
          <w:sz w:val="24"/>
          <w:szCs w:val="24"/>
          <w:u w:val="single"/>
          <w:lang w:val="en-US" w:eastAsia="zh-CN"/>
        </w:rPr>
        <w:t>（2）肥力消纳可行性</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default" w:ascii="Times New Roman" w:hAnsi="Times New Roman" w:eastAsia="宋体" w:cs="Times New Roman"/>
          <w:color w:val="auto"/>
          <w:kern w:val="2"/>
          <w:sz w:val="24"/>
          <w:szCs w:val="24"/>
          <w:u w:val="single"/>
          <w:lang w:val="en-US" w:eastAsia="zh-CN"/>
        </w:rPr>
      </w:pPr>
      <w:r>
        <w:rPr>
          <w:rFonts w:hint="eastAsia" w:ascii="Times New Roman" w:hAnsi="Times New Roman" w:eastAsia="宋体" w:cs="Times New Roman"/>
          <w:color w:val="auto"/>
          <w:kern w:val="2"/>
          <w:sz w:val="24"/>
          <w:szCs w:val="24"/>
          <w:u w:val="single"/>
          <w:lang w:eastAsia="zh-CN"/>
        </w:rPr>
        <w:t>根据《农业部办公厅关于印发〈畜禽粪污土地承载力测算技术指南〉的通知》（农办牧［</w:t>
      </w:r>
      <w:r>
        <w:rPr>
          <w:rFonts w:hint="eastAsia" w:ascii="Times New Roman" w:hAnsi="Times New Roman" w:eastAsia="宋体" w:cs="Times New Roman"/>
          <w:color w:val="auto"/>
          <w:kern w:val="2"/>
          <w:sz w:val="24"/>
          <w:szCs w:val="24"/>
          <w:u w:val="single"/>
          <w:lang w:val="en-US" w:eastAsia="zh-CN"/>
        </w:rPr>
        <w:t>2018</w:t>
      </w:r>
      <w:r>
        <w:rPr>
          <w:rFonts w:hint="eastAsia" w:ascii="Times New Roman" w:hAnsi="Times New Roman" w:eastAsia="宋体" w:cs="Times New Roman"/>
          <w:color w:val="auto"/>
          <w:kern w:val="2"/>
          <w:sz w:val="24"/>
          <w:szCs w:val="24"/>
          <w:u w:val="single"/>
          <w:lang w:eastAsia="zh-CN"/>
        </w:rPr>
        <w:t>］</w:t>
      </w:r>
      <w:r>
        <w:rPr>
          <w:rFonts w:hint="eastAsia" w:ascii="Times New Roman" w:hAnsi="Times New Roman" w:eastAsia="宋体" w:cs="Times New Roman"/>
          <w:color w:val="auto"/>
          <w:kern w:val="2"/>
          <w:sz w:val="24"/>
          <w:szCs w:val="24"/>
          <w:u w:val="single"/>
          <w:lang w:val="en-US" w:eastAsia="zh-CN"/>
        </w:rPr>
        <w:t>1号</w:t>
      </w:r>
      <w:r>
        <w:rPr>
          <w:rFonts w:hint="eastAsia" w:ascii="Times New Roman" w:hAnsi="Times New Roman" w:eastAsia="宋体" w:cs="Times New Roman"/>
          <w:color w:val="auto"/>
          <w:kern w:val="2"/>
          <w:sz w:val="24"/>
          <w:szCs w:val="24"/>
          <w:u w:val="single"/>
          <w:lang w:eastAsia="zh-CN"/>
        </w:rPr>
        <w:t>）表</w:t>
      </w:r>
      <w:r>
        <w:rPr>
          <w:rFonts w:hint="eastAsia" w:ascii="Times New Roman" w:hAnsi="Times New Roman" w:eastAsia="宋体" w:cs="Times New Roman"/>
          <w:color w:val="auto"/>
          <w:kern w:val="2"/>
          <w:sz w:val="24"/>
          <w:szCs w:val="24"/>
          <w:u w:val="single"/>
          <w:lang w:val="en-US" w:eastAsia="zh-CN"/>
        </w:rPr>
        <w:t>1不同植物形成100kg产量需要吸收氮磷量推荐值可知，每产生100kg水稻，需要的氮2.2kg，需要磷0.8kg。</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eastAsia" w:ascii="Times New Roman" w:hAnsi="Times New Roman" w:eastAsia="宋体" w:cs="Times New Roman"/>
          <w:color w:val="auto"/>
          <w:kern w:val="2"/>
          <w:sz w:val="24"/>
          <w:szCs w:val="24"/>
          <w:u w:val="single"/>
          <w:lang w:eastAsia="zh-CN"/>
        </w:rPr>
      </w:pPr>
      <w:r>
        <w:rPr>
          <w:rFonts w:hint="eastAsia" w:ascii="Times New Roman" w:hAnsi="Times New Roman" w:eastAsia="宋体" w:cs="Times New Roman"/>
          <w:color w:val="auto"/>
          <w:kern w:val="2"/>
          <w:sz w:val="24"/>
          <w:szCs w:val="24"/>
          <w:u w:val="single"/>
          <w:lang w:eastAsia="zh-CN"/>
        </w:rPr>
        <w:t>单位土地粪肥养分需求量=(单位土地养分需求量×施肥供给养分占比×粪肥占施肥比例)/粪肥当季利用率。</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default" w:ascii="Times New Roman" w:hAnsi="Times New Roman" w:eastAsia="宋体" w:cs="Times New Roman"/>
          <w:color w:val="auto"/>
          <w:kern w:val="2"/>
          <w:sz w:val="24"/>
          <w:szCs w:val="24"/>
          <w:u w:val="single"/>
          <w:lang w:val="en-US" w:eastAsia="zh-CN"/>
        </w:rPr>
      </w:pPr>
      <w:r>
        <w:rPr>
          <w:rFonts w:hint="eastAsia" w:ascii="Times New Roman" w:eastAsia="宋体" w:cs="Times New Roman"/>
          <w:color w:val="auto"/>
          <w:kern w:val="2"/>
          <w:sz w:val="24"/>
          <w:szCs w:val="24"/>
          <w:u w:val="single"/>
          <w:lang w:val="en-US" w:eastAsia="zh-CN"/>
        </w:rPr>
        <w:t>根据《畜禽粪污土地承载力测算技术指南》中粪肥中氮素当季利用率取值范围推荐值为25%—30%，磷素当季利用率取值范围推荐值为30%—35%，具体根据当地实际情况确定。根据业主提供资料，新华养殖场租用的20亩农田主要肥力主要来源为养殖废水施肥和其他施肥方式，养殖废水施肥占总施肥量养分供给量的50%</w:t>
      </w:r>
      <w:r>
        <w:rPr>
          <w:rFonts w:hint="eastAsia" w:ascii="Times New Roman" w:hAnsi="Times New Roman" w:eastAsia="宋体" w:cs="Times New Roman"/>
          <w:color w:val="auto"/>
          <w:kern w:val="2"/>
          <w:sz w:val="24"/>
          <w:szCs w:val="24"/>
          <w:u w:val="single"/>
          <w:lang w:val="en-US" w:eastAsia="zh-CN"/>
        </w:rPr>
        <w:t>。粪肥中氮素当季利用率按25%计，磷素当季利用率按30%计，粪肥占施肥比例按50%计。</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default" w:ascii="Times New Roman" w:hAnsi="Times New Roman" w:eastAsia="宋体" w:cs="Times New Roman"/>
          <w:kern w:val="2"/>
          <w:sz w:val="21"/>
          <w:lang w:val="en-US" w:eastAsia="zh-CN"/>
        </w:rPr>
      </w:pPr>
      <w:r>
        <w:rPr>
          <w:rFonts w:hint="eastAsia" w:ascii="Times New Roman" w:hAnsi="Times New Roman" w:eastAsia="宋体" w:cs="Times New Roman"/>
          <w:color w:val="auto"/>
          <w:kern w:val="2"/>
          <w:sz w:val="24"/>
          <w:szCs w:val="24"/>
          <w:u w:val="single"/>
          <w:lang w:val="en-US" w:eastAsia="zh-CN"/>
        </w:rPr>
        <w:t>项目所在地种植双季稻，保守估计每亩年产量1000kg，</w:t>
      </w:r>
      <w:r>
        <w:rPr>
          <w:rFonts w:hint="eastAsia" w:ascii="Times New Roman" w:eastAsia="宋体" w:cs="Times New Roman"/>
          <w:color w:val="auto"/>
          <w:kern w:val="2"/>
          <w:sz w:val="24"/>
          <w:szCs w:val="24"/>
          <w:u w:val="single"/>
          <w:lang w:val="en-US" w:eastAsia="zh-CN"/>
        </w:rPr>
        <w:t>根据《畜禽粪污土地承载力测算技术指南》表1可知</w:t>
      </w:r>
      <w:r>
        <w:rPr>
          <w:rFonts w:hint="eastAsia" w:ascii="Times New Roman" w:hAnsi="Times New Roman" w:eastAsia="宋体" w:cs="Times New Roman"/>
          <w:color w:val="auto"/>
          <w:kern w:val="2"/>
          <w:sz w:val="24"/>
          <w:szCs w:val="24"/>
          <w:u w:val="single"/>
          <w:lang w:val="en-US" w:eastAsia="zh-CN"/>
        </w:rPr>
        <w:t>每亩水稻土地养分需求量为氮22kg，磷8kg。则</w:t>
      </w:r>
      <w:r>
        <w:rPr>
          <w:rFonts w:hint="eastAsia" w:ascii="Times New Roman" w:hAnsi="Times New Roman" w:eastAsia="宋体" w:cs="Times New Roman"/>
          <w:color w:val="auto"/>
          <w:kern w:val="2"/>
          <w:sz w:val="24"/>
          <w:szCs w:val="24"/>
          <w:u w:val="single"/>
          <w:lang w:eastAsia="zh-CN"/>
        </w:rPr>
        <w:t>单位土地粪肥氮需求量为</w:t>
      </w:r>
      <w:r>
        <w:rPr>
          <w:rFonts w:hint="eastAsia" w:ascii="Times New Roman" w:hAnsi="Times New Roman" w:eastAsia="宋体" w:cs="Times New Roman"/>
          <w:color w:val="auto"/>
          <w:kern w:val="2"/>
          <w:sz w:val="24"/>
          <w:szCs w:val="24"/>
          <w:u w:val="single"/>
          <w:lang w:val="en-US" w:eastAsia="zh-CN"/>
        </w:rPr>
        <w:t>22kg，磷需求量为6.67kg。</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default" w:ascii="Times New Roman" w:hAnsi="Times New Roman" w:eastAsia="宋体" w:cs="Times New Roman"/>
          <w:color w:val="auto"/>
          <w:kern w:val="2"/>
          <w:sz w:val="24"/>
          <w:szCs w:val="24"/>
          <w:u w:val="single"/>
          <w:lang w:val="en-US" w:eastAsia="zh-CN"/>
        </w:rPr>
      </w:pPr>
      <w:r>
        <w:rPr>
          <w:rFonts w:hint="eastAsia" w:ascii="Times New Roman" w:hAnsi="Times New Roman" w:eastAsia="宋体" w:cs="Times New Roman"/>
          <w:color w:val="auto"/>
          <w:kern w:val="2"/>
          <w:sz w:val="24"/>
          <w:szCs w:val="24"/>
          <w:u w:val="single"/>
          <w:lang w:eastAsia="zh-CN"/>
        </w:rPr>
        <w:t>本项目用于农灌的废水量为</w:t>
      </w:r>
      <w:r>
        <w:rPr>
          <w:rFonts w:hint="eastAsia" w:ascii="Times New Roman" w:hAnsi="Times New Roman" w:eastAsia="宋体" w:cs="Times New Roman"/>
          <w:color w:val="auto"/>
          <w:kern w:val="2"/>
          <w:sz w:val="24"/>
          <w:szCs w:val="24"/>
          <w:u w:val="single"/>
          <w:lang w:val="en-US" w:eastAsia="zh-CN"/>
        </w:rPr>
        <w:t>1360.8</w:t>
      </w:r>
      <w:r>
        <w:rPr>
          <w:rFonts w:hint="eastAsia" w:ascii="Times New Roman" w:hAnsi="Times New Roman" w:eastAsia="宋体" w:cs="Times New Roman"/>
          <w:color w:val="auto"/>
          <w:kern w:val="2"/>
          <w:sz w:val="24"/>
          <w:szCs w:val="24"/>
          <w:u w:val="single"/>
          <w:lang w:eastAsia="zh-CN"/>
        </w:rPr>
        <w:t>m</w:t>
      </w:r>
      <w:r>
        <w:rPr>
          <w:rFonts w:hint="eastAsia" w:ascii="Times New Roman" w:hAnsi="Times New Roman" w:eastAsia="宋体" w:cs="Times New Roman"/>
          <w:color w:val="auto"/>
          <w:kern w:val="2"/>
          <w:sz w:val="24"/>
          <w:szCs w:val="24"/>
          <w:u w:val="single"/>
          <w:vertAlign w:val="superscript"/>
          <w:lang w:eastAsia="zh-CN"/>
        </w:rPr>
        <w:t>3</w:t>
      </w:r>
      <w:r>
        <w:rPr>
          <w:rFonts w:hint="eastAsia" w:ascii="Times New Roman" w:hAnsi="Times New Roman" w:eastAsia="宋体" w:cs="Times New Roman"/>
          <w:color w:val="auto"/>
          <w:kern w:val="2"/>
          <w:sz w:val="24"/>
          <w:szCs w:val="24"/>
          <w:u w:val="single"/>
          <w:lang w:eastAsia="zh-CN"/>
        </w:rPr>
        <w:t>/a，尾水中</w:t>
      </w:r>
      <w:r>
        <w:rPr>
          <w:rFonts w:hint="eastAsia" w:ascii="Times New Roman" w:hAnsi="Times New Roman" w:eastAsia="宋体" w:cs="Times New Roman"/>
          <w:color w:val="auto"/>
          <w:kern w:val="2"/>
          <w:sz w:val="24"/>
          <w:szCs w:val="24"/>
          <w:u w:val="single"/>
          <w:lang w:val="en-US" w:eastAsia="zh-CN"/>
        </w:rPr>
        <w:t>N和P的总量分别为0.123t/a、0.035t/a，消纳本项目废水中的N、P所需农田面积分别为5.6亩、5.2亩，故本项目所需配置的农田约为5.6亩。</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eastAsia" w:ascii="Times New Roman" w:hAnsi="Times New Roman" w:eastAsia="宋体" w:cs="Times New Roman"/>
          <w:color w:val="auto"/>
          <w:kern w:val="2"/>
          <w:sz w:val="24"/>
          <w:szCs w:val="24"/>
          <w:u w:val="single"/>
          <w:lang w:val="en-US" w:eastAsia="zh-CN"/>
        </w:rPr>
      </w:pPr>
      <w:r>
        <w:rPr>
          <w:rFonts w:hint="eastAsia" w:ascii="Times New Roman" w:hAnsi="Times New Roman" w:eastAsia="宋体" w:cs="Times New Roman"/>
          <w:color w:val="auto"/>
          <w:kern w:val="2"/>
          <w:sz w:val="24"/>
          <w:szCs w:val="24"/>
          <w:u w:val="single"/>
          <w:lang w:val="en-US" w:eastAsia="zh-CN"/>
        </w:rPr>
        <w:t>新华养殖场</w:t>
      </w:r>
      <w:r>
        <w:rPr>
          <w:rFonts w:hint="eastAsia" w:ascii="Times New Roman" w:eastAsia="宋体" w:cs="Times New Roman"/>
          <w:color w:val="auto"/>
          <w:kern w:val="2"/>
          <w:sz w:val="24"/>
          <w:szCs w:val="24"/>
          <w:u w:val="single"/>
          <w:lang w:val="en-US" w:eastAsia="zh-CN"/>
        </w:rPr>
        <w:t>已</w:t>
      </w:r>
      <w:r>
        <w:rPr>
          <w:rFonts w:hint="eastAsia" w:ascii="Times New Roman" w:hAnsi="Times New Roman" w:eastAsia="宋体" w:cs="Times New Roman"/>
          <w:color w:val="auto"/>
          <w:kern w:val="2"/>
          <w:sz w:val="24"/>
          <w:szCs w:val="24"/>
          <w:u w:val="single"/>
          <w:lang w:val="en-US" w:eastAsia="zh-CN"/>
        </w:rPr>
        <w:t>租用农田20亩（需氮约0.44t/a，需磷约0.133t/a），并敷设管道进行浇灌。</w:t>
      </w:r>
      <w:r>
        <w:rPr>
          <w:rFonts w:hint="eastAsia" w:ascii="Times New Roman" w:eastAsia="宋体" w:cs="Times New Roman"/>
          <w:color w:val="auto"/>
          <w:kern w:val="2"/>
          <w:sz w:val="24"/>
          <w:szCs w:val="24"/>
          <w:u w:val="single"/>
          <w:lang w:val="en-US" w:eastAsia="zh-CN"/>
        </w:rPr>
        <w:t>新华</w:t>
      </w:r>
      <w:r>
        <w:rPr>
          <w:rFonts w:hint="eastAsia" w:ascii="Times New Roman" w:hAnsi="Times New Roman" w:eastAsia="宋体" w:cs="Times New Roman"/>
          <w:color w:val="auto"/>
          <w:kern w:val="2"/>
          <w:sz w:val="24"/>
          <w:szCs w:val="24"/>
          <w:u w:val="single"/>
          <w:lang w:val="en-US" w:eastAsia="zh-CN"/>
        </w:rPr>
        <w:t>养殖场目前</w:t>
      </w:r>
      <w:r>
        <w:rPr>
          <w:rFonts w:hint="eastAsia" w:ascii="Times New Roman" w:eastAsia="宋体" w:cs="Times New Roman"/>
          <w:color w:val="auto"/>
          <w:kern w:val="2"/>
          <w:sz w:val="24"/>
          <w:szCs w:val="24"/>
          <w:u w:val="single"/>
          <w:lang w:val="en-US" w:eastAsia="zh-CN"/>
        </w:rPr>
        <w:t>处理新华和前进养殖场废总量约2400t</w:t>
      </w:r>
      <w:r>
        <w:rPr>
          <w:rFonts w:hint="eastAsia" w:ascii="Times New Roman" w:hAnsi="Times New Roman" w:eastAsia="宋体" w:cs="Times New Roman"/>
          <w:color w:val="auto"/>
          <w:kern w:val="2"/>
          <w:sz w:val="24"/>
          <w:szCs w:val="24"/>
          <w:u w:val="single"/>
          <w:lang w:val="en-US" w:eastAsia="zh-CN"/>
        </w:rPr>
        <w:t>/a，根据废水监测数据核算废水中N和P的总量分别为0.</w:t>
      </w:r>
      <w:r>
        <w:rPr>
          <w:rFonts w:hint="eastAsia" w:ascii="Times New Roman" w:eastAsia="宋体" w:cs="Times New Roman"/>
          <w:color w:val="auto"/>
          <w:kern w:val="2"/>
          <w:sz w:val="24"/>
          <w:szCs w:val="24"/>
          <w:u w:val="single"/>
          <w:lang w:val="en-US" w:eastAsia="zh-CN"/>
        </w:rPr>
        <w:t>074</w:t>
      </w:r>
      <w:r>
        <w:rPr>
          <w:rFonts w:hint="eastAsia" w:ascii="Times New Roman" w:hAnsi="Times New Roman" w:eastAsia="宋体" w:cs="Times New Roman"/>
          <w:color w:val="auto"/>
          <w:kern w:val="2"/>
          <w:sz w:val="24"/>
          <w:szCs w:val="24"/>
          <w:u w:val="single"/>
          <w:lang w:val="en-US" w:eastAsia="zh-CN"/>
        </w:rPr>
        <w:t>t/a、0.0</w:t>
      </w:r>
      <w:r>
        <w:rPr>
          <w:rFonts w:hint="eastAsia" w:ascii="Times New Roman" w:eastAsia="宋体" w:cs="Times New Roman"/>
          <w:color w:val="auto"/>
          <w:kern w:val="2"/>
          <w:sz w:val="24"/>
          <w:szCs w:val="24"/>
          <w:u w:val="single"/>
          <w:lang w:val="en-US" w:eastAsia="zh-CN"/>
        </w:rPr>
        <w:t>27</w:t>
      </w:r>
      <w:r>
        <w:rPr>
          <w:rFonts w:hint="eastAsia" w:ascii="Times New Roman" w:hAnsi="Times New Roman" w:eastAsia="宋体" w:cs="Times New Roman"/>
          <w:color w:val="auto"/>
          <w:kern w:val="2"/>
          <w:sz w:val="24"/>
          <w:szCs w:val="24"/>
          <w:u w:val="single"/>
          <w:lang w:val="en-US" w:eastAsia="zh-CN"/>
        </w:rPr>
        <w:t>/a</w:t>
      </w:r>
      <w:r>
        <w:rPr>
          <w:rFonts w:hint="eastAsia" w:ascii="Times New Roman" w:eastAsia="宋体" w:cs="Times New Roman"/>
          <w:color w:val="auto"/>
          <w:kern w:val="2"/>
          <w:sz w:val="24"/>
          <w:szCs w:val="24"/>
          <w:u w:val="single"/>
          <w:lang w:val="en-US" w:eastAsia="zh-CN"/>
        </w:rPr>
        <w:t>。</w:t>
      </w:r>
      <w:r>
        <w:rPr>
          <w:rFonts w:hint="eastAsia" w:ascii="Times New Roman" w:hAnsi="Times New Roman" w:eastAsia="宋体" w:cs="Times New Roman"/>
          <w:color w:val="auto"/>
          <w:kern w:val="2"/>
          <w:sz w:val="24"/>
          <w:szCs w:val="24"/>
          <w:u w:val="single"/>
          <w:lang w:val="en-US" w:eastAsia="zh-CN"/>
        </w:rPr>
        <w:t>租用农田尚可消纳N和P的总量分别为0.</w:t>
      </w:r>
      <w:r>
        <w:rPr>
          <w:rFonts w:hint="eastAsia" w:ascii="Times New Roman" w:eastAsia="宋体" w:cs="Times New Roman"/>
          <w:color w:val="auto"/>
          <w:kern w:val="2"/>
          <w:sz w:val="24"/>
          <w:szCs w:val="24"/>
          <w:u w:val="single"/>
          <w:lang w:val="en-US" w:eastAsia="zh-CN"/>
        </w:rPr>
        <w:t>366</w:t>
      </w:r>
      <w:r>
        <w:rPr>
          <w:rFonts w:hint="eastAsia" w:ascii="Times New Roman" w:hAnsi="Times New Roman" w:eastAsia="宋体" w:cs="Times New Roman"/>
          <w:color w:val="auto"/>
          <w:kern w:val="2"/>
          <w:sz w:val="24"/>
          <w:szCs w:val="24"/>
          <w:u w:val="single"/>
          <w:lang w:val="en-US" w:eastAsia="zh-CN"/>
        </w:rPr>
        <w:t>t/a、0.</w:t>
      </w:r>
      <w:r>
        <w:rPr>
          <w:rFonts w:hint="eastAsia" w:ascii="Times New Roman" w:eastAsia="宋体" w:cs="Times New Roman"/>
          <w:color w:val="auto"/>
          <w:kern w:val="2"/>
          <w:sz w:val="24"/>
          <w:szCs w:val="24"/>
          <w:u w:val="single"/>
          <w:lang w:val="en-US" w:eastAsia="zh-CN"/>
        </w:rPr>
        <w:t>106</w:t>
      </w:r>
      <w:r>
        <w:rPr>
          <w:rFonts w:hint="eastAsia" w:ascii="Times New Roman" w:hAnsi="Times New Roman" w:eastAsia="宋体" w:cs="Times New Roman"/>
          <w:color w:val="auto"/>
          <w:kern w:val="2"/>
          <w:sz w:val="24"/>
          <w:szCs w:val="24"/>
          <w:u w:val="single"/>
          <w:lang w:val="en-US" w:eastAsia="zh-CN"/>
        </w:rPr>
        <w:t>t/a</w:t>
      </w:r>
      <w:r>
        <w:rPr>
          <w:rFonts w:hint="eastAsia"/>
          <w:lang w:eastAsia="zh-CN"/>
        </w:rPr>
        <w:t>，</w:t>
      </w:r>
      <w:r>
        <w:rPr>
          <w:rFonts w:hint="eastAsia" w:ascii="Times New Roman" w:hAnsi="Times New Roman" w:eastAsia="宋体" w:cs="Times New Roman"/>
          <w:color w:val="auto"/>
          <w:kern w:val="2"/>
          <w:sz w:val="24"/>
          <w:szCs w:val="24"/>
          <w:u w:val="single"/>
          <w:lang w:val="en-US" w:eastAsia="zh-CN"/>
        </w:rPr>
        <w:t>本项目尾水中N和P的总量分别为0.123t/a、0.035t/a，因此新华养殖场租用农田完全能够消纳本项目废水所带的肥力，不会对土壤环境造成影响。</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eastAsia" w:ascii="Times New Roman" w:hAnsi="Times New Roman" w:eastAsia="宋体" w:cs="Times New Roman"/>
          <w:color w:val="auto"/>
          <w:kern w:val="2"/>
          <w:sz w:val="24"/>
          <w:szCs w:val="24"/>
          <w:u w:val="single"/>
        </w:rPr>
      </w:pPr>
      <w:r>
        <w:rPr>
          <w:rFonts w:hint="eastAsia" w:ascii="Times New Roman" w:hAnsi="Times New Roman" w:eastAsia="宋体" w:cs="Times New Roman"/>
          <w:color w:val="auto"/>
          <w:kern w:val="2"/>
          <w:sz w:val="24"/>
          <w:szCs w:val="24"/>
          <w:u w:val="single"/>
          <w:lang w:eastAsia="zh-CN"/>
        </w:rPr>
        <w:t>（</w:t>
      </w:r>
      <w:r>
        <w:rPr>
          <w:rFonts w:hint="eastAsia" w:ascii="Times New Roman" w:hAnsi="Times New Roman" w:eastAsia="宋体" w:cs="Times New Roman"/>
          <w:color w:val="auto"/>
          <w:kern w:val="2"/>
          <w:sz w:val="24"/>
          <w:szCs w:val="24"/>
          <w:u w:val="single"/>
          <w:lang w:val="en-US" w:eastAsia="zh-CN"/>
        </w:rPr>
        <w:t>3</w:t>
      </w:r>
      <w:r>
        <w:rPr>
          <w:rFonts w:hint="eastAsia" w:ascii="Times New Roman" w:hAnsi="Times New Roman" w:eastAsia="宋体" w:cs="Times New Roman"/>
          <w:color w:val="auto"/>
          <w:kern w:val="2"/>
          <w:sz w:val="24"/>
          <w:szCs w:val="24"/>
          <w:u w:val="single"/>
          <w:lang w:eastAsia="zh-CN"/>
        </w:rPr>
        <w:t>）</w:t>
      </w:r>
      <w:r>
        <w:rPr>
          <w:rFonts w:hint="eastAsia" w:ascii="Times New Roman" w:hAnsi="Times New Roman" w:eastAsia="宋体" w:cs="Times New Roman"/>
          <w:color w:val="auto"/>
          <w:kern w:val="2"/>
          <w:sz w:val="24"/>
          <w:szCs w:val="24"/>
          <w:u w:val="single"/>
        </w:rPr>
        <w:t>对受纳土壤性质、肥力的影响</w:t>
      </w:r>
    </w:p>
    <w:p>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rFonts w:hint="eastAsia" w:ascii="Times New Roman" w:hAnsi="Times New Roman" w:eastAsia="宋体" w:cs="Times New Roman"/>
          <w:color w:val="auto"/>
          <w:kern w:val="2"/>
          <w:sz w:val="24"/>
          <w:szCs w:val="24"/>
          <w:u w:val="single"/>
        </w:rPr>
      </w:pPr>
      <w:r>
        <w:rPr>
          <w:rFonts w:hint="eastAsia" w:ascii="Times New Roman" w:hAnsi="Times New Roman" w:eastAsia="宋体" w:cs="Times New Roman"/>
          <w:color w:val="auto"/>
          <w:kern w:val="2"/>
          <w:sz w:val="24"/>
          <w:szCs w:val="24"/>
          <w:u w:val="single"/>
        </w:rPr>
        <w:t>本项目养殖废水中主要元素为 C、N、P。其中C元素主要为有机碳，以TOC表示，与BOD</w:t>
      </w:r>
      <w:r>
        <w:rPr>
          <w:rFonts w:hint="eastAsia" w:ascii="Times New Roman" w:hAnsi="Times New Roman" w:eastAsia="宋体" w:cs="Times New Roman"/>
          <w:color w:val="auto"/>
          <w:kern w:val="2"/>
          <w:sz w:val="24"/>
          <w:szCs w:val="24"/>
          <w:u w:val="single"/>
          <w:vertAlign w:val="subscript"/>
        </w:rPr>
        <w:t>5</w:t>
      </w:r>
      <w:r>
        <w:rPr>
          <w:rFonts w:hint="eastAsia" w:ascii="Times New Roman" w:hAnsi="Times New Roman" w:eastAsia="宋体" w:cs="Times New Roman"/>
          <w:color w:val="auto"/>
          <w:kern w:val="2"/>
          <w:sz w:val="24"/>
          <w:szCs w:val="24"/>
          <w:u w:val="single"/>
        </w:rPr>
        <w:t>成正比，废水经</w:t>
      </w:r>
      <w:r>
        <w:rPr>
          <w:rFonts w:hint="eastAsia" w:ascii="Times New Roman" w:hAnsi="Times New Roman" w:eastAsia="宋体" w:cs="Times New Roman"/>
          <w:color w:val="auto"/>
          <w:kern w:val="2"/>
          <w:sz w:val="24"/>
          <w:szCs w:val="24"/>
          <w:u w:val="single"/>
          <w:lang w:val="en-US" w:eastAsia="zh-CN"/>
        </w:rPr>
        <w:t>新华养殖场</w:t>
      </w:r>
      <w:r>
        <w:rPr>
          <w:rFonts w:hint="eastAsia" w:ascii="Times New Roman" w:hAnsi="Times New Roman" w:eastAsia="宋体" w:cs="Times New Roman"/>
          <w:color w:val="auto"/>
          <w:kern w:val="2"/>
          <w:sz w:val="24"/>
          <w:szCs w:val="24"/>
          <w:u w:val="single"/>
        </w:rPr>
        <w:t>污水处理站处理后达到《污水综合排放标准》（GB 8978-1996）一级标准</w:t>
      </w:r>
      <w:r>
        <w:rPr>
          <w:rFonts w:hint="eastAsia" w:ascii="Times New Roman" w:eastAsia="宋体"/>
          <w:color w:val="auto"/>
          <w:lang w:eastAsia="zh-CN"/>
        </w:rPr>
        <w:t>，</w:t>
      </w:r>
      <w:r>
        <w:rPr>
          <w:rFonts w:hint="eastAsia" w:ascii="Times New Roman" w:hAnsi="Times New Roman" w:eastAsia="宋体" w:cs="Times New Roman"/>
          <w:color w:val="auto"/>
          <w:kern w:val="2"/>
          <w:sz w:val="24"/>
          <w:szCs w:val="24"/>
          <w:u w:val="single"/>
        </w:rPr>
        <w:t>废水中污染物浓度较低，BOD</w:t>
      </w:r>
      <w:r>
        <w:rPr>
          <w:rFonts w:hint="eastAsia" w:ascii="Times New Roman" w:hAnsi="Times New Roman" w:eastAsia="宋体" w:cs="Times New Roman"/>
          <w:color w:val="auto"/>
          <w:kern w:val="2"/>
          <w:sz w:val="24"/>
          <w:szCs w:val="24"/>
          <w:u w:val="single"/>
          <w:vertAlign w:val="subscript"/>
        </w:rPr>
        <w:t>5</w:t>
      </w:r>
      <w:r>
        <w:rPr>
          <w:rFonts w:hint="eastAsia" w:ascii="Times New Roman" w:hAnsi="Times New Roman" w:eastAsia="宋体" w:cs="Times New Roman"/>
          <w:color w:val="auto"/>
          <w:kern w:val="2"/>
          <w:sz w:val="24"/>
          <w:szCs w:val="24"/>
          <w:u w:val="single"/>
        </w:rPr>
        <w:t>小于</w:t>
      </w:r>
      <w:r>
        <w:rPr>
          <w:rFonts w:hint="eastAsia" w:ascii="Times New Roman" w:hAnsi="Times New Roman" w:eastAsia="宋体" w:cs="Times New Roman"/>
          <w:color w:val="auto"/>
          <w:kern w:val="2"/>
          <w:sz w:val="24"/>
          <w:szCs w:val="24"/>
          <w:u w:val="single"/>
          <w:lang w:val="en-US" w:eastAsia="zh-CN"/>
        </w:rPr>
        <w:t>20</w:t>
      </w:r>
      <w:r>
        <w:rPr>
          <w:rFonts w:hint="eastAsia" w:ascii="Times New Roman" w:hAnsi="Times New Roman" w:eastAsia="宋体" w:cs="Times New Roman"/>
          <w:color w:val="auto"/>
          <w:kern w:val="2"/>
          <w:sz w:val="24"/>
          <w:szCs w:val="24"/>
          <w:u w:val="single"/>
        </w:rPr>
        <w:t>mg/L，废水进入土壤后废水中C元素可以逐渐被土壤中微生物分解吸收，从而提高土壤的肥力。废水中的N、P元素为植物所需营养元素，本项目废水用于灌溉后，N、P元素被土壤吸收，提高土壤的肥沃程度，从而促进农作物生长，因此本项目养殖废水经污水处理站处理达标后用于农灌不会对受纳土壤造成影响。</w:t>
      </w:r>
    </w:p>
    <w:p>
      <w:pPr>
        <w:keepNext/>
        <w:keepLines/>
        <w:widowControl w:val="0"/>
        <w:numPr>
          <w:ilvl w:val="0"/>
          <w:numId w:val="0"/>
        </w:numPr>
        <w:spacing w:before="0" w:after="0" w:line="360" w:lineRule="auto"/>
        <w:jc w:val="both"/>
        <w:outlineLvl w:val="3"/>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6</w:t>
      </w:r>
      <w:r>
        <w:rPr>
          <w:rFonts w:ascii="Times New Roman" w:hAnsi="Times New Roman" w:eastAsia="宋体" w:cs="Times New Roman"/>
          <w:b/>
          <w:bCs/>
          <w:color w:val="auto"/>
          <w:kern w:val="2"/>
          <w:sz w:val="24"/>
          <w:szCs w:val="24"/>
          <w:lang w:val="en-US" w:eastAsia="zh-CN" w:bidi="ar-SA"/>
        </w:rPr>
        <w:t>.2.2.</w:t>
      </w:r>
      <w:r>
        <w:rPr>
          <w:rFonts w:hint="eastAsia" w:ascii="Times New Roman" w:eastAsia="宋体" w:cs="Times New Roman"/>
          <w:b/>
          <w:bCs/>
          <w:color w:val="auto"/>
          <w:kern w:val="2"/>
          <w:sz w:val="24"/>
          <w:szCs w:val="24"/>
          <w:lang w:val="en-US" w:eastAsia="zh-CN" w:bidi="ar-SA"/>
        </w:rPr>
        <w:t>4</w:t>
      </w:r>
      <w:r>
        <w:rPr>
          <w:rFonts w:hint="eastAsia" w:ascii="Times New Roman" w:hAnsi="Times New Roman" w:eastAsia="宋体" w:cs="Times New Roman"/>
          <w:b/>
          <w:bCs/>
          <w:color w:val="auto"/>
          <w:kern w:val="2"/>
          <w:sz w:val="24"/>
          <w:szCs w:val="24"/>
          <w:lang w:val="en-US" w:eastAsia="zh-CN" w:bidi="ar-SA"/>
        </w:rPr>
        <w:t>事故池依托可行性分析</w:t>
      </w:r>
    </w:p>
    <w:p>
      <w:pPr>
        <w:widowControl w:val="0"/>
        <w:spacing w:after="120" w:line="360" w:lineRule="auto"/>
        <w:ind w:firstLine="420" w:firstLineChars="0"/>
        <w:jc w:val="both"/>
        <w:rPr>
          <w:rFonts w:hint="eastAsia" w:ascii="Times New Roman" w:hAnsi="Times New Roman" w:eastAsia="宋体" w:cs="Times New Roman"/>
          <w:color w:val="auto"/>
          <w:sz w:val="24"/>
          <w:szCs w:val="24"/>
          <w:u w:val="single"/>
          <w:lang w:val="en-US" w:eastAsia="zh-CN" w:bidi="ar-SA"/>
        </w:rPr>
      </w:pPr>
      <w:r>
        <w:rPr>
          <w:rFonts w:hint="eastAsia" w:ascii="Times New Roman" w:hAnsi="Times New Roman" w:eastAsia="宋体" w:cs="Times New Roman"/>
          <w:color w:val="auto"/>
          <w:sz w:val="24"/>
          <w:szCs w:val="24"/>
          <w:u w:val="single"/>
          <w:lang w:val="en-US" w:eastAsia="zh-CN" w:bidi="ar-SA"/>
        </w:rPr>
        <w:t>本项目应急事故池依托400m</w:t>
      </w:r>
      <w:r>
        <w:rPr>
          <w:rFonts w:hint="eastAsia" w:ascii="Times New Roman" w:hAnsi="Times New Roman" w:eastAsia="宋体" w:cs="Times New Roman"/>
          <w:color w:val="auto"/>
          <w:sz w:val="24"/>
          <w:szCs w:val="24"/>
          <w:u w:val="single"/>
          <w:vertAlign w:val="superscript"/>
          <w:lang w:val="en-US" w:eastAsia="zh-CN" w:bidi="ar-SA"/>
        </w:rPr>
        <w:t>3</w:t>
      </w:r>
      <w:r>
        <w:rPr>
          <w:rFonts w:hint="eastAsia" w:ascii="Times New Roman" w:hAnsi="Times New Roman" w:eastAsia="宋体" w:cs="Times New Roman"/>
          <w:color w:val="auto"/>
          <w:sz w:val="24"/>
          <w:szCs w:val="24"/>
          <w:u w:val="single"/>
          <w:lang w:val="en-US" w:eastAsia="zh-CN" w:bidi="ar-SA"/>
        </w:rPr>
        <w:t>沉淀池，项目产生的废水为生产废水及生活污水，其中生产废水包含鸡舍冲洗废水和除臭水帘废水。废水最大产生量时期为洗栏期（2~5天），每年仅四次，冲舍废水为 150m</w:t>
      </w:r>
      <w:r>
        <w:rPr>
          <w:rFonts w:hint="eastAsia" w:ascii="Times New Roman" w:hAnsi="Times New Roman" w:eastAsia="宋体" w:cs="Times New Roman"/>
          <w:color w:val="auto"/>
          <w:sz w:val="24"/>
          <w:szCs w:val="24"/>
          <w:u w:val="single"/>
          <w:vertAlign w:val="superscript"/>
          <w:lang w:val="en-US" w:eastAsia="zh-CN" w:bidi="ar-SA"/>
        </w:rPr>
        <w:t>3</w:t>
      </w:r>
      <w:r>
        <w:rPr>
          <w:rFonts w:hint="eastAsia" w:ascii="Times New Roman" w:hAnsi="Times New Roman" w:eastAsia="宋体" w:cs="Times New Roman"/>
          <w:color w:val="auto"/>
          <w:sz w:val="24"/>
          <w:szCs w:val="24"/>
          <w:u w:val="single"/>
          <w:lang w:val="en-US" w:eastAsia="zh-CN" w:bidi="ar-SA"/>
        </w:rPr>
        <w:t>/栏次，其余时间仅有生活废水（</w:t>
      </w:r>
      <w:r>
        <w:rPr>
          <w:rFonts w:hint="eastAsia" w:ascii="Times New Roman" w:hAnsi="Times New Roman" w:eastAsia="宋体" w:cs="Times New Roman"/>
          <w:color w:val="auto"/>
          <w:sz w:val="24"/>
          <w:u w:val="single"/>
          <w:lang w:val="en-US" w:eastAsia="zh-CN" w:bidi="ar-SA"/>
        </w:rPr>
        <w:t>1.74</w:t>
      </w:r>
      <w:r>
        <w:rPr>
          <w:rFonts w:ascii="Times New Roman" w:hAnsi="Times New Roman" w:eastAsia="宋体" w:cs="Times New Roman"/>
          <w:color w:val="auto"/>
          <w:sz w:val="24"/>
          <w:u w:val="single"/>
          <w:lang w:val="en-US" w:eastAsia="zh-CN" w:bidi="ar-SA"/>
        </w:rPr>
        <w:t>m</w:t>
      </w:r>
      <w:r>
        <w:rPr>
          <w:rFonts w:ascii="Times New Roman" w:hAnsi="Times New Roman" w:eastAsia="宋体" w:cs="Times New Roman"/>
          <w:color w:val="auto"/>
          <w:sz w:val="24"/>
          <w:u w:val="single"/>
          <w:vertAlign w:val="superscript"/>
          <w:lang w:val="en-US" w:eastAsia="zh-CN" w:bidi="ar-SA"/>
        </w:rPr>
        <w:t>3</w:t>
      </w:r>
      <w:r>
        <w:rPr>
          <w:rFonts w:ascii="Times New Roman" w:hAnsi="Times New Roman" w:eastAsia="宋体" w:cs="Times New Roman"/>
          <w:color w:val="auto"/>
          <w:sz w:val="24"/>
          <w:u w:val="single"/>
          <w:lang w:val="en-US" w:eastAsia="zh-CN" w:bidi="ar-SA"/>
        </w:rPr>
        <w:t>/d</w:t>
      </w:r>
      <w:r>
        <w:rPr>
          <w:rFonts w:hint="eastAsia" w:ascii="Times New Roman" w:hAnsi="Times New Roman" w:eastAsia="宋体" w:cs="Times New Roman"/>
          <w:color w:val="auto"/>
          <w:sz w:val="24"/>
          <w:szCs w:val="24"/>
          <w:u w:val="single"/>
          <w:lang w:val="en-US" w:eastAsia="zh-CN" w:bidi="ar-SA"/>
        </w:rPr>
        <w:t>）和除臭废水（0.85m</w:t>
      </w:r>
      <w:r>
        <w:rPr>
          <w:rFonts w:hint="eastAsia" w:ascii="Times New Roman" w:hAnsi="Times New Roman" w:eastAsia="宋体" w:cs="Times New Roman"/>
          <w:color w:val="auto"/>
          <w:sz w:val="24"/>
          <w:szCs w:val="24"/>
          <w:u w:val="single"/>
          <w:vertAlign w:val="superscript"/>
          <w:lang w:val="en-US" w:eastAsia="zh-CN" w:bidi="ar-SA"/>
        </w:rPr>
        <w:t>3</w:t>
      </w:r>
      <w:r>
        <w:rPr>
          <w:rFonts w:hint="eastAsia" w:ascii="Times New Roman" w:hAnsi="Times New Roman" w:eastAsia="宋体" w:cs="Times New Roman"/>
          <w:color w:val="auto"/>
          <w:sz w:val="24"/>
          <w:szCs w:val="24"/>
          <w:u w:val="single"/>
          <w:lang w:val="en-US" w:eastAsia="zh-CN" w:bidi="ar-SA"/>
        </w:rPr>
        <w:t>/d）排放。考虑非正常排放情况出现的时候，400m</w:t>
      </w:r>
      <w:r>
        <w:rPr>
          <w:rFonts w:hint="eastAsia" w:ascii="Times New Roman" w:hAnsi="Times New Roman" w:eastAsia="宋体" w:cs="Times New Roman"/>
          <w:color w:val="auto"/>
          <w:sz w:val="24"/>
          <w:szCs w:val="24"/>
          <w:u w:val="single"/>
          <w:vertAlign w:val="superscript"/>
          <w:lang w:val="en-US" w:eastAsia="zh-CN" w:bidi="ar-SA"/>
        </w:rPr>
        <w:t>3</w:t>
      </w:r>
      <w:r>
        <w:rPr>
          <w:rFonts w:hint="eastAsia" w:ascii="Times New Roman" w:hAnsi="Times New Roman" w:eastAsia="宋体" w:cs="Times New Roman"/>
          <w:color w:val="auto"/>
          <w:sz w:val="24"/>
          <w:szCs w:val="24"/>
          <w:u w:val="single"/>
          <w:lang w:val="en-US" w:eastAsia="zh-CN" w:bidi="ar-SA"/>
        </w:rPr>
        <w:t>的沉淀池满足1次最大产生的废水量至少2d天以上的废水量。因此，项目事故池依托污水沉淀池是可行的。</w:t>
      </w:r>
    </w:p>
    <w:p>
      <w:pPr>
        <w:spacing w:line="360" w:lineRule="auto"/>
        <w:ind w:firstLine="482"/>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建设项目排水系统采用清污分流制。根据</w:t>
      </w:r>
      <w:r>
        <w:rPr>
          <w:rFonts w:hint="eastAsia" w:ascii="Times New Roman" w:eastAsia="宋体" w:cs="Times New Roman"/>
          <w:color w:val="auto"/>
          <w:kern w:val="2"/>
          <w:sz w:val="24"/>
          <w:u w:val="single"/>
          <w:lang w:val="en-US" w:eastAsia="zh-CN"/>
        </w:rPr>
        <w:t>肉鸡养殖</w:t>
      </w:r>
      <w:r>
        <w:rPr>
          <w:rFonts w:hint="default" w:ascii="Times New Roman" w:hAnsi="Times New Roman" w:eastAsia="宋体" w:cs="Times New Roman"/>
          <w:color w:val="auto"/>
          <w:kern w:val="2"/>
          <w:sz w:val="24"/>
          <w:u w:val="single"/>
        </w:rPr>
        <w:t>行业经验，养</w:t>
      </w:r>
      <w:r>
        <w:rPr>
          <w:rFonts w:hint="eastAsia" w:ascii="Times New Roman" w:eastAsia="宋体" w:cs="Times New Roman"/>
          <w:color w:val="auto"/>
          <w:kern w:val="2"/>
          <w:sz w:val="24"/>
          <w:u w:val="single"/>
          <w:lang w:val="en-US" w:eastAsia="zh-CN"/>
        </w:rPr>
        <w:t>鸡</w:t>
      </w:r>
      <w:r>
        <w:rPr>
          <w:rFonts w:hint="default" w:ascii="Times New Roman" w:hAnsi="Times New Roman" w:eastAsia="宋体" w:cs="Times New Roman"/>
          <w:color w:val="auto"/>
          <w:kern w:val="2"/>
          <w:sz w:val="24"/>
          <w:u w:val="single"/>
        </w:rPr>
        <w:t>场发生火灾的可能性很小，因此本评价不考虑火灾事故发生产生的消防废水，项目事故状态只考虑项目污水处理设施出现故障无法正常处理废水的状态。当</w:t>
      </w:r>
      <w:r>
        <w:rPr>
          <w:rFonts w:hint="eastAsia" w:ascii="Times New Roman" w:eastAsia="宋体" w:cs="Times New Roman"/>
          <w:color w:val="auto"/>
          <w:kern w:val="2"/>
          <w:sz w:val="24"/>
          <w:u w:val="single"/>
          <w:lang w:val="en-US" w:eastAsia="zh-CN"/>
        </w:rPr>
        <w:t>依托的新华养殖场</w:t>
      </w:r>
      <w:r>
        <w:rPr>
          <w:rFonts w:hint="default" w:ascii="Times New Roman" w:hAnsi="Times New Roman" w:eastAsia="宋体" w:cs="Times New Roman"/>
          <w:color w:val="auto"/>
          <w:kern w:val="2"/>
          <w:sz w:val="24"/>
          <w:u w:val="single"/>
        </w:rPr>
        <w:t>污水处理设施出现故障时，将未处理污水暂存</w:t>
      </w:r>
      <w:r>
        <w:rPr>
          <w:rFonts w:hint="eastAsia" w:ascii="Times New Roman" w:eastAsia="宋体" w:cs="Times New Roman"/>
          <w:color w:val="auto"/>
          <w:kern w:val="2"/>
          <w:sz w:val="24"/>
          <w:u w:val="single"/>
          <w:lang w:val="en-US" w:eastAsia="zh-CN"/>
        </w:rPr>
        <w:t>于应急池，</w:t>
      </w:r>
      <w:r>
        <w:rPr>
          <w:rFonts w:hint="default" w:ascii="Times New Roman" w:hAnsi="Times New Roman" w:eastAsia="宋体" w:cs="Times New Roman"/>
          <w:color w:val="auto"/>
          <w:kern w:val="2"/>
          <w:sz w:val="24"/>
          <w:u w:val="single"/>
        </w:rPr>
        <w:t>并及时检修</w:t>
      </w:r>
      <w:r>
        <w:rPr>
          <w:rFonts w:hint="eastAsia" w:ascii="Times New Roman" w:eastAsia="宋体" w:cs="Times New Roman"/>
          <w:color w:val="auto"/>
          <w:kern w:val="2"/>
          <w:sz w:val="24"/>
          <w:u w:val="single"/>
          <w:lang w:val="en-US" w:eastAsia="zh-CN"/>
        </w:rPr>
        <w:t>新华养殖场</w:t>
      </w:r>
      <w:r>
        <w:rPr>
          <w:rFonts w:hint="default" w:ascii="Times New Roman" w:hAnsi="Times New Roman" w:eastAsia="宋体" w:cs="Times New Roman"/>
          <w:color w:val="auto"/>
          <w:kern w:val="2"/>
          <w:sz w:val="24"/>
          <w:u w:val="single"/>
        </w:rPr>
        <w:t>污水处理设施，不得直接用于灌溉，待污水处理设施正常运行后再</w:t>
      </w:r>
      <w:r>
        <w:rPr>
          <w:rFonts w:hint="eastAsia" w:ascii="Times New Roman" w:eastAsia="宋体" w:cs="Times New Roman"/>
          <w:color w:val="auto"/>
          <w:kern w:val="2"/>
          <w:sz w:val="24"/>
          <w:u w:val="single"/>
          <w:lang w:val="en-US" w:eastAsia="zh-CN"/>
        </w:rPr>
        <w:t>将污水运送至</w:t>
      </w:r>
      <w:r>
        <w:rPr>
          <w:rFonts w:hint="default" w:ascii="Times New Roman" w:hAnsi="Times New Roman" w:eastAsia="宋体" w:cs="Times New Roman"/>
          <w:color w:val="auto"/>
          <w:kern w:val="2"/>
          <w:sz w:val="24"/>
          <w:u w:val="single"/>
        </w:rPr>
        <w:t>污水处理站进行处理。</w:t>
      </w:r>
    </w:p>
    <w:p>
      <w:pPr>
        <w:pStyle w:val="4"/>
        <w:spacing w:before="0" w:after="0" w:line="360" w:lineRule="auto"/>
        <w:rPr>
          <w:rFonts w:ascii="Times New Roman" w:eastAsia="宋体"/>
          <w:b/>
          <w:bCs/>
          <w:color w:val="auto"/>
          <w:kern w:val="2"/>
          <w:sz w:val="24"/>
        </w:rPr>
      </w:pPr>
      <w:bookmarkStart w:id="515" w:name="_Toc23788"/>
      <w:bookmarkStart w:id="516" w:name="_Toc1884"/>
      <w:r>
        <w:rPr>
          <w:rFonts w:hint="eastAsia" w:ascii="Times New Roman" w:eastAsia="宋体"/>
          <w:b/>
          <w:bCs/>
          <w:color w:val="auto"/>
          <w:kern w:val="2"/>
          <w:sz w:val="24"/>
        </w:rPr>
        <w:t>6</w:t>
      </w:r>
      <w:r>
        <w:rPr>
          <w:rFonts w:ascii="Times New Roman" w:eastAsia="宋体"/>
          <w:b/>
          <w:bCs/>
          <w:color w:val="auto"/>
          <w:kern w:val="2"/>
          <w:sz w:val="24"/>
        </w:rPr>
        <w:t>.</w:t>
      </w:r>
      <w:r>
        <w:rPr>
          <w:rFonts w:hint="eastAsia" w:ascii="Times New Roman" w:eastAsia="宋体"/>
          <w:b/>
          <w:bCs/>
          <w:color w:val="auto"/>
          <w:kern w:val="2"/>
          <w:sz w:val="24"/>
        </w:rPr>
        <w:t>2.</w:t>
      </w:r>
      <w:r>
        <w:rPr>
          <w:rFonts w:ascii="Times New Roman" w:eastAsia="宋体"/>
          <w:b/>
          <w:bCs/>
          <w:color w:val="auto"/>
          <w:kern w:val="2"/>
          <w:sz w:val="24"/>
        </w:rPr>
        <w:t>3地下水污染防治措施及其可行性论证</w:t>
      </w:r>
      <w:bookmarkEnd w:id="515"/>
      <w:bookmarkEnd w:id="516"/>
    </w:p>
    <w:p>
      <w:pPr>
        <w:pStyle w:val="231"/>
        <w:spacing w:after="0"/>
        <w:ind w:left="0" w:leftChars="0" w:firstLine="497"/>
        <w:rPr>
          <w:color w:val="auto"/>
          <w:szCs w:val="24"/>
        </w:rPr>
      </w:pPr>
      <w:r>
        <w:rPr>
          <w:color w:val="auto"/>
          <w:szCs w:val="24"/>
        </w:rPr>
        <w:t>按地下水环境影响评价导则提出的“源头控制、分区防控、污染监控、应急响应”的地下水污染防治要求，结合本项目工程类型及污染源分布，提出以下防治原则：</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6</w:t>
      </w:r>
      <w:r>
        <w:rPr>
          <w:rFonts w:ascii="Times New Roman" w:eastAsia="宋体"/>
          <w:color w:val="auto"/>
          <w:sz w:val="24"/>
        </w:rPr>
        <w:t>.</w:t>
      </w:r>
      <w:r>
        <w:rPr>
          <w:rFonts w:hint="eastAsia" w:ascii="Times New Roman" w:eastAsia="宋体"/>
          <w:color w:val="auto"/>
          <w:sz w:val="24"/>
        </w:rPr>
        <w:t>2.</w:t>
      </w:r>
      <w:r>
        <w:rPr>
          <w:rFonts w:ascii="Times New Roman" w:eastAsia="宋体"/>
          <w:color w:val="auto"/>
          <w:sz w:val="24"/>
        </w:rPr>
        <w:t>3.1源头控制措施</w:t>
      </w:r>
    </w:p>
    <w:p>
      <w:pPr>
        <w:pStyle w:val="231"/>
        <w:spacing w:after="0"/>
        <w:ind w:left="0" w:leftChars="0" w:firstLine="497"/>
        <w:rPr>
          <w:color w:val="auto"/>
          <w:szCs w:val="24"/>
        </w:rPr>
      </w:pPr>
      <w:r>
        <w:rPr>
          <w:color w:val="auto"/>
          <w:szCs w:val="24"/>
        </w:rPr>
        <w:t>（1）委托有资质的单位进行设计、施工，严格按照设计进行</w:t>
      </w:r>
      <w:r>
        <w:rPr>
          <w:rFonts w:hint="eastAsia"/>
          <w:color w:val="auto"/>
          <w:szCs w:val="24"/>
        </w:rPr>
        <w:t>污水沉淀池</w:t>
      </w:r>
      <w:r>
        <w:rPr>
          <w:color w:val="auto"/>
          <w:szCs w:val="24"/>
        </w:rPr>
        <w:t>的施工，确保污水工程正常运行。</w:t>
      </w:r>
    </w:p>
    <w:p>
      <w:pPr>
        <w:pStyle w:val="231"/>
        <w:spacing w:after="0"/>
        <w:ind w:left="0" w:leftChars="0" w:firstLine="497"/>
        <w:rPr>
          <w:color w:val="auto"/>
          <w:szCs w:val="24"/>
        </w:rPr>
      </w:pPr>
      <w:r>
        <w:rPr>
          <w:color w:val="auto"/>
          <w:szCs w:val="24"/>
        </w:rPr>
        <w:t>（2）项目产生的生活污水和养殖废水处理过程中的输送管道、池要采取防渗处理，集中收集起来进行治理，减少跑、冒、滴、漏，阻隔污染物进入地下水环境的途径。</w:t>
      </w:r>
    </w:p>
    <w:p>
      <w:pPr>
        <w:pStyle w:val="231"/>
        <w:spacing w:after="0"/>
        <w:ind w:left="0" w:leftChars="0" w:firstLine="497"/>
        <w:rPr>
          <w:color w:val="auto"/>
          <w:szCs w:val="24"/>
        </w:rPr>
      </w:pPr>
      <w:r>
        <w:rPr>
          <w:color w:val="auto"/>
          <w:szCs w:val="24"/>
        </w:rPr>
        <w:t>（3）定期对污水池、管道等隐蔽设施的渗透性进行检查，即注满水后观察是否有渗水、漏水现象，发现问题及时解决。</w:t>
      </w:r>
    </w:p>
    <w:p>
      <w:pPr>
        <w:pStyle w:val="231"/>
        <w:spacing w:after="0"/>
        <w:ind w:left="0" w:leftChars="0" w:firstLine="497"/>
        <w:rPr>
          <w:color w:val="auto"/>
          <w:szCs w:val="24"/>
        </w:rPr>
      </w:pPr>
      <w:r>
        <w:rPr>
          <w:color w:val="auto"/>
          <w:szCs w:val="24"/>
        </w:rPr>
        <w:t>（4）做好“雨污分流、雨水收集”工作，防止雨水携带污染物渗入地下含水层。</w:t>
      </w:r>
    </w:p>
    <w:p>
      <w:pPr>
        <w:pStyle w:val="231"/>
        <w:spacing w:after="0"/>
        <w:ind w:left="0" w:leftChars="0" w:firstLine="497"/>
        <w:rPr>
          <w:color w:val="auto"/>
          <w:szCs w:val="24"/>
        </w:rPr>
      </w:pPr>
      <w:r>
        <w:rPr>
          <w:color w:val="auto"/>
          <w:szCs w:val="24"/>
        </w:rPr>
        <w:t>（5）禁止建设项目及养殖过程中产生的固体废物乱堆乱放；固体废物进行分类处理。</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6</w:t>
      </w:r>
      <w:r>
        <w:rPr>
          <w:rFonts w:ascii="Times New Roman" w:eastAsia="宋体"/>
          <w:color w:val="auto"/>
          <w:sz w:val="24"/>
        </w:rPr>
        <w:t>.</w:t>
      </w:r>
      <w:r>
        <w:rPr>
          <w:rFonts w:hint="eastAsia" w:ascii="Times New Roman" w:eastAsia="宋体"/>
          <w:color w:val="auto"/>
          <w:sz w:val="24"/>
        </w:rPr>
        <w:t>2.</w:t>
      </w:r>
      <w:r>
        <w:rPr>
          <w:rFonts w:ascii="Times New Roman" w:eastAsia="宋体"/>
          <w:color w:val="auto"/>
          <w:sz w:val="24"/>
        </w:rPr>
        <w:t>3.</w:t>
      </w:r>
      <w:r>
        <w:rPr>
          <w:rFonts w:hint="eastAsia" w:ascii="Times New Roman" w:eastAsia="宋体"/>
          <w:color w:val="auto"/>
          <w:sz w:val="24"/>
        </w:rPr>
        <w:t>2</w:t>
      </w:r>
      <w:r>
        <w:rPr>
          <w:rFonts w:ascii="Times New Roman" w:eastAsia="宋体"/>
          <w:color w:val="auto"/>
          <w:sz w:val="24"/>
        </w:rPr>
        <w:t>分区防控措施</w:t>
      </w:r>
    </w:p>
    <w:p>
      <w:pPr>
        <w:pStyle w:val="231"/>
        <w:spacing w:after="0"/>
        <w:ind w:left="0" w:leftChars="0" w:firstLine="497"/>
        <w:rPr>
          <w:color w:val="auto"/>
          <w:szCs w:val="24"/>
          <w:u w:val="single"/>
        </w:rPr>
      </w:pPr>
      <w:r>
        <w:rPr>
          <w:color w:val="auto"/>
          <w:szCs w:val="24"/>
          <w:u w:val="single"/>
        </w:rPr>
        <w:t>本项目根据《畜禽养殖业污染治理工程技术规范》（HJ497-2009）的规定，排水采用雨污分流制，雨水通过场内排雨设施直接排入场外排水沟。根据</w:t>
      </w:r>
      <w:r>
        <w:rPr>
          <w:rFonts w:hint="eastAsia"/>
          <w:color w:val="auto"/>
          <w:szCs w:val="24"/>
          <w:u w:val="single"/>
        </w:rPr>
        <w:t>湖南衡润科技有限公司</w:t>
      </w:r>
      <w:r>
        <w:rPr>
          <w:color w:val="auto"/>
          <w:szCs w:val="24"/>
          <w:u w:val="single"/>
        </w:rPr>
        <w:t>于20</w:t>
      </w:r>
      <w:r>
        <w:rPr>
          <w:rFonts w:hint="eastAsia"/>
          <w:color w:val="auto"/>
          <w:szCs w:val="24"/>
          <w:u w:val="single"/>
        </w:rPr>
        <w:t>23</w:t>
      </w:r>
      <w:r>
        <w:rPr>
          <w:color w:val="auto"/>
          <w:szCs w:val="24"/>
          <w:u w:val="single"/>
        </w:rPr>
        <w:t>年</w:t>
      </w:r>
      <w:r>
        <w:rPr>
          <w:rFonts w:hint="eastAsia"/>
          <w:color w:val="auto"/>
          <w:szCs w:val="24"/>
          <w:u w:val="single"/>
        </w:rPr>
        <w:t>7</w:t>
      </w:r>
      <w:r>
        <w:rPr>
          <w:color w:val="auto"/>
          <w:szCs w:val="24"/>
          <w:u w:val="single"/>
        </w:rPr>
        <w:t>月</w:t>
      </w:r>
      <w:r>
        <w:rPr>
          <w:rFonts w:hint="eastAsia"/>
          <w:color w:val="auto"/>
          <w:szCs w:val="24"/>
          <w:u w:val="single"/>
        </w:rPr>
        <w:t>11</w:t>
      </w:r>
      <w:r>
        <w:rPr>
          <w:color w:val="auto"/>
          <w:szCs w:val="24"/>
          <w:u w:val="single"/>
        </w:rPr>
        <w:t>日至20</w:t>
      </w:r>
      <w:r>
        <w:rPr>
          <w:rFonts w:hint="eastAsia"/>
          <w:color w:val="auto"/>
          <w:szCs w:val="24"/>
          <w:u w:val="single"/>
        </w:rPr>
        <w:t>23</w:t>
      </w:r>
      <w:r>
        <w:rPr>
          <w:color w:val="auto"/>
          <w:szCs w:val="24"/>
          <w:u w:val="single"/>
        </w:rPr>
        <w:t>年</w:t>
      </w:r>
      <w:r>
        <w:rPr>
          <w:rFonts w:hint="eastAsia"/>
          <w:color w:val="auto"/>
          <w:szCs w:val="24"/>
          <w:u w:val="single"/>
        </w:rPr>
        <w:t>7</w:t>
      </w:r>
      <w:r>
        <w:rPr>
          <w:color w:val="auto"/>
          <w:szCs w:val="24"/>
          <w:u w:val="single"/>
        </w:rPr>
        <w:t>月</w:t>
      </w:r>
      <w:r>
        <w:rPr>
          <w:rFonts w:hint="eastAsia"/>
          <w:color w:val="auto"/>
          <w:szCs w:val="24"/>
          <w:u w:val="single"/>
        </w:rPr>
        <w:t>13</w:t>
      </w:r>
      <w:r>
        <w:rPr>
          <w:color w:val="auto"/>
          <w:szCs w:val="24"/>
          <w:u w:val="single"/>
        </w:rPr>
        <w:t>日的监测结果，项目区域地下水满足《地下水质量标准》（GB/T 14848-2017）中</w:t>
      </w:r>
      <w:r>
        <w:rPr>
          <w:color w:val="auto"/>
          <w:szCs w:val="24"/>
          <w:u w:val="single"/>
        </w:rPr>
        <w:fldChar w:fldCharType="begin"/>
      </w:r>
      <w:r>
        <w:rPr>
          <w:color w:val="auto"/>
          <w:szCs w:val="24"/>
          <w:u w:val="single"/>
        </w:rPr>
        <w:instrText xml:space="preserve"> = 3 \* ROMAN </w:instrText>
      </w:r>
      <w:r>
        <w:rPr>
          <w:color w:val="auto"/>
          <w:szCs w:val="24"/>
          <w:u w:val="single"/>
        </w:rPr>
        <w:fldChar w:fldCharType="separate"/>
      </w:r>
      <w:r>
        <w:rPr>
          <w:color w:val="auto"/>
          <w:szCs w:val="24"/>
          <w:u w:val="single"/>
        </w:rPr>
        <w:t>III</w:t>
      </w:r>
      <w:r>
        <w:rPr>
          <w:color w:val="auto"/>
          <w:szCs w:val="24"/>
          <w:u w:val="single"/>
        </w:rPr>
        <w:fldChar w:fldCharType="end"/>
      </w:r>
      <w:r>
        <w:rPr>
          <w:color w:val="auto"/>
          <w:szCs w:val="24"/>
          <w:u w:val="single"/>
        </w:rPr>
        <w:t>类水质标准要求</w:t>
      </w:r>
      <w:r>
        <w:rPr>
          <w:rFonts w:hint="eastAsia"/>
          <w:color w:val="auto"/>
          <w:szCs w:val="24"/>
          <w:u w:val="single"/>
        </w:rPr>
        <w:t>。</w:t>
      </w:r>
    </w:p>
    <w:p>
      <w:pPr>
        <w:spacing w:line="360" w:lineRule="auto"/>
        <w:ind w:firstLine="496" w:firstLineChars="200"/>
        <w:rPr>
          <w:rFonts w:ascii="Times New Roman" w:eastAsia="宋体"/>
          <w:color w:val="auto"/>
          <w:szCs w:val="22"/>
          <w:u w:val="single"/>
        </w:rPr>
      </w:pPr>
      <w:r>
        <w:rPr>
          <w:rFonts w:ascii="Times New Roman" w:eastAsia="宋体"/>
          <w:color w:val="auto"/>
          <w:szCs w:val="22"/>
          <w:u w:val="single"/>
        </w:rPr>
        <w:t>为保护区域地下水安全，结合地下水环境影响评价结果，参照 GB16889、GB18597、GB18598、GB18599、GB/T50934 等水平防渗要求，给出防渗分区技术要求。</w:t>
      </w:r>
    </w:p>
    <w:p>
      <w:pPr>
        <w:spacing w:line="360" w:lineRule="auto"/>
        <w:ind w:firstLine="482"/>
        <w:rPr>
          <w:rFonts w:ascii="Times New Roman" w:eastAsia="宋体"/>
          <w:color w:val="auto"/>
          <w:u w:val="single"/>
        </w:rPr>
      </w:pPr>
      <w:r>
        <w:rPr>
          <w:rFonts w:hint="eastAsia" w:ascii="Times New Roman" w:eastAsia="宋体"/>
          <w:color w:val="auto"/>
          <w:u w:val="single"/>
        </w:rPr>
        <w:t>（1）</w:t>
      </w:r>
      <w:r>
        <w:rPr>
          <w:rFonts w:ascii="Times New Roman" w:eastAsia="宋体"/>
          <w:color w:val="auto"/>
          <w:u w:val="single"/>
        </w:rPr>
        <w:t>重点污染</w:t>
      </w:r>
      <w:r>
        <w:rPr>
          <w:rFonts w:hint="eastAsia" w:ascii="Times New Roman" w:eastAsia="宋体"/>
          <w:color w:val="auto"/>
          <w:u w:val="single"/>
        </w:rPr>
        <w:t>防渗</w:t>
      </w:r>
      <w:r>
        <w:rPr>
          <w:rFonts w:ascii="Times New Roman" w:eastAsia="宋体"/>
          <w:color w:val="auto"/>
          <w:u w:val="single"/>
        </w:rPr>
        <w:t>区</w:t>
      </w:r>
    </w:p>
    <w:p>
      <w:pPr>
        <w:keepNext/>
        <w:keepLines/>
        <w:spacing w:line="360" w:lineRule="auto"/>
        <w:ind w:firstLine="496" w:firstLineChars="200"/>
        <w:rPr>
          <w:rFonts w:ascii="Times New Roman" w:eastAsia="宋体"/>
          <w:bCs/>
          <w:color w:val="auto"/>
          <w:szCs w:val="48"/>
          <w:u w:val="single"/>
        </w:rPr>
      </w:pPr>
      <w:r>
        <w:rPr>
          <w:rFonts w:ascii="Times New Roman" w:eastAsia="宋体"/>
          <w:bCs/>
          <w:color w:val="auto"/>
          <w:szCs w:val="48"/>
          <w:u w:val="single"/>
        </w:rPr>
        <w:t>重点污染区是对地下水环境有污染的物料或污染物泄漏后，不能及时发现和处理的区域，包括</w:t>
      </w:r>
      <w:r>
        <w:rPr>
          <w:rFonts w:hint="eastAsia" w:ascii="Times New Roman" w:eastAsia="宋体"/>
          <w:bCs/>
          <w:color w:val="auto"/>
          <w:szCs w:val="48"/>
          <w:u w:val="single"/>
        </w:rPr>
        <w:t>污水沉淀池</w:t>
      </w:r>
      <w:r>
        <w:rPr>
          <w:rFonts w:hint="eastAsia" w:ascii="Times New Roman" w:eastAsia="宋体"/>
          <w:bCs/>
          <w:color w:val="auto"/>
          <w:szCs w:val="48"/>
          <w:u w:val="single"/>
          <w:lang w:eastAsia="zh-CN"/>
        </w:rPr>
        <w:t>、化粪池</w:t>
      </w:r>
      <w:r>
        <w:rPr>
          <w:rFonts w:ascii="Times New Roman" w:eastAsia="宋体"/>
          <w:bCs/>
          <w:color w:val="auto"/>
          <w:szCs w:val="48"/>
          <w:u w:val="single"/>
        </w:rPr>
        <w:t>、</w:t>
      </w:r>
      <w:r>
        <w:rPr>
          <w:rFonts w:hint="eastAsia" w:ascii="Times New Roman" w:eastAsia="宋体"/>
          <w:bCs/>
          <w:color w:val="auto"/>
          <w:szCs w:val="48"/>
          <w:u w:val="single"/>
        </w:rPr>
        <w:t>鸡舍</w:t>
      </w:r>
      <w:r>
        <w:rPr>
          <w:rFonts w:hint="eastAsia" w:ascii="Times New Roman" w:eastAsia="宋体"/>
          <w:bCs/>
          <w:color w:val="auto"/>
          <w:szCs w:val="48"/>
          <w:u w:val="single"/>
          <w:lang w:val="en-US" w:eastAsia="zh-CN"/>
        </w:rPr>
        <w:t>和</w:t>
      </w:r>
      <w:r>
        <w:rPr>
          <w:rFonts w:ascii="Times New Roman" w:eastAsia="宋体"/>
          <w:bCs/>
          <w:color w:val="auto"/>
          <w:szCs w:val="48"/>
          <w:u w:val="single"/>
        </w:rPr>
        <w:t>危险废物暂存间</w:t>
      </w:r>
      <w:r>
        <w:rPr>
          <w:rFonts w:hint="eastAsia" w:ascii="Times New Roman" w:eastAsia="宋体"/>
          <w:bCs/>
          <w:color w:val="auto"/>
          <w:szCs w:val="48"/>
          <w:u w:val="single"/>
        </w:rPr>
        <w:t>、地下污水管线</w:t>
      </w:r>
      <w:r>
        <w:rPr>
          <w:rFonts w:ascii="Times New Roman" w:eastAsia="宋体"/>
          <w:bCs/>
          <w:color w:val="auto"/>
          <w:szCs w:val="48"/>
          <w:u w:val="single"/>
        </w:rPr>
        <w:t>等。</w:t>
      </w:r>
    </w:p>
    <w:p>
      <w:pPr>
        <w:spacing w:line="360" w:lineRule="auto"/>
        <w:ind w:firstLine="496" w:firstLineChars="200"/>
        <w:rPr>
          <w:rFonts w:hint="eastAsia" w:ascii="Times New Roman" w:eastAsia="宋体"/>
          <w:color w:val="auto"/>
          <w:szCs w:val="22"/>
          <w:u w:val="single"/>
        </w:rPr>
      </w:pPr>
      <w:r>
        <w:rPr>
          <w:rFonts w:ascii="Times New Roman" w:eastAsia="宋体"/>
          <w:color w:val="auto"/>
          <w:szCs w:val="22"/>
          <w:u w:val="single"/>
        </w:rPr>
        <w:t>①</w:t>
      </w:r>
      <w:r>
        <w:rPr>
          <w:rFonts w:hint="eastAsia" w:ascii="Times New Roman" w:eastAsia="宋体"/>
          <w:color w:val="auto"/>
          <w:szCs w:val="22"/>
          <w:u w:val="single"/>
        </w:rPr>
        <w:t>地面</w:t>
      </w:r>
    </w:p>
    <w:p>
      <w:pPr>
        <w:spacing w:line="360" w:lineRule="auto"/>
        <w:ind w:firstLine="496" w:firstLineChars="200"/>
        <w:rPr>
          <w:rFonts w:ascii="Times New Roman" w:eastAsia="宋体"/>
          <w:bCs/>
          <w:color w:val="auto"/>
          <w:szCs w:val="48"/>
          <w:u w:val="single"/>
        </w:rPr>
      </w:pPr>
      <w:r>
        <w:rPr>
          <w:rFonts w:ascii="Times New Roman" w:eastAsia="宋体"/>
          <w:bCs/>
          <w:color w:val="auto"/>
          <w:szCs w:val="48"/>
          <w:u w:val="single"/>
        </w:rPr>
        <w:t>重点污染防治区防渗层的防渗性能不应低于6.0m厚渗透系数为1.0×10</w:t>
      </w:r>
      <w:r>
        <w:rPr>
          <w:rFonts w:ascii="Times New Roman" w:eastAsia="宋体"/>
          <w:bCs/>
          <w:color w:val="auto"/>
          <w:szCs w:val="48"/>
          <w:u w:val="single"/>
          <w:vertAlign w:val="superscript"/>
        </w:rPr>
        <w:t>-7</w:t>
      </w:r>
      <w:r>
        <w:rPr>
          <w:rFonts w:ascii="Times New Roman" w:eastAsia="宋体"/>
          <w:bCs/>
          <w:color w:val="auto"/>
          <w:szCs w:val="48"/>
          <w:u w:val="single"/>
        </w:rPr>
        <w:t>cm/s的粘土层的防渗性能。重点污染防治区水池结构厚度不应小于250mm，混凝土的抗渗等级不应低于P8，且水池的内表面应涂刷水泥基渗透结晶型（厚度不应小于lmm)或喷涂聚脲（厚度不应小于1.5mm)等防水涂料，或在混凝土内掺加水泥基渗透结晶型防水剂；地下管道应采用钢制管道，采用非钢制金属管道时宜采用高密度聚乙烯（HDPE)膜防渗层（厚度不宜小于1.5mm)，也可以采用抗渗钢筋混凝土管沟或套管。</w:t>
      </w:r>
    </w:p>
    <w:p>
      <w:pPr>
        <w:spacing w:line="360" w:lineRule="auto"/>
        <w:ind w:firstLine="496" w:firstLineChars="200"/>
        <w:rPr>
          <w:rFonts w:ascii="Times New Roman" w:eastAsia="宋体"/>
          <w:color w:val="auto"/>
          <w:szCs w:val="22"/>
          <w:u w:val="single"/>
        </w:rPr>
      </w:pPr>
      <w:r>
        <w:rPr>
          <w:rFonts w:ascii="Times New Roman" w:eastAsia="宋体"/>
          <w:color w:val="auto"/>
          <w:szCs w:val="22"/>
          <w:u w:val="single"/>
        </w:rPr>
        <w:t>②</w:t>
      </w:r>
      <w:r>
        <w:rPr>
          <w:rFonts w:hint="eastAsia" w:ascii="Times New Roman" w:eastAsia="宋体"/>
          <w:color w:val="auto"/>
          <w:szCs w:val="22"/>
          <w:u w:val="single"/>
        </w:rPr>
        <w:t>管道</w:t>
      </w:r>
    </w:p>
    <w:p>
      <w:pPr>
        <w:pStyle w:val="69"/>
        <w:spacing w:line="360" w:lineRule="auto"/>
        <w:ind w:firstLine="496" w:firstLineChars="200"/>
        <w:rPr>
          <w:rFonts w:hint="default"/>
          <w:color w:val="auto"/>
          <w:u w:val="single"/>
        </w:rPr>
      </w:pPr>
      <w:r>
        <w:rPr>
          <w:rFonts w:eastAsia="宋体"/>
          <w:color w:val="auto"/>
          <w:kern w:val="0"/>
          <w:u w:val="single"/>
        </w:rPr>
        <w:t>无压力管道，如：污水管道采用双管结构，内管管外壁除锈后刷无机富锌底漆两遍，套管外壁除锈后做加强级胶粘带防腐，厚度</w:t>
      </w:r>
      <w:r>
        <w:rPr>
          <w:rFonts w:hint="default" w:cs="Arial"/>
          <w:color w:val="auto"/>
          <w:u w:val="single"/>
        </w:rPr>
        <w:t>≥</w:t>
      </w:r>
      <w:r>
        <w:rPr>
          <w:color w:val="auto"/>
          <w:u w:val="single"/>
        </w:rPr>
        <w:t>2mm，排水主管段上设置钢制检漏观察口。</w:t>
      </w:r>
    </w:p>
    <w:p>
      <w:pPr>
        <w:spacing w:line="360" w:lineRule="auto"/>
        <w:ind w:firstLine="482"/>
        <w:rPr>
          <w:rFonts w:ascii="Times New Roman" w:eastAsia="宋体"/>
          <w:color w:val="auto"/>
          <w:u w:val="single"/>
        </w:rPr>
      </w:pPr>
      <w:r>
        <w:rPr>
          <w:rFonts w:hint="eastAsia" w:ascii="Times New Roman" w:eastAsia="宋体"/>
          <w:color w:val="auto"/>
          <w:u w:val="single"/>
        </w:rPr>
        <w:t>（2）</w:t>
      </w:r>
      <w:r>
        <w:rPr>
          <w:rFonts w:ascii="Times New Roman" w:eastAsia="宋体"/>
          <w:color w:val="auto"/>
          <w:u w:val="single"/>
        </w:rPr>
        <w:t>一般</w:t>
      </w:r>
      <w:r>
        <w:rPr>
          <w:rFonts w:hint="eastAsia" w:ascii="Times New Roman" w:eastAsia="宋体"/>
          <w:color w:val="auto"/>
          <w:u w:val="single"/>
        </w:rPr>
        <w:t>防渗</w:t>
      </w:r>
      <w:r>
        <w:rPr>
          <w:rFonts w:ascii="Times New Roman" w:eastAsia="宋体"/>
          <w:color w:val="auto"/>
          <w:u w:val="single"/>
        </w:rPr>
        <w:t>区</w:t>
      </w:r>
    </w:p>
    <w:p>
      <w:pPr>
        <w:spacing w:line="360" w:lineRule="auto"/>
        <w:ind w:firstLine="496" w:firstLineChars="200"/>
        <w:rPr>
          <w:rFonts w:ascii="Times New Roman" w:eastAsia="宋体"/>
          <w:color w:val="auto"/>
          <w:szCs w:val="24"/>
          <w:u w:val="single"/>
        </w:rPr>
      </w:pPr>
      <w:r>
        <w:rPr>
          <w:rFonts w:ascii="Times New Roman" w:eastAsia="宋体"/>
          <w:color w:val="auto"/>
          <w:szCs w:val="22"/>
          <w:u w:val="single"/>
        </w:rPr>
        <w:t>一般</w:t>
      </w:r>
      <w:r>
        <w:rPr>
          <w:rFonts w:hint="eastAsia" w:ascii="Times New Roman" w:eastAsia="宋体"/>
          <w:color w:val="auto"/>
          <w:szCs w:val="22"/>
          <w:u w:val="single"/>
        </w:rPr>
        <w:t>防渗</w:t>
      </w:r>
      <w:r>
        <w:rPr>
          <w:rFonts w:ascii="Times New Roman" w:eastAsia="宋体"/>
          <w:color w:val="auto"/>
          <w:szCs w:val="22"/>
          <w:u w:val="single"/>
        </w:rPr>
        <w:t>区</w:t>
      </w:r>
      <w:r>
        <w:rPr>
          <w:rFonts w:ascii="Times New Roman" w:eastAsia="宋体"/>
          <w:color w:val="auto"/>
          <w:szCs w:val="24"/>
          <w:u w:val="single"/>
        </w:rPr>
        <w:t>是对地下水环境有污染的物料或污染物泄漏后，可及时发现和处理的区域，包括饲料</w:t>
      </w:r>
      <w:r>
        <w:rPr>
          <w:rFonts w:hint="eastAsia" w:ascii="Times New Roman" w:eastAsia="宋体"/>
          <w:color w:val="auto"/>
          <w:szCs w:val="24"/>
          <w:u w:val="single"/>
        </w:rPr>
        <w:t>间和锅炉房、一般固废暂存间</w:t>
      </w:r>
      <w:r>
        <w:rPr>
          <w:rFonts w:ascii="Times New Roman" w:eastAsia="宋体"/>
          <w:color w:val="auto"/>
          <w:szCs w:val="24"/>
          <w:u w:val="single"/>
        </w:rPr>
        <w:t>等。</w:t>
      </w:r>
    </w:p>
    <w:p>
      <w:pPr>
        <w:spacing w:line="360" w:lineRule="auto"/>
        <w:ind w:firstLine="496" w:firstLineChars="200"/>
        <w:rPr>
          <w:rFonts w:ascii="Times New Roman" w:eastAsia="宋体"/>
          <w:color w:val="auto"/>
          <w:szCs w:val="24"/>
          <w:u w:val="single"/>
        </w:rPr>
      </w:pPr>
      <w:r>
        <w:rPr>
          <w:rFonts w:ascii="Times New Roman" w:eastAsia="宋体"/>
          <w:color w:val="auto"/>
          <w:szCs w:val="24"/>
          <w:u w:val="single"/>
        </w:rPr>
        <w:t>一般污染防治区防渗层的防渗性能不应低于1.5m，厚渗透系数为1.0×10</w:t>
      </w:r>
      <w:r>
        <w:rPr>
          <w:rFonts w:ascii="Times New Roman" w:eastAsia="宋体"/>
          <w:color w:val="auto"/>
          <w:szCs w:val="24"/>
          <w:u w:val="single"/>
          <w:vertAlign w:val="superscript"/>
        </w:rPr>
        <w:t>-7</w:t>
      </w:r>
      <w:r>
        <w:rPr>
          <w:rFonts w:ascii="Times New Roman" w:eastAsia="宋体"/>
          <w:color w:val="auto"/>
          <w:szCs w:val="24"/>
          <w:u w:val="single"/>
        </w:rPr>
        <w:t>cm/s的粘土层的防渗性能。其中地面防渗层可采用粘土、抗渗混凝土或其他防渗性能等效的材料，采用粘土防渗层时防渗层顶面宜采用混凝土地面或设置厚度不小于200mm的砂石层；采用混凝土防渗层时混凝土的强度等级不应低于C25，抗渗等级不应低于P6，厚度不应小于100mm</w:t>
      </w:r>
      <w:r>
        <w:rPr>
          <w:rFonts w:hint="eastAsia" w:ascii="Times New Roman" w:eastAsia="宋体"/>
          <w:color w:val="auto"/>
          <w:szCs w:val="24"/>
          <w:u w:val="single"/>
        </w:rPr>
        <w:t>或其他防渗措施，等效粘土防渗层Mb</w:t>
      </w:r>
      <w:r>
        <w:rPr>
          <w:rFonts w:ascii="Times New Roman" w:eastAsia="宋体"/>
          <w:color w:val="auto"/>
          <w:szCs w:val="24"/>
          <w:u w:val="single"/>
        </w:rPr>
        <w:t>≥</w:t>
      </w:r>
      <w:r>
        <w:rPr>
          <w:rFonts w:hint="eastAsia" w:ascii="Times New Roman" w:eastAsia="宋体"/>
          <w:color w:val="auto"/>
          <w:szCs w:val="24"/>
          <w:u w:val="single"/>
        </w:rPr>
        <w:t>1.5m，K</w:t>
      </w:r>
      <w:r>
        <w:rPr>
          <w:rFonts w:ascii="Times New Roman" w:eastAsia="宋体"/>
          <w:color w:val="auto"/>
          <w:szCs w:val="24"/>
          <w:u w:val="single"/>
        </w:rPr>
        <w:t>≤</w:t>
      </w:r>
      <w:r>
        <w:rPr>
          <w:rFonts w:hint="eastAsia" w:ascii="Times New Roman" w:eastAsia="宋体"/>
          <w:color w:val="auto"/>
          <w:szCs w:val="24"/>
          <w:u w:val="single"/>
        </w:rPr>
        <w:t>10</w:t>
      </w:r>
      <w:r>
        <w:rPr>
          <w:rFonts w:hint="eastAsia" w:ascii="Times New Roman" w:eastAsia="宋体"/>
          <w:color w:val="auto"/>
          <w:szCs w:val="24"/>
          <w:u w:val="single"/>
          <w:vertAlign w:val="superscript"/>
        </w:rPr>
        <w:t>-7</w:t>
      </w:r>
      <w:r>
        <w:rPr>
          <w:rFonts w:hint="eastAsia" w:ascii="Times New Roman" w:eastAsia="宋体"/>
          <w:color w:val="auto"/>
          <w:szCs w:val="24"/>
          <w:u w:val="single"/>
        </w:rPr>
        <w:t>cm/s</w:t>
      </w:r>
      <w:r>
        <w:rPr>
          <w:rFonts w:ascii="Times New Roman" w:eastAsia="宋体"/>
          <w:color w:val="auto"/>
          <w:szCs w:val="24"/>
          <w:u w:val="single"/>
        </w:rPr>
        <w:t>。</w:t>
      </w:r>
    </w:p>
    <w:p>
      <w:pPr>
        <w:spacing w:line="360" w:lineRule="auto"/>
        <w:ind w:firstLine="482"/>
        <w:rPr>
          <w:rFonts w:ascii="Times New Roman" w:eastAsia="宋体"/>
          <w:color w:val="auto"/>
          <w:u w:val="single"/>
        </w:rPr>
      </w:pPr>
      <w:r>
        <w:rPr>
          <w:rFonts w:hint="eastAsia" w:ascii="Times New Roman" w:eastAsia="宋体"/>
          <w:color w:val="auto"/>
          <w:u w:val="single"/>
        </w:rPr>
        <w:t>（3）</w:t>
      </w:r>
      <w:r>
        <w:rPr>
          <w:rFonts w:ascii="Times New Roman" w:eastAsia="宋体"/>
          <w:color w:val="auto"/>
          <w:u w:val="single"/>
        </w:rPr>
        <w:t>简单防渗区</w:t>
      </w:r>
    </w:p>
    <w:p>
      <w:pPr>
        <w:keepNext/>
        <w:keepLines/>
        <w:spacing w:line="360" w:lineRule="auto"/>
        <w:ind w:firstLine="496" w:firstLineChars="200"/>
        <w:rPr>
          <w:rFonts w:ascii="Times New Roman" w:eastAsia="宋体"/>
          <w:bCs/>
          <w:color w:val="auto"/>
          <w:szCs w:val="48"/>
          <w:u w:val="single"/>
        </w:rPr>
      </w:pPr>
      <w:r>
        <w:rPr>
          <w:rFonts w:ascii="Times New Roman" w:eastAsia="宋体"/>
          <w:bCs/>
          <w:color w:val="auto"/>
          <w:szCs w:val="48"/>
          <w:u w:val="single"/>
        </w:rPr>
        <w:t>简单防渗区是对地下水环境污染较小的物料或污染物泄露后，能够及时发现和处理的区域，包括公用工程区、办公区及绿化区域等。</w:t>
      </w:r>
    </w:p>
    <w:p>
      <w:pPr>
        <w:keepNext/>
        <w:keepLines/>
        <w:spacing w:line="360" w:lineRule="auto"/>
        <w:ind w:firstLine="496" w:firstLineChars="200"/>
        <w:rPr>
          <w:rFonts w:ascii="Times New Roman" w:eastAsia="宋体"/>
          <w:bCs/>
          <w:color w:val="auto"/>
          <w:szCs w:val="48"/>
          <w:u w:val="single"/>
        </w:rPr>
      </w:pPr>
      <w:r>
        <w:rPr>
          <w:rFonts w:ascii="Times New Roman" w:eastAsia="宋体"/>
          <w:bCs/>
          <w:color w:val="auto"/>
          <w:szCs w:val="48"/>
          <w:u w:val="single"/>
        </w:rPr>
        <w:t>对于简单防渗区防渗措施采用一般地面硬化即可，不需要设置防渗层相关措施。</w:t>
      </w:r>
    </w:p>
    <w:p>
      <w:pPr>
        <w:keepNext/>
        <w:keepLines/>
        <w:spacing w:line="360" w:lineRule="auto"/>
        <w:ind w:firstLine="496" w:firstLineChars="200"/>
        <w:rPr>
          <w:rFonts w:ascii="Times New Roman" w:eastAsia="宋体"/>
          <w:bCs/>
          <w:color w:val="auto"/>
          <w:szCs w:val="48"/>
          <w:u w:val="single"/>
        </w:rPr>
      </w:pPr>
      <w:r>
        <w:rPr>
          <w:rFonts w:ascii="Times New Roman" w:eastAsia="宋体"/>
          <w:bCs/>
          <w:color w:val="auto"/>
          <w:szCs w:val="48"/>
          <w:u w:val="single"/>
        </w:rPr>
        <w:t>本项目地下水污染防治分区划分详见</w:t>
      </w:r>
      <w:r>
        <w:rPr>
          <w:rFonts w:hint="eastAsia" w:ascii="Times New Roman" w:eastAsia="宋体"/>
          <w:bCs/>
          <w:color w:val="auto"/>
          <w:szCs w:val="48"/>
          <w:u w:val="single"/>
        </w:rPr>
        <w:t>6</w:t>
      </w:r>
      <w:r>
        <w:rPr>
          <w:rFonts w:ascii="Times New Roman" w:eastAsia="宋体"/>
          <w:bCs/>
          <w:color w:val="auto"/>
          <w:szCs w:val="48"/>
          <w:u w:val="single"/>
        </w:rPr>
        <w:t>.</w:t>
      </w:r>
      <w:r>
        <w:rPr>
          <w:rFonts w:hint="eastAsia" w:ascii="Times New Roman" w:eastAsia="宋体"/>
          <w:bCs/>
          <w:color w:val="auto"/>
          <w:szCs w:val="48"/>
          <w:u w:val="single"/>
        </w:rPr>
        <w:t>2</w:t>
      </w:r>
      <w:r>
        <w:rPr>
          <w:rFonts w:ascii="Times New Roman" w:eastAsia="宋体"/>
          <w:bCs/>
          <w:color w:val="auto"/>
          <w:szCs w:val="48"/>
          <w:u w:val="single"/>
        </w:rPr>
        <w:t>-1。</w:t>
      </w:r>
      <w:bookmarkStart w:id="517" w:name="_Ref485900573"/>
    </w:p>
    <w:p>
      <w:pPr>
        <w:pStyle w:val="358"/>
        <w:spacing w:beforeLines="50" w:line="0" w:lineRule="atLeast"/>
        <w:jc w:val="center"/>
        <w:rPr>
          <w:rFonts w:ascii="Times New Roman" w:hAnsi="Times New Roman"/>
          <w:color w:val="auto"/>
          <w:sz w:val="24"/>
          <w:szCs w:val="24"/>
          <w:u w:val="single"/>
        </w:rPr>
      </w:pPr>
      <w:r>
        <w:rPr>
          <w:rFonts w:ascii="Times New Roman" w:hAnsi="Times New Roman" w:eastAsia="宋体" w:cs="Times New Roman"/>
          <w:b/>
          <w:bCs/>
          <w:color w:val="auto"/>
          <w:u w:val="single"/>
        </w:rPr>
        <w:t>表</w:t>
      </w:r>
      <w:bookmarkEnd w:id="517"/>
      <w:r>
        <w:rPr>
          <w:rFonts w:hint="eastAsia" w:ascii="Times New Roman" w:hAnsi="Times New Roman" w:eastAsia="宋体" w:cs="Times New Roman"/>
          <w:b/>
          <w:bCs/>
          <w:color w:val="auto"/>
          <w:u w:val="single"/>
        </w:rPr>
        <w:t>6</w:t>
      </w:r>
      <w:r>
        <w:rPr>
          <w:rFonts w:ascii="Times New Roman" w:hAnsi="Times New Roman" w:eastAsia="宋体" w:cs="Times New Roman"/>
          <w:b/>
          <w:bCs/>
          <w:color w:val="auto"/>
          <w:u w:val="single"/>
        </w:rPr>
        <w:t>.</w:t>
      </w:r>
      <w:r>
        <w:rPr>
          <w:rFonts w:hint="eastAsia" w:ascii="Times New Roman" w:hAnsi="Times New Roman" w:eastAsia="宋体" w:cs="Times New Roman"/>
          <w:b/>
          <w:bCs/>
          <w:color w:val="auto"/>
          <w:u w:val="single"/>
        </w:rPr>
        <w:t>2</w:t>
      </w:r>
      <w:r>
        <w:rPr>
          <w:rFonts w:ascii="Times New Roman" w:hAnsi="Times New Roman" w:eastAsia="宋体" w:cs="Times New Roman"/>
          <w:b/>
          <w:bCs/>
          <w:color w:val="auto"/>
          <w:u w:val="single"/>
        </w:rPr>
        <w:t>-1项目污染防治分区划分</w:t>
      </w:r>
    </w:p>
    <w:tbl>
      <w:tblPr>
        <w:tblStyle w:val="4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7"/>
        <w:gridCol w:w="5570"/>
        <w:gridCol w:w="20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7" w:type="dxa"/>
            <w:tcBorders>
              <w:tl2br w:val="nil"/>
              <w:tr2bl w:val="nil"/>
            </w:tcBorders>
            <w:vAlign w:val="center"/>
          </w:tcPr>
          <w:p>
            <w:pPr>
              <w:pStyle w:val="308"/>
              <w:rPr>
                <w:rFonts w:ascii="Times New Roman" w:eastAsia="宋体"/>
                <w:b/>
                <w:color w:val="auto"/>
                <w:szCs w:val="21"/>
                <w:u w:val="single"/>
                <w:lang w:val="zh-CN"/>
              </w:rPr>
            </w:pPr>
            <w:r>
              <w:rPr>
                <w:rFonts w:ascii="Times New Roman" w:eastAsia="宋体"/>
                <w:b/>
                <w:color w:val="auto"/>
                <w:szCs w:val="21"/>
                <w:u w:val="single"/>
                <w:lang w:val="zh-CN"/>
              </w:rPr>
              <w:t>序号</w:t>
            </w:r>
          </w:p>
        </w:tc>
        <w:tc>
          <w:tcPr>
            <w:tcW w:w="5570" w:type="dxa"/>
            <w:tcBorders>
              <w:tl2br w:val="nil"/>
              <w:tr2bl w:val="nil"/>
            </w:tcBorders>
            <w:vAlign w:val="center"/>
          </w:tcPr>
          <w:p>
            <w:pPr>
              <w:pStyle w:val="308"/>
              <w:rPr>
                <w:rFonts w:ascii="Times New Roman" w:eastAsia="宋体"/>
                <w:b/>
                <w:color w:val="auto"/>
                <w:szCs w:val="21"/>
                <w:u w:val="single"/>
                <w:lang w:val="zh-CN"/>
              </w:rPr>
            </w:pPr>
            <w:r>
              <w:rPr>
                <w:rFonts w:ascii="Times New Roman" w:eastAsia="宋体"/>
                <w:b/>
                <w:color w:val="auto"/>
                <w:szCs w:val="21"/>
                <w:u w:val="single"/>
                <w:lang w:val="zh-CN"/>
              </w:rPr>
              <w:t>污染防治区域及部位</w:t>
            </w:r>
          </w:p>
        </w:tc>
        <w:tc>
          <w:tcPr>
            <w:tcW w:w="2059" w:type="dxa"/>
            <w:tcBorders>
              <w:tl2br w:val="nil"/>
              <w:tr2bl w:val="nil"/>
            </w:tcBorders>
            <w:vAlign w:val="center"/>
          </w:tcPr>
          <w:p>
            <w:pPr>
              <w:pStyle w:val="308"/>
              <w:rPr>
                <w:rFonts w:ascii="Times New Roman" w:eastAsia="宋体"/>
                <w:b/>
                <w:color w:val="auto"/>
                <w:szCs w:val="21"/>
                <w:u w:val="single"/>
                <w:lang w:val="zh-CN"/>
              </w:rPr>
            </w:pPr>
            <w:r>
              <w:rPr>
                <w:rFonts w:ascii="Times New Roman" w:eastAsia="宋体"/>
                <w:b/>
                <w:color w:val="auto"/>
                <w:szCs w:val="21"/>
                <w:u w:val="single"/>
                <w:lang w:val="zh-CN"/>
              </w:rPr>
              <w:t>污染防治区类别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7" w:type="dxa"/>
            <w:tcBorders>
              <w:tl2br w:val="nil"/>
              <w:tr2bl w:val="nil"/>
            </w:tcBorders>
            <w:vAlign w:val="center"/>
          </w:tcPr>
          <w:p>
            <w:pPr>
              <w:pStyle w:val="308"/>
              <w:rPr>
                <w:rFonts w:ascii="Times New Roman" w:eastAsia="宋体"/>
                <w:color w:val="auto"/>
                <w:szCs w:val="21"/>
                <w:u w:val="single"/>
                <w:lang w:val="zh-CN"/>
              </w:rPr>
            </w:pPr>
            <w:r>
              <w:rPr>
                <w:rFonts w:ascii="Times New Roman" w:eastAsia="宋体"/>
                <w:color w:val="auto"/>
                <w:szCs w:val="21"/>
                <w:u w:val="single"/>
                <w:lang w:val="zh-CN"/>
              </w:rPr>
              <w:t>1</w:t>
            </w:r>
          </w:p>
        </w:tc>
        <w:tc>
          <w:tcPr>
            <w:tcW w:w="5570" w:type="dxa"/>
            <w:tcBorders>
              <w:tl2br w:val="nil"/>
              <w:tr2bl w:val="nil"/>
            </w:tcBorders>
            <w:vAlign w:val="center"/>
          </w:tcPr>
          <w:p>
            <w:pPr>
              <w:pStyle w:val="308"/>
              <w:rPr>
                <w:rFonts w:ascii="Times New Roman" w:eastAsia="宋体"/>
                <w:color w:val="auto"/>
                <w:szCs w:val="21"/>
                <w:u w:val="single"/>
              </w:rPr>
            </w:pPr>
            <w:r>
              <w:rPr>
                <w:rFonts w:hint="eastAsia" w:ascii="Times New Roman" w:eastAsia="宋体"/>
                <w:color w:val="auto"/>
                <w:szCs w:val="21"/>
                <w:u w:val="single"/>
              </w:rPr>
              <w:t>饲料间</w:t>
            </w:r>
            <w:r>
              <w:rPr>
                <w:rFonts w:ascii="Times New Roman" w:eastAsia="宋体"/>
                <w:color w:val="auto"/>
                <w:szCs w:val="21"/>
                <w:u w:val="single"/>
              </w:rPr>
              <w:t>、</w:t>
            </w:r>
            <w:r>
              <w:rPr>
                <w:rFonts w:hint="eastAsia" w:ascii="Times New Roman" w:eastAsia="宋体"/>
                <w:color w:val="auto"/>
                <w:szCs w:val="21"/>
                <w:u w:val="single"/>
              </w:rPr>
              <w:t>锅炉房</w:t>
            </w:r>
          </w:p>
        </w:tc>
        <w:tc>
          <w:tcPr>
            <w:tcW w:w="2059" w:type="dxa"/>
            <w:tcBorders>
              <w:tl2br w:val="nil"/>
              <w:tr2bl w:val="nil"/>
            </w:tcBorders>
            <w:vAlign w:val="center"/>
          </w:tcPr>
          <w:p>
            <w:pPr>
              <w:pStyle w:val="308"/>
              <w:rPr>
                <w:rFonts w:ascii="Times New Roman" w:eastAsia="宋体"/>
                <w:color w:val="auto"/>
                <w:szCs w:val="21"/>
                <w:u w:val="single"/>
                <w:lang w:val="zh-CN"/>
              </w:rPr>
            </w:pPr>
            <w:r>
              <w:rPr>
                <w:rFonts w:ascii="Times New Roman" w:eastAsia="宋体"/>
                <w:color w:val="auto"/>
                <w:szCs w:val="21"/>
                <w:u w:val="single"/>
                <w:lang w:val="zh-CN"/>
              </w:rPr>
              <w:t>一般</w:t>
            </w:r>
            <w:r>
              <w:rPr>
                <w:rFonts w:hint="eastAsia" w:ascii="Times New Roman" w:eastAsia="宋体"/>
                <w:color w:val="auto"/>
                <w:szCs w:val="21"/>
                <w:u w:val="single"/>
                <w:lang w:val="zh-CN"/>
              </w:rPr>
              <w:t>防渗区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7" w:type="dxa"/>
            <w:tcBorders>
              <w:tl2br w:val="nil"/>
              <w:tr2bl w:val="nil"/>
            </w:tcBorders>
            <w:vAlign w:val="center"/>
          </w:tcPr>
          <w:p>
            <w:pPr>
              <w:pStyle w:val="308"/>
              <w:rPr>
                <w:rFonts w:ascii="Times New Roman" w:eastAsia="宋体"/>
                <w:color w:val="auto"/>
                <w:szCs w:val="21"/>
                <w:u w:val="single"/>
              </w:rPr>
            </w:pPr>
            <w:r>
              <w:rPr>
                <w:rFonts w:ascii="Times New Roman" w:eastAsia="宋体"/>
                <w:color w:val="auto"/>
                <w:szCs w:val="21"/>
                <w:u w:val="single"/>
              </w:rPr>
              <w:t>2</w:t>
            </w:r>
          </w:p>
        </w:tc>
        <w:tc>
          <w:tcPr>
            <w:tcW w:w="5570" w:type="dxa"/>
            <w:tcBorders>
              <w:tl2br w:val="nil"/>
              <w:tr2bl w:val="nil"/>
            </w:tcBorders>
            <w:vAlign w:val="center"/>
          </w:tcPr>
          <w:p>
            <w:pPr>
              <w:pStyle w:val="308"/>
              <w:rPr>
                <w:rFonts w:ascii="Times New Roman" w:eastAsia="宋体"/>
                <w:color w:val="auto"/>
                <w:szCs w:val="21"/>
                <w:u w:val="single"/>
                <w:lang w:val="zh-CN"/>
              </w:rPr>
            </w:pPr>
            <w:r>
              <w:rPr>
                <w:rFonts w:hint="eastAsia" w:ascii="Times New Roman" w:eastAsia="宋体"/>
                <w:color w:val="auto"/>
                <w:szCs w:val="21"/>
                <w:u w:val="single"/>
              </w:rPr>
              <w:t>污水沉淀池</w:t>
            </w:r>
            <w:r>
              <w:rPr>
                <w:rFonts w:hint="eastAsia" w:ascii="Times New Roman" w:eastAsia="宋体"/>
                <w:color w:val="auto"/>
                <w:szCs w:val="21"/>
                <w:u w:val="single"/>
                <w:lang w:eastAsia="zh-CN"/>
              </w:rPr>
              <w:t>、化粪池</w:t>
            </w:r>
            <w:r>
              <w:rPr>
                <w:rFonts w:ascii="Times New Roman" w:eastAsia="宋体"/>
                <w:color w:val="auto"/>
                <w:szCs w:val="21"/>
                <w:u w:val="single"/>
              </w:rPr>
              <w:t>、鸡舍及</w:t>
            </w:r>
            <w:r>
              <w:rPr>
                <w:rFonts w:hint="eastAsia" w:ascii="Times New Roman" w:eastAsia="宋体"/>
                <w:color w:val="auto"/>
                <w:szCs w:val="21"/>
                <w:u w:val="single"/>
              </w:rPr>
              <w:t>危废</w:t>
            </w:r>
            <w:r>
              <w:rPr>
                <w:rFonts w:ascii="Times New Roman" w:eastAsia="宋体"/>
                <w:color w:val="auto"/>
                <w:szCs w:val="21"/>
                <w:u w:val="single"/>
              </w:rPr>
              <w:t>暂存间</w:t>
            </w:r>
          </w:p>
        </w:tc>
        <w:tc>
          <w:tcPr>
            <w:tcW w:w="2059" w:type="dxa"/>
            <w:tcBorders>
              <w:tl2br w:val="nil"/>
              <w:tr2bl w:val="nil"/>
            </w:tcBorders>
            <w:vAlign w:val="center"/>
          </w:tcPr>
          <w:p>
            <w:pPr>
              <w:pStyle w:val="308"/>
              <w:rPr>
                <w:rFonts w:ascii="Times New Roman" w:eastAsia="宋体"/>
                <w:color w:val="auto"/>
                <w:szCs w:val="21"/>
                <w:u w:val="single"/>
                <w:lang w:val="zh-CN"/>
              </w:rPr>
            </w:pPr>
            <w:r>
              <w:rPr>
                <w:rFonts w:ascii="Times New Roman" w:eastAsia="宋体"/>
                <w:color w:val="auto"/>
                <w:szCs w:val="21"/>
                <w:u w:val="single"/>
                <w:lang w:val="zh-CN"/>
              </w:rPr>
              <w:t>重点</w:t>
            </w:r>
            <w:r>
              <w:rPr>
                <w:rFonts w:hint="eastAsia" w:ascii="Times New Roman" w:eastAsia="宋体"/>
                <w:color w:val="auto"/>
                <w:szCs w:val="21"/>
                <w:u w:val="single"/>
                <w:lang w:val="zh-CN"/>
              </w:rPr>
              <w:t>防渗区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7" w:type="dxa"/>
            <w:tcBorders>
              <w:tl2br w:val="nil"/>
              <w:tr2bl w:val="nil"/>
            </w:tcBorders>
            <w:vAlign w:val="center"/>
          </w:tcPr>
          <w:p>
            <w:pPr>
              <w:pStyle w:val="308"/>
              <w:rPr>
                <w:rFonts w:ascii="Times New Roman" w:eastAsia="宋体"/>
                <w:color w:val="auto"/>
                <w:szCs w:val="21"/>
                <w:u w:val="single"/>
              </w:rPr>
            </w:pPr>
            <w:r>
              <w:rPr>
                <w:rFonts w:ascii="Times New Roman" w:eastAsia="宋体"/>
                <w:color w:val="auto"/>
                <w:szCs w:val="21"/>
                <w:u w:val="single"/>
              </w:rPr>
              <w:t>3</w:t>
            </w:r>
          </w:p>
        </w:tc>
        <w:tc>
          <w:tcPr>
            <w:tcW w:w="5570" w:type="dxa"/>
            <w:tcBorders>
              <w:tl2br w:val="nil"/>
              <w:tr2bl w:val="nil"/>
            </w:tcBorders>
            <w:vAlign w:val="center"/>
          </w:tcPr>
          <w:p>
            <w:pPr>
              <w:pStyle w:val="308"/>
              <w:rPr>
                <w:rFonts w:ascii="Times New Roman" w:eastAsia="宋体"/>
                <w:color w:val="auto"/>
                <w:szCs w:val="21"/>
                <w:u w:val="single"/>
              </w:rPr>
            </w:pPr>
            <w:r>
              <w:rPr>
                <w:rFonts w:ascii="Times New Roman" w:eastAsia="宋体"/>
                <w:color w:val="auto"/>
                <w:szCs w:val="21"/>
                <w:u w:val="single"/>
              </w:rPr>
              <w:t>公用工程区、办公区及绿化区域等</w:t>
            </w:r>
          </w:p>
        </w:tc>
        <w:tc>
          <w:tcPr>
            <w:tcW w:w="2059" w:type="dxa"/>
            <w:tcBorders>
              <w:tl2br w:val="nil"/>
              <w:tr2bl w:val="nil"/>
            </w:tcBorders>
            <w:vAlign w:val="center"/>
          </w:tcPr>
          <w:p>
            <w:pPr>
              <w:pStyle w:val="308"/>
              <w:rPr>
                <w:rFonts w:ascii="Times New Roman" w:eastAsia="宋体"/>
                <w:color w:val="auto"/>
                <w:szCs w:val="21"/>
                <w:u w:val="single"/>
                <w:lang w:val="zh-CN"/>
              </w:rPr>
            </w:pPr>
            <w:r>
              <w:rPr>
                <w:rFonts w:ascii="Times New Roman" w:eastAsia="宋体"/>
                <w:color w:val="auto"/>
                <w:szCs w:val="21"/>
                <w:u w:val="single"/>
                <w:lang w:val="zh-CN"/>
              </w:rPr>
              <w:t>简单防渗区</w:t>
            </w:r>
          </w:p>
        </w:tc>
      </w:tr>
    </w:tbl>
    <w:p>
      <w:pPr>
        <w:pStyle w:val="430"/>
        <w:snapToGrid w:val="0"/>
        <w:spacing w:line="360" w:lineRule="auto"/>
        <w:outlineLvl w:val="3"/>
        <w:rPr>
          <w:rFonts w:ascii="Times New Roman" w:eastAsia="宋体"/>
          <w:color w:val="auto"/>
          <w:sz w:val="24"/>
        </w:rPr>
      </w:pPr>
      <w:bookmarkStart w:id="518" w:name="_Toc16709"/>
      <w:r>
        <w:rPr>
          <w:rFonts w:hint="eastAsia" w:ascii="Times New Roman" w:eastAsia="宋体"/>
          <w:color w:val="auto"/>
          <w:sz w:val="24"/>
        </w:rPr>
        <w:t>6.2.3.3</w:t>
      </w:r>
      <w:r>
        <w:rPr>
          <w:rFonts w:ascii="Times New Roman" w:eastAsia="宋体"/>
          <w:color w:val="auto"/>
          <w:sz w:val="24"/>
        </w:rPr>
        <w:t>地下水污染监控</w:t>
      </w:r>
    </w:p>
    <w:p>
      <w:pPr>
        <w:spacing w:line="360" w:lineRule="auto"/>
        <w:ind w:firstLine="482"/>
        <w:rPr>
          <w:rFonts w:ascii="Times New Roman" w:eastAsia="宋体"/>
          <w:color w:val="auto"/>
          <w:lang w:val="zh-CN"/>
        </w:rPr>
      </w:pPr>
      <w:r>
        <w:rPr>
          <w:rFonts w:ascii="Times New Roman" w:eastAsia="宋体"/>
          <w:color w:val="auto"/>
          <w:lang w:val="zh-CN"/>
        </w:rPr>
        <w:t>（1）监控井</w:t>
      </w:r>
    </w:p>
    <w:p>
      <w:pPr>
        <w:spacing w:line="360" w:lineRule="auto"/>
        <w:ind w:firstLine="496" w:firstLineChars="200"/>
        <w:rPr>
          <w:rFonts w:ascii="Times New Roman" w:eastAsia="宋体"/>
          <w:color w:val="auto"/>
          <w:kern w:val="2"/>
          <w:szCs w:val="24"/>
          <w:u w:val="single"/>
        </w:rPr>
      </w:pPr>
      <w:r>
        <w:rPr>
          <w:rFonts w:ascii="Times New Roman" w:eastAsia="宋体"/>
          <w:color w:val="auto"/>
          <w:kern w:val="2"/>
          <w:szCs w:val="24"/>
          <w:u w:val="single"/>
        </w:rPr>
        <w:t>为了及时准确的掌握项目区内及下游地区地下水环境质量状况，以掌握厂区及周围地下水水质的动态变化，为及时应对地下水污染提供依据，确保建设项目的生产运行不会影响周围地下水环境，三级评价的建设项目，一般跟踪监测点数量不少于 1 个，因此在厂区下游设置一口长期观测井对地下水水质进行监测，具体监测方案如下：</w:t>
      </w:r>
    </w:p>
    <w:p>
      <w:pPr>
        <w:spacing w:line="360" w:lineRule="auto"/>
        <w:ind w:firstLine="496" w:firstLineChars="200"/>
        <w:rPr>
          <w:rFonts w:ascii="Times New Roman" w:eastAsia="宋体"/>
          <w:color w:val="auto"/>
          <w:kern w:val="2"/>
          <w:szCs w:val="24"/>
          <w:u w:val="single"/>
        </w:rPr>
      </w:pPr>
      <w:r>
        <w:rPr>
          <w:rFonts w:ascii="Times New Roman" w:eastAsia="宋体"/>
          <w:color w:val="auto"/>
          <w:kern w:val="2"/>
          <w:szCs w:val="24"/>
          <w:u w:val="single"/>
        </w:rPr>
        <w:t>①监测点布设：根据厂区周围地下水流向，在</w:t>
      </w:r>
      <w:r>
        <w:rPr>
          <w:rFonts w:hint="eastAsia" w:ascii="Times New Roman" w:eastAsia="宋体"/>
          <w:color w:val="auto"/>
          <w:kern w:val="2"/>
          <w:szCs w:val="24"/>
          <w:u w:val="single"/>
          <w:lang w:val="en-US" w:eastAsia="zh-CN"/>
        </w:rPr>
        <w:t>场区</w:t>
      </w:r>
      <w:r>
        <w:rPr>
          <w:rFonts w:hint="eastAsia" w:ascii="Times New Roman" w:eastAsia="宋体"/>
          <w:color w:val="auto"/>
          <w:kern w:val="2"/>
          <w:szCs w:val="24"/>
          <w:u w:val="single"/>
        </w:rPr>
        <w:t>污水沉淀池</w:t>
      </w:r>
      <w:r>
        <w:rPr>
          <w:rFonts w:ascii="Times New Roman" w:eastAsia="宋体"/>
          <w:color w:val="auto"/>
          <w:kern w:val="2"/>
          <w:szCs w:val="24"/>
          <w:u w:val="single"/>
        </w:rPr>
        <w:t>西</w:t>
      </w:r>
      <w:r>
        <w:rPr>
          <w:rFonts w:hint="eastAsia" w:ascii="Times New Roman" w:eastAsia="宋体"/>
          <w:color w:val="auto"/>
          <w:kern w:val="2"/>
          <w:szCs w:val="24"/>
          <w:u w:val="single"/>
          <w:lang w:val="en-US" w:eastAsia="zh-CN"/>
        </w:rPr>
        <w:t>北约100m处</w:t>
      </w:r>
      <w:r>
        <w:rPr>
          <w:rFonts w:ascii="Times New Roman" w:eastAsia="宋体"/>
          <w:color w:val="auto"/>
          <w:kern w:val="2"/>
          <w:szCs w:val="24"/>
          <w:u w:val="single"/>
        </w:rPr>
        <w:t>设置一个地下水监控井。</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②监测项目：色度、pH值、总硬度、高锰酸盐指数、硝酸盐、亚硝酸盐、氨氮、总大肠菌群。</w:t>
      </w:r>
    </w:p>
    <w:p>
      <w:pPr>
        <w:spacing w:line="360" w:lineRule="auto"/>
        <w:ind w:firstLine="496" w:firstLineChars="200"/>
        <w:rPr>
          <w:rFonts w:ascii="Times New Roman" w:eastAsia="宋体"/>
          <w:color w:val="auto"/>
          <w:szCs w:val="22"/>
        </w:rPr>
      </w:pPr>
      <w:r>
        <w:rPr>
          <w:rFonts w:ascii="Times New Roman" w:eastAsia="宋体"/>
          <w:color w:val="auto"/>
          <w:szCs w:val="22"/>
        </w:rPr>
        <w:t>③监测频率监测频率：一年一次。</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6.2.3.4应急响应</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为了应对非正常情况下可能会发生污染地下水的事故，应该制定地下水风险事故应急响应预案，明确风险事故状态下应采取的封闭、截流等措施，以防止受污染的地下水扩散，并对受污染的地下水进行治理。</w:t>
      </w:r>
    </w:p>
    <w:p>
      <w:pPr>
        <w:pStyle w:val="430"/>
        <w:snapToGrid w:val="0"/>
        <w:spacing w:line="360" w:lineRule="auto"/>
        <w:outlineLvl w:val="3"/>
        <w:rPr>
          <w:rFonts w:ascii="Times New Roman" w:eastAsia="宋体"/>
          <w:color w:val="auto"/>
          <w:sz w:val="24"/>
        </w:rPr>
      </w:pPr>
      <w:bookmarkStart w:id="519" w:name="_Toc2578"/>
      <w:r>
        <w:rPr>
          <w:rFonts w:hint="eastAsia" w:ascii="Times New Roman" w:eastAsia="宋体"/>
          <w:color w:val="auto"/>
          <w:sz w:val="24"/>
        </w:rPr>
        <w:t>6.2.3.5</w:t>
      </w:r>
      <w:r>
        <w:rPr>
          <w:rFonts w:ascii="Times New Roman" w:eastAsia="宋体"/>
          <w:color w:val="auto"/>
          <w:sz w:val="24"/>
        </w:rPr>
        <w:t>小结</w:t>
      </w:r>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采取上述治理措施后，本项目防渗措施基本满足《环境影响评价技术导则地下水环境》（HJ610-2016）中防渗技术要求，可从污染源头和途径上减少因废水泄漏渗入地下水，不会对地下水环境造成明显影响，措施可行。</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6</w:t>
      </w:r>
      <w:r>
        <w:rPr>
          <w:rFonts w:ascii="Times New Roman" w:eastAsia="宋体"/>
          <w:b/>
          <w:bCs/>
          <w:color w:val="auto"/>
          <w:kern w:val="2"/>
          <w:sz w:val="24"/>
        </w:rPr>
        <w:t>.</w:t>
      </w:r>
      <w:r>
        <w:rPr>
          <w:rFonts w:hint="eastAsia" w:ascii="Times New Roman" w:eastAsia="宋体"/>
          <w:b/>
          <w:bCs/>
          <w:color w:val="auto"/>
          <w:kern w:val="2"/>
          <w:sz w:val="24"/>
        </w:rPr>
        <w:t>2.</w:t>
      </w:r>
      <w:r>
        <w:rPr>
          <w:rFonts w:ascii="Times New Roman" w:eastAsia="宋体"/>
          <w:b/>
          <w:bCs/>
          <w:color w:val="auto"/>
          <w:kern w:val="2"/>
          <w:sz w:val="24"/>
        </w:rPr>
        <w:t>4噪声防治措施及其可行性论证</w:t>
      </w:r>
      <w:bookmarkEnd w:id="518"/>
      <w:bookmarkEnd w:id="519"/>
    </w:p>
    <w:p>
      <w:pPr>
        <w:pStyle w:val="150"/>
        <w:ind w:firstLine="496" w:firstLineChars="200"/>
        <w:rPr>
          <w:rFonts w:ascii="Times New Roman" w:eastAsia="宋体"/>
          <w:color w:val="auto"/>
        </w:rPr>
      </w:pPr>
      <w:r>
        <w:rPr>
          <w:rFonts w:ascii="Times New Roman" w:eastAsia="宋体"/>
          <w:color w:val="auto"/>
        </w:rPr>
        <w:t>本项目为肉鸡养殖项目，厂内无屠宰以及其他加工工序，生产过程中没有大的噪声源强，项目投产后噪声主要来源于风机、</w:t>
      </w:r>
      <w:r>
        <w:rPr>
          <w:rFonts w:hint="eastAsia" w:ascii="Times New Roman" w:eastAsia="宋体"/>
          <w:color w:val="auto"/>
          <w:lang w:val="en-US" w:eastAsia="zh-CN"/>
        </w:rPr>
        <w:t>泵、</w:t>
      </w:r>
      <w:r>
        <w:rPr>
          <w:rFonts w:ascii="Times New Roman" w:eastAsia="宋体"/>
          <w:color w:val="auto"/>
        </w:rPr>
        <w:t>鸡叫声等，噪声源强在60~85dB（A）之间。为了减轻各类设备产生的噪声对外环境的影响，根据各类噪声的声源特征，提出以下噪声防治措施：</w:t>
      </w:r>
    </w:p>
    <w:p>
      <w:pPr>
        <w:pStyle w:val="150"/>
        <w:ind w:firstLine="496" w:firstLineChars="200"/>
        <w:rPr>
          <w:rFonts w:ascii="Times New Roman" w:eastAsia="宋体"/>
          <w:color w:val="auto"/>
        </w:rPr>
      </w:pPr>
      <w:r>
        <w:rPr>
          <w:rFonts w:ascii="Times New Roman" w:eastAsia="宋体"/>
          <w:color w:val="auto"/>
        </w:rPr>
        <w:t>（1）建设单位应购置符合国家颁布的各类机械噪声标准的低噪声设备，以确保设备运行时能够达到工业企业车间噪声卫生标准，从而满足厂界噪声影响值。</w:t>
      </w:r>
    </w:p>
    <w:p>
      <w:pPr>
        <w:spacing w:line="360" w:lineRule="auto"/>
        <w:ind w:firstLine="482"/>
        <w:rPr>
          <w:rFonts w:ascii="Times New Roman" w:eastAsia="宋体"/>
          <w:color w:val="auto"/>
          <w:lang w:val="zh-CN"/>
        </w:rPr>
      </w:pPr>
      <w:r>
        <w:rPr>
          <w:rFonts w:ascii="Times New Roman" w:eastAsia="宋体"/>
          <w:color w:val="auto"/>
          <w:lang w:val="zh-CN"/>
        </w:rPr>
        <w:t>（</w:t>
      </w:r>
      <w:r>
        <w:rPr>
          <w:rFonts w:ascii="Times New Roman" w:eastAsia="宋体"/>
          <w:color w:val="auto"/>
        </w:rPr>
        <w:t>2</w:t>
      </w:r>
      <w:r>
        <w:rPr>
          <w:rFonts w:ascii="Times New Roman" w:eastAsia="宋体"/>
          <w:color w:val="auto"/>
          <w:lang w:val="zh-CN"/>
        </w:rPr>
        <w:t>）泵类连接处在条件运行的情况下采用软连接；</w:t>
      </w:r>
    </w:p>
    <w:p>
      <w:pPr>
        <w:pStyle w:val="150"/>
        <w:ind w:firstLine="496" w:firstLineChars="200"/>
        <w:rPr>
          <w:rFonts w:ascii="Times New Roman" w:eastAsia="宋体"/>
          <w:color w:val="auto"/>
        </w:rPr>
      </w:pPr>
      <w:r>
        <w:rPr>
          <w:rFonts w:ascii="Times New Roman" w:eastAsia="宋体"/>
          <w:color w:val="auto"/>
        </w:rPr>
        <w:t>（3）对噪声污染大的设备，须配置减振装置，安装隔声罩或消声器，设备间内采取有效的隔声材料，如使用隔声或加贴吸声材料，以阻挡噪声的向外传播。对防振垫、隔声、吸声、消声器等降噪设备应进行定期检查、维修，对不符合要求的应及时更换，防止机械噪声的升高。</w:t>
      </w:r>
    </w:p>
    <w:p>
      <w:pPr>
        <w:pStyle w:val="150"/>
        <w:ind w:firstLine="496" w:firstLineChars="200"/>
        <w:rPr>
          <w:rFonts w:ascii="Times New Roman" w:eastAsia="宋体"/>
          <w:color w:val="auto"/>
        </w:rPr>
      </w:pPr>
      <w:r>
        <w:rPr>
          <w:rFonts w:ascii="Times New Roman" w:eastAsia="宋体"/>
          <w:color w:val="auto"/>
        </w:rPr>
        <w:t>（4）</w:t>
      </w:r>
      <w:r>
        <w:rPr>
          <w:rFonts w:hint="eastAsia" w:ascii="Times New Roman" w:eastAsia="宋体"/>
          <w:color w:val="auto"/>
        </w:rPr>
        <w:t>场区</w:t>
      </w:r>
      <w:r>
        <w:rPr>
          <w:rFonts w:ascii="Times New Roman" w:eastAsia="宋体"/>
          <w:color w:val="auto"/>
        </w:rPr>
        <w:t>平面布置要优化，合理布局，将高噪声设备尽量布置在远离厂界处，通过距离衰减减轻噪声源对厂界噪声的影响。噪声设备布置时尽量远离行政办公区，设置隔音机房；操作间做隔音处理，</w:t>
      </w:r>
      <w:r>
        <w:rPr>
          <w:rFonts w:hint="eastAsia" w:ascii="Times New Roman" w:eastAsia="宋体"/>
          <w:color w:val="auto"/>
        </w:rPr>
        <w:t>场区</w:t>
      </w:r>
      <w:r>
        <w:rPr>
          <w:rFonts w:ascii="Times New Roman" w:eastAsia="宋体"/>
          <w:color w:val="auto"/>
        </w:rPr>
        <w:t>周围种植降噪植物等。</w:t>
      </w:r>
    </w:p>
    <w:p>
      <w:pPr>
        <w:pStyle w:val="150"/>
        <w:ind w:firstLine="496" w:firstLineChars="200"/>
        <w:rPr>
          <w:rFonts w:ascii="Times New Roman" w:eastAsia="宋体"/>
          <w:color w:val="auto"/>
        </w:rPr>
      </w:pPr>
      <w:r>
        <w:rPr>
          <w:rFonts w:hint="eastAsia" w:ascii="Times New Roman" w:eastAsia="宋体"/>
          <w:color w:val="auto"/>
        </w:rPr>
        <w:t>在满足工艺设计的前提下，</w:t>
      </w:r>
      <w:r>
        <w:rPr>
          <w:rFonts w:ascii="Times New Roman" w:eastAsia="宋体"/>
          <w:color w:val="auto"/>
        </w:rPr>
        <w:t>采取以上措施后，</w:t>
      </w:r>
      <w:r>
        <w:rPr>
          <w:rFonts w:hint="eastAsia" w:ascii="Times New Roman" w:eastAsia="宋体"/>
          <w:color w:val="auto"/>
        </w:rPr>
        <w:t>各设备噪声级大大降低。</w:t>
      </w:r>
      <w:r>
        <w:rPr>
          <w:rFonts w:ascii="Times New Roman" w:eastAsia="宋体"/>
          <w:color w:val="auto"/>
        </w:rPr>
        <w:t>厂界噪声可以满足《工业企业厂界环境噪声排放标准》（GB12348 -2008）中</w:t>
      </w:r>
      <w:r>
        <w:rPr>
          <w:rFonts w:hint="eastAsia" w:ascii="Times New Roman" w:eastAsia="宋体"/>
          <w:color w:val="auto"/>
        </w:rPr>
        <w:t>2</w:t>
      </w:r>
      <w:r>
        <w:rPr>
          <w:rFonts w:ascii="Times New Roman" w:eastAsia="宋体"/>
          <w:color w:val="auto"/>
        </w:rPr>
        <w:t>类标准要求，且所采用的噪声污染防治措施在国内外均已普遍应用，技术上成熟可靠、效果显著，且在项目投资承受能力范围内，因此，本项目采取的噪声治理措施是可行的。</w:t>
      </w:r>
    </w:p>
    <w:p>
      <w:pPr>
        <w:pStyle w:val="150"/>
        <w:ind w:firstLine="496" w:firstLineChars="200"/>
        <w:rPr>
          <w:rFonts w:ascii="Times New Roman" w:eastAsia="宋体"/>
          <w:color w:val="auto"/>
        </w:rPr>
      </w:pPr>
      <w:r>
        <w:rPr>
          <w:rFonts w:ascii="Times New Roman" w:eastAsia="宋体"/>
          <w:color w:val="auto"/>
        </w:rPr>
        <w:t>为了避免运输车辆噪声对周边居民的影响，在运输路线选取上，应尽量避免穿越村庄或尽量减少穿越村庄，同时在穿越村庄时，应限制车速，禁止鸣笛，以降低运输车辆噪声对居民的影响。</w:t>
      </w:r>
    </w:p>
    <w:p>
      <w:pPr>
        <w:pStyle w:val="4"/>
        <w:spacing w:before="0" w:after="0" w:line="360" w:lineRule="auto"/>
        <w:rPr>
          <w:rFonts w:ascii="Times New Roman" w:eastAsia="宋体"/>
          <w:b/>
          <w:bCs/>
          <w:color w:val="auto"/>
          <w:kern w:val="2"/>
          <w:sz w:val="24"/>
        </w:rPr>
      </w:pPr>
      <w:bookmarkStart w:id="520" w:name="_Toc450829402"/>
      <w:bookmarkStart w:id="521" w:name="_Toc457479443"/>
      <w:bookmarkStart w:id="522" w:name="_Toc15355"/>
      <w:bookmarkStart w:id="523" w:name="_Toc10347"/>
      <w:r>
        <w:rPr>
          <w:rFonts w:hint="eastAsia" w:ascii="Times New Roman" w:eastAsia="宋体"/>
          <w:b/>
          <w:bCs/>
          <w:color w:val="auto"/>
          <w:kern w:val="2"/>
          <w:sz w:val="24"/>
        </w:rPr>
        <w:t>6</w:t>
      </w:r>
      <w:r>
        <w:rPr>
          <w:rFonts w:ascii="Times New Roman" w:eastAsia="宋体"/>
          <w:b/>
          <w:bCs/>
          <w:color w:val="auto"/>
          <w:kern w:val="2"/>
          <w:sz w:val="24"/>
        </w:rPr>
        <w:t>.</w:t>
      </w:r>
      <w:r>
        <w:rPr>
          <w:rFonts w:hint="eastAsia" w:ascii="Times New Roman" w:eastAsia="宋体"/>
          <w:b/>
          <w:bCs/>
          <w:color w:val="auto"/>
          <w:kern w:val="2"/>
          <w:sz w:val="24"/>
        </w:rPr>
        <w:t>2.</w:t>
      </w:r>
      <w:r>
        <w:rPr>
          <w:rFonts w:ascii="Times New Roman" w:eastAsia="宋体"/>
          <w:b/>
          <w:bCs/>
          <w:color w:val="auto"/>
          <w:kern w:val="2"/>
          <w:sz w:val="24"/>
        </w:rPr>
        <w:t>5固体废物治理措施</w:t>
      </w:r>
      <w:bookmarkEnd w:id="520"/>
      <w:bookmarkEnd w:id="521"/>
      <w:r>
        <w:rPr>
          <w:rFonts w:ascii="Times New Roman" w:eastAsia="宋体"/>
          <w:b/>
          <w:bCs/>
          <w:color w:val="auto"/>
          <w:kern w:val="2"/>
          <w:sz w:val="24"/>
        </w:rPr>
        <w:t>及其可行性论证</w:t>
      </w:r>
      <w:bookmarkEnd w:id="522"/>
      <w:bookmarkEnd w:id="523"/>
    </w:p>
    <w:p>
      <w:pPr>
        <w:kinsoku w:val="0"/>
        <w:autoSpaceDE w:val="0"/>
        <w:autoSpaceDN w:val="0"/>
        <w:adjustRightInd w:val="0"/>
        <w:snapToGrid w:val="0"/>
        <w:spacing w:before="79" w:line="369" w:lineRule="auto"/>
        <w:ind w:left="123" w:right="189" w:firstLine="479"/>
        <w:textAlignment w:val="baseline"/>
        <w:rPr>
          <w:rFonts w:hAnsi="宋体" w:eastAsia="宋体" w:cs="宋体"/>
          <w:snapToGrid w:val="0"/>
          <w:color w:val="auto"/>
          <w:szCs w:val="24"/>
        </w:rPr>
      </w:pPr>
      <w:bookmarkStart w:id="524" w:name="_Toc27604"/>
      <w:bookmarkStart w:id="525" w:name="_Toc397698098"/>
      <w:r>
        <w:rPr>
          <w:rFonts w:hAnsi="宋体" w:eastAsia="宋体" w:cs="宋体"/>
          <w:snapToGrid w:val="0"/>
          <w:color w:val="auto"/>
          <w:szCs w:val="24"/>
        </w:rPr>
        <w:t>根据工程分析结果，项目固废包括</w:t>
      </w:r>
      <w:r>
        <w:rPr>
          <w:rFonts w:hint="eastAsia" w:hAnsi="宋体" w:eastAsia="宋体" w:cs="宋体"/>
          <w:snapToGrid w:val="0"/>
          <w:color w:val="auto"/>
          <w:szCs w:val="24"/>
          <w:lang w:val="en-US" w:eastAsia="zh-CN"/>
        </w:rPr>
        <w:t>鸡</w:t>
      </w:r>
      <w:r>
        <w:rPr>
          <w:rFonts w:ascii="Times New Roman" w:eastAsia="宋体"/>
          <w:color w:val="auto"/>
        </w:rPr>
        <w:t>粪</w:t>
      </w:r>
      <w:r>
        <w:rPr>
          <w:rFonts w:hint="eastAsia" w:ascii="Times New Roman" w:eastAsia="宋体"/>
          <w:color w:val="auto"/>
        </w:rPr>
        <w:t>、饲料残渣、</w:t>
      </w:r>
      <w:r>
        <w:rPr>
          <w:rFonts w:hAnsi="宋体" w:eastAsia="宋体" w:cs="宋体"/>
          <w:snapToGrid w:val="0"/>
          <w:color w:val="auto"/>
          <w:spacing w:val="-1"/>
          <w:szCs w:val="24"/>
        </w:rPr>
        <w:t>落地</w:t>
      </w:r>
      <w:r>
        <w:rPr>
          <w:rFonts w:hint="eastAsia" w:ascii="Times New Roman" w:eastAsia="宋体"/>
          <w:color w:val="auto"/>
        </w:rPr>
        <w:t>羽毛</w:t>
      </w:r>
      <w:r>
        <w:rPr>
          <w:rFonts w:ascii="Times New Roman" w:eastAsia="宋体"/>
          <w:color w:val="auto"/>
        </w:rPr>
        <w:t>、病死鸡、</w:t>
      </w:r>
      <w:r>
        <w:rPr>
          <w:rFonts w:hint="eastAsia" w:ascii="Times New Roman" w:eastAsia="宋体"/>
          <w:color w:val="auto"/>
        </w:rPr>
        <w:t>污泥、</w:t>
      </w:r>
      <w:r>
        <w:rPr>
          <w:rFonts w:ascii="Times New Roman" w:eastAsia="宋体"/>
          <w:color w:val="auto"/>
        </w:rPr>
        <w:t>职工生活垃圾、</w:t>
      </w:r>
      <w:r>
        <w:rPr>
          <w:rFonts w:hint="eastAsia" w:ascii="Times New Roman" w:eastAsia="宋体"/>
          <w:color w:val="auto"/>
        </w:rPr>
        <w:t>锅炉灰渣、物料废包装物、</w:t>
      </w:r>
      <w:r>
        <w:rPr>
          <w:rFonts w:hint="eastAsia" w:ascii="Times New Roman" w:eastAsia="宋体"/>
          <w:color w:val="auto"/>
          <w:lang w:val="en-US" w:eastAsia="zh-CN"/>
        </w:rPr>
        <w:t>废布袋</w:t>
      </w:r>
      <w:r>
        <w:rPr>
          <w:rFonts w:hint="eastAsia" w:ascii="Times New Roman" w:eastAsia="宋体"/>
          <w:color w:val="auto"/>
        </w:rPr>
        <w:t>及医疗废物</w:t>
      </w:r>
      <w:r>
        <w:rPr>
          <w:rFonts w:ascii="Times New Roman" w:eastAsia="宋体"/>
          <w:color w:val="auto"/>
        </w:rPr>
        <w:t>等</w:t>
      </w:r>
      <w:r>
        <w:rPr>
          <w:rFonts w:hint="eastAsia" w:hAnsi="宋体" w:eastAsia="宋体" w:cs="宋体"/>
          <w:snapToGrid w:val="0"/>
          <w:color w:val="auto"/>
          <w:spacing w:val="-1"/>
          <w:szCs w:val="24"/>
        </w:rPr>
        <w:t>。</w:t>
      </w:r>
    </w:p>
    <w:p>
      <w:pPr>
        <w:spacing w:line="360" w:lineRule="auto"/>
        <w:ind w:firstLine="482"/>
        <w:rPr>
          <w:rFonts w:ascii="Times New Roman" w:eastAsia="宋体"/>
          <w:color w:val="auto"/>
        </w:rPr>
      </w:pPr>
      <w:bookmarkStart w:id="526" w:name="_Toc1934"/>
      <w:r>
        <w:rPr>
          <w:rFonts w:hint="eastAsia" w:ascii="Times New Roman" w:eastAsia="宋体"/>
          <w:color w:val="auto"/>
        </w:rPr>
        <w:t>1、</w:t>
      </w:r>
      <w:r>
        <w:rPr>
          <w:rFonts w:ascii="Times New Roman" w:eastAsia="宋体"/>
          <w:color w:val="auto"/>
        </w:rPr>
        <w:t>鸡粪</w:t>
      </w:r>
      <w:r>
        <w:rPr>
          <w:rFonts w:hint="eastAsia" w:ascii="Times New Roman" w:eastAsia="宋体"/>
          <w:color w:val="auto"/>
          <w:lang w:eastAsia="zh-CN"/>
        </w:rPr>
        <w:t>、</w:t>
      </w:r>
      <w:r>
        <w:rPr>
          <w:rFonts w:hAnsi="宋体" w:eastAsia="宋体" w:cs="宋体"/>
          <w:snapToGrid w:val="0"/>
          <w:color w:val="auto"/>
          <w:spacing w:val="-1"/>
          <w:szCs w:val="24"/>
        </w:rPr>
        <w:t>饲料残渣</w:t>
      </w:r>
      <w:r>
        <w:rPr>
          <w:rFonts w:hint="eastAsia" w:hAnsi="宋体" w:eastAsia="宋体" w:cs="宋体"/>
          <w:snapToGrid w:val="0"/>
          <w:color w:val="auto"/>
          <w:spacing w:val="-1"/>
          <w:szCs w:val="24"/>
          <w:lang w:eastAsia="zh-CN"/>
        </w:rPr>
        <w:t>、</w:t>
      </w:r>
      <w:r>
        <w:rPr>
          <w:rFonts w:hAnsi="宋体" w:eastAsia="宋体" w:cs="宋体"/>
          <w:snapToGrid w:val="0"/>
          <w:color w:val="auto"/>
          <w:spacing w:val="-1"/>
          <w:szCs w:val="24"/>
        </w:rPr>
        <w:t>落地羽</w:t>
      </w:r>
      <w:r>
        <w:rPr>
          <w:rFonts w:hAnsi="宋体" w:eastAsia="宋体" w:cs="宋体"/>
          <w:snapToGrid w:val="0"/>
          <w:color w:val="auto"/>
          <w:szCs w:val="24"/>
        </w:rPr>
        <w:t>毛</w:t>
      </w:r>
      <w:r>
        <w:rPr>
          <w:rFonts w:hint="eastAsia" w:ascii="Times New Roman" w:eastAsia="宋体"/>
          <w:color w:val="auto"/>
        </w:rPr>
        <w:t>和污泥</w:t>
      </w:r>
      <w:bookmarkEnd w:id="526"/>
    </w:p>
    <w:p>
      <w:pPr>
        <w:spacing w:line="360" w:lineRule="auto"/>
        <w:ind w:firstLine="482"/>
        <w:rPr>
          <w:rFonts w:ascii="Times New Roman" w:eastAsia="宋体"/>
          <w:color w:val="auto"/>
        </w:rPr>
      </w:pPr>
      <w:r>
        <w:rPr>
          <w:rFonts w:ascii="Times New Roman" w:eastAsia="宋体"/>
          <w:color w:val="auto"/>
        </w:rPr>
        <w:t>本项目采用干法清粪工艺，将粪及时、单独清出，实现日产日清，鸡粪</w:t>
      </w:r>
      <w:r>
        <w:rPr>
          <w:rFonts w:hint="eastAsia" w:ascii="Times New Roman" w:eastAsia="宋体"/>
          <w:color w:val="auto"/>
          <w:lang w:val="en-US" w:eastAsia="zh-CN"/>
        </w:rPr>
        <w:t>连带</w:t>
      </w:r>
      <w:r>
        <w:rPr>
          <w:rFonts w:hAnsi="宋体" w:eastAsia="宋体" w:cs="宋体"/>
          <w:snapToGrid w:val="0"/>
          <w:color w:val="auto"/>
          <w:spacing w:val="-1"/>
          <w:szCs w:val="24"/>
        </w:rPr>
        <w:t>饲料残渣和落地羽</w:t>
      </w:r>
      <w:r>
        <w:rPr>
          <w:rFonts w:hAnsi="宋体" w:eastAsia="宋体" w:cs="宋体"/>
          <w:snapToGrid w:val="0"/>
          <w:color w:val="auto"/>
          <w:szCs w:val="24"/>
        </w:rPr>
        <w:t>毛</w:t>
      </w:r>
      <w:r>
        <w:rPr>
          <w:rFonts w:hint="eastAsia" w:hAnsi="宋体" w:eastAsia="宋体" w:cs="宋体"/>
          <w:snapToGrid w:val="0"/>
          <w:color w:val="auto"/>
          <w:szCs w:val="24"/>
          <w:lang w:eastAsia="zh-CN"/>
        </w:rPr>
        <w:t>，</w:t>
      </w:r>
      <w:r>
        <w:rPr>
          <w:rFonts w:ascii="Times New Roman" w:eastAsia="宋体"/>
          <w:color w:val="auto"/>
        </w:rPr>
        <w:t>通过自动清粪机收集</w:t>
      </w:r>
      <w:r>
        <w:rPr>
          <w:rFonts w:hint="eastAsia" w:ascii="Times New Roman" w:eastAsia="宋体"/>
          <w:color w:val="auto"/>
          <w:lang w:eastAsia="zh-CN"/>
        </w:rPr>
        <w:t>，通过传送带运输至末端打捆装袋</w:t>
      </w:r>
      <w:r>
        <w:rPr>
          <w:rFonts w:ascii="Times New Roman" w:eastAsia="宋体"/>
          <w:color w:val="auto"/>
        </w:rPr>
        <w:t>，</w:t>
      </w:r>
      <w:r>
        <w:rPr>
          <w:rFonts w:hint="eastAsia" w:ascii="Times New Roman" w:eastAsia="宋体"/>
          <w:color w:val="auto"/>
        </w:rPr>
        <w:t>暂存于</w:t>
      </w:r>
      <w:r>
        <w:rPr>
          <w:rFonts w:hint="eastAsia" w:ascii="Times New Roman" w:eastAsia="宋体"/>
          <w:color w:val="auto"/>
          <w:lang w:eastAsia="zh-CN"/>
        </w:rPr>
        <w:t>鸡舍内</w:t>
      </w:r>
      <w:r>
        <w:rPr>
          <w:rFonts w:hint="eastAsia" w:ascii="Times New Roman" w:eastAsia="宋体"/>
          <w:color w:val="auto"/>
        </w:rPr>
        <w:t>鸡粪暂</w:t>
      </w:r>
      <w:r>
        <w:rPr>
          <w:rFonts w:hint="eastAsia" w:ascii="Times New Roman" w:eastAsia="宋体"/>
          <w:color w:val="auto"/>
          <w:lang w:eastAsia="zh-CN"/>
        </w:rPr>
        <w:t>区</w:t>
      </w:r>
      <w:r>
        <w:rPr>
          <w:rFonts w:hint="eastAsia" w:ascii="Times New Roman" w:eastAsia="宋体"/>
          <w:color w:val="auto"/>
        </w:rPr>
        <w:t>，后定期外售</w:t>
      </w:r>
      <w:r>
        <w:rPr>
          <w:rFonts w:hint="eastAsia" w:ascii="Times New Roman" w:eastAsia="宋体"/>
          <w:color w:val="auto"/>
          <w:lang w:val="en-US" w:eastAsia="zh-CN"/>
        </w:rPr>
        <w:t>制肥，</w:t>
      </w:r>
      <w:r>
        <w:rPr>
          <w:rFonts w:ascii="Times New Roman" w:eastAsia="宋体"/>
          <w:color w:val="auto"/>
        </w:rPr>
        <w:t>鸡粪产生量为</w:t>
      </w:r>
      <w:r>
        <w:rPr>
          <w:rFonts w:hint="eastAsia" w:ascii="Times New Roman" w:eastAsia="宋体"/>
          <w:color w:val="auto"/>
        </w:rPr>
        <w:t>6270</w:t>
      </w:r>
      <w:r>
        <w:rPr>
          <w:rFonts w:ascii="Times New Roman" w:eastAsia="宋体"/>
          <w:color w:val="auto"/>
        </w:rPr>
        <w:t>t/a</w:t>
      </w:r>
      <w:r>
        <w:rPr>
          <w:rFonts w:hint="eastAsia" w:ascii="Times New Roman" w:eastAsia="宋体"/>
          <w:color w:val="auto"/>
        </w:rPr>
        <w:t>；沉淀池污泥</w:t>
      </w:r>
      <w:r>
        <w:rPr>
          <w:rFonts w:ascii="Times New Roman" w:eastAsia="宋体"/>
          <w:color w:val="auto"/>
        </w:rPr>
        <w:t>产生量为</w:t>
      </w:r>
      <w:r>
        <w:rPr>
          <w:rFonts w:hint="eastAsia" w:ascii="Times New Roman" w:eastAsia="宋体"/>
          <w:color w:val="auto"/>
          <w:lang w:val="zh-CN"/>
        </w:rPr>
        <w:t>1.4</w:t>
      </w:r>
      <w:r>
        <w:rPr>
          <w:rFonts w:hint="eastAsia" w:ascii="Times New Roman" w:eastAsia="宋体"/>
          <w:color w:val="auto"/>
        </w:rPr>
        <w:t>0</w:t>
      </w:r>
      <w:r>
        <w:rPr>
          <w:rFonts w:hint="eastAsia" w:ascii="Times New Roman" w:eastAsia="宋体"/>
          <w:color w:val="auto"/>
          <w:lang w:val="zh-CN"/>
        </w:rPr>
        <w:t>t/a</w:t>
      </w:r>
      <w:r>
        <w:rPr>
          <w:rFonts w:hint="eastAsia" w:ascii="Times New Roman" w:eastAsia="宋体"/>
          <w:color w:val="auto"/>
        </w:rPr>
        <w:t>，每年清掏一次，同鸡粪一并外售制肥。</w:t>
      </w:r>
    </w:p>
    <w:p>
      <w:pPr>
        <w:spacing w:line="360" w:lineRule="auto"/>
        <w:ind w:firstLine="482"/>
        <w:rPr>
          <w:rFonts w:ascii="Times New Roman" w:eastAsia="宋体"/>
          <w:color w:val="auto"/>
        </w:rPr>
      </w:pPr>
      <w:bookmarkStart w:id="527" w:name="_Toc15602"/>
      <w:bookmarkStart w:id="528" w:name="_Toc32132"/>
      <w:r>
        <w:rPr>
          <w:rFonts w:hint="eastAsia" w:ascii="Times New Roman" w:eastAsia="宋体"/>
          <w:color w:val="auto"/>
        </w:rPr>
        <w:t>2、</w:t>
      </w:r>
      <w:r>
        <w:rPr>
          <w:rFonts w:ascii="Times New Roman" w:eastAsia="宋体"/>
          <w:color w:val="auto"/>
        </w:rPr>
        <w:t>病死鸡</w:t>
      </w:r>
      <w:bookmarkEnd w:id="527"/>
      <w:bookmarkEnd w:id="528"/>
      <w:bookmarkStart w:id="529" w:name="_Toc26194"/>
    </w:p>
    <w:p>
      <w:pPr>
        <w:spacing w:line="360" w:lineRule="auto"/>
        <w:ind w:firstLine="420"/>
        <w:rPr>
          <w:rFonts w:ascii="Times New Roman" w:eastAsia="宋体"/>
          <w:color w:val="auto"/>
          <w:kern w:val="2"/>
          <w:szCs w:val="22"/>
        </w:rPr>
      </w:pPr>
      <w:r>
        <w:rPr>
          <w:rFonts w:ascii="Times New Roman" w:eastAsia="宋体"/>
          <w:color w:val="auto"/>
          <w:kern w:val="2"/>
          <w:szCs w:val="22"/>
        </w:rPr>
        <w:t>养殖场配套</w:t>
      </w:r>
      <w:r>
        <w:rPr>
          <w:rFonts w:hint="eastAsia" w:ascii="Times New Roman" w:eastAsia="宋体"/>
          <w:color w:val="auto"/>
          <w:kern w:val="2"/>
          <w:szCs w:val="22"/>
          <w:lang w:val="en-US" w:eastAsia="zh-CN"/>
        </w:rPr>
        <w:t>冷藏</w:t>
      </w:r>
      <w:r>
        <w:rPr>
          <w:rFonts w:hint="eastAsia" w:ascii="Times New Roman" w:eastAsia="宋体"/>
          <w:color w:val="auto"/>
          <w:kern w:val="2"/>
          <w:szCs w:val="22"/>
        </w:rPr>
        <w:t>柜</w:t>
      </w:r>
      <w:r>
        <w:rPr>
          <w:rFonts w:ascii="Times New Roman" w:eastAsia="宋体"/>
          <w:color w:val="auto"/>
          <w:kern w:val="2"/>
          <w:szCs w:val="22"/>
        </w:rPr>
        <w:t>1个，容积20m</w:t>
      </w:r>
      <w:r>
        <w:rPr>
          <w:rFonts w:ascii="Times New Roman" w:eastAsia="宋体"/>
          <w:color w:val="auto"/>
          <w:kern w:val="2"/>
          <w:szCs w:val="22"/>
          <w:vertAlign w:val="superscript"/>
        </w:rPr>
        <w:t>3</w:t>
      </w:r>
      <w:r>
        <w:rPr>
          <w:rFonts w:ascii="Times New Roman" w:eastAsia="宋体"/>
          <w:color w:val="auto"/>
          <w:kern w:val="2"/>
          <w:szCs w:val="22"/>
        </w:rPr>
        <w:t>，用于</w:t>
      </w:r>
      <w:r>
        <w:rPr>
          <w:rFonts w:hint="eastAsia" w:ascii="Times New Roman" w:eastAsia="宋体"/>
          <w:color w:val="auto"/>
        </w:rPr>
        <w:t>暂存</w:t>
      </w:r>
      <w:r>
        <w:rPr>
          <w:rFonts w:ascii="Times New Roman" w:eastAsia="宋体"/>
          <w:color w:val="auto"/>
          <w:kern w:val="2"/>
          <w:szCs w:val="22"/>
        </w:rPr>
        <w:t>病死鸡</w:t>
      </w:r>
      <w:r>
        <w:rPr>
          <w:rFonts w:hint="eastAsia" w:ascii="Times New Roman" w:eastAsia="宋体"/>
          <w:color w:val="auto"/>
          <w:kern w:val="2"/>
          <w:szCs w:val="22"/>
        </w:rPr>
        <w:t>，后定期</w:t>
      </w:r>
      <w:r>
        <w:rPr>
          <w:rFonts w:hint="eastAsia" w:ascii="Times New Roman" w:eastAsia="宋体"/>
          <w:color w:val="auto"/>
          <w:szCs w:val="24"/>
          <w:lang w:val="en-US" w:eastAsia="zh-CN"/>
        </w:rPr>
        <w:t>交由</w:t>
      </w:r>
      <w:r>
        <w:rPr>
          <w:rFonts w:hint="eastAsia" w:ascii="Times New Roman" w:eastAsia="宋体"/>
          <w:color w:val="auto"/>
          <w:szCs w:val="24"/>
        </w:rPr>
        <w:t>岳阳县病死禽无</w:t>
      </w:r>
      <w:r>
        <w:rPr>
          <w:rFonts w:hint="eastAsia" w:ascii="Times New Roman" w:eastAsia="宋体"/>
          <w:color w:val="auto"/>
          <w:szCs w:val="24"/>
          <w:lang w:eastAsia="zh-CN"/>
        </w:rPr>
        <w:t>、</w:t>
      </w:r>
      <w:r>
        <w:rPr>
          <w:rFonts w:hint="eastAsia" w:ascii="Times New Roman" w:eastAsia="宋体"/>
          <w:color w:val="auto"/>
          <w:szCs w:val="24"/>
          <w:lang w:val="en-US" w:eastAsia="zh-CN"/>
        </w:rPr>
        <w:t>收尘灰</w:t>
      </w:r>
      <w:r>
        <w:rPr>
          <w:rFonts w:hint="eastAsia" w:ascii="Times New Roman" w:eastAsia="宋体"/>
          <w:color w:val="auto"/>
          <w:szCs w:val="24"/>
        </w:rPr>
        <w:t>害化处理厂进行无害化</w:t>
      </w:r>
      <w:r>
        <w:rPr>
          <w:rFonts w:ascii="Times New Roman" w:eastAsia="宋体"/>
          <w:color w:val="auto"/>
          <w:szCs w:val="24"/>
        </w:rPr>
        <w:t>处置</w:t>
      </w:r>
      <w:r>
        <w:rPr>
          <w:rFonts w:ascii="Times New Roman" w:eastAsia="宋体"/>
          <w:color w:val="auto"/>
          <w:kern w:val="2"/>
          <w:szCs w:val="22"/>
        </w:rPr>
        <w:t>。</w:t>
      </w:r>
    </w:p>
    <w:bookmarkEnd w:id="529"/>
    <w:p>
      <w:pPr>
        <w:spacing w:line="360" w:lineRule="auto"/>
        <w:ind w:firstLine="482"/>
        <w:rPr>
          <w:rFonts w:ascii="Times New Roman" w:eastAsia="宋体"/>
          <w:color w:val="auto"/>
        </w:rPr>
      </w:pPr>
      <w:bookmarkStart w:id="530" w:name="_Toc27879"/>
      <w:bookmarkStart w:id="531" w:name="_Toc10608"/>
      <w:r>
        <w:rPr>
          <w:rFonts w:hint="eastAsia" w:ascii="Times New Roman" w:eastAsia="宋体"/>
          <w:color w:val="auto"/>
        </w:rPr>
        <w:t>3、</w:t>
      </w:r>
      <w:r>
        <w:rPr>
          <w:rFonts w:ascii="Times New Roman" w:eastAsia="宋体"/>
          <w:color w:val="auto"/>
        </w:rPr>
        <w:t>生活垃圾</w:t>
      </w:r>
      <w:bookmarkEnd w:id="530"/>
      <w:bookmarkEnd w:id="531"/>
    </w:p>
    <w:p>
      <w:pPr>
        <w:spacing w:line="360" w:lineRule="auto"/>
        <w:ind w:firstLine="482"/>
        <w:rPr>
          <w:rFonts w:ascii="Times New Roman" w:eastAsia="宋体"/>
          <w:color w:val="auto"/>
          <w:lang w:val="zh-CN"/>
        </w:rPr>
      </w:pPr>
      <w:r>
        <w:rPr>
          <w:rFonts w:ascii="Times New Roman" w:eastAsia="宋体"/>
          <w:color w:val="auto"/>
          <w:lang w:val="zh-CN"/>
        </w:rPr>
        <w:t>本项目职工生活垃圾</w:t>
      </w:r>
      <w:r>
        <w:rPr>
          <w:rFonts w:hint="eastAsia" w:ascii="Times New Roman" w:eastAsia="宋体"/>
          <w:color w:val="auto"/>
          <w:lang w:val="zh-CN"/>
        </w:rPr>
        <w:t>场区</w:t>
      </w:r>
      <w:r>
        <w:rPr>
          <w:rFonts w:ascii="Times New Roman" w:eastAsia="宋体"/>
          <w:color w:val="auto"/>
          <w:lang w:val="zh-CN"/>
        </w:rPr>
        <w:t>内设置垃圾桶，集中收集，及时清理外送至指定垃圾堆放点，由环卫部门统一处理。</w:t>
      </w:r>
    </w:p>
    <w:p>
      <w:pPr>
        <w:spacing w:line="360" w:lineRule="auto"/>
        <w:ind w:firstLine="482"/>
        <w:rPr>
          <w:rFonts w:ascii="Times New Roman" w:eastAsia="宋体"/>
          <w:color w:val="auto"/>
        </w:rPr>
      </w:pPr>
      <w:bookmarkStart w:id="532" w:name="_Toc17740"/>
      <w:bookmarkStart w:id="533" w:name="_Toc26739"/>
      <w:r>
        <w:rPr>
          <w:rFonts w:hint="eastAsia" w:ascii="Times New Roman" w:eastAsia="宋体"/>
          <w:color w:val="auto"/>
        </w:rPr>
        <w:t>4、锅炉灰渣和收尘灰</w:t>
      </w:r>
      <w:bookmarkEnd w:id="532"/>
      <w:bookmarkEnd w:id="533"/>
    </w:p>
    <w:p>
      <w:pPr>
        <w:spacing w:line="360" w:lineRule="auto"/>
        <w:ind w:firstLine="482"/>
        <w:rPr>
          <w:rFonts w:ascii="Times New Roman" w:eastAsia="宋体"/>
          <w:color w:val="auto"/>
          <w:lang w:val="zh-CN"/>
        </w:rPr>
      </w:pPr>
      <w:r>
        <w:rPr>
          <w:rFonts w:ascii="Times New Roman" w:eastAsia="宋体"/>
          <w:color w:val="auto"/>
          <w:lang w:val="zh-CN"/>
        </w:rPr>
        <w:t>本项目</w:t>
      </w:r>
      <w:r>
        <w:rPr>
          <w:rFonts w:hint="eastAsia" w:ascii="Times New Roman" w:eastAsia="宋体"/>
          <w:color w:val="auto"/>
          <w:lang w:val="zh-CN"/>
        </w:rPr>
        <w:t>锅炉灰渣</w:t>
      </w:r>
      <w:r>
        <w:rPr>
          <w:rFonts w:hint="eastAsia" w:ascii="Times New Roman" w:eastAsia="宋体"/>
          <w:color w:val="auto"/>
        </w:rPr>
        <w:t>和收尘灰均</w:t>
      </w:r>
      <w:r>
        <w:rPr>
          <w:rFonts w:ascii="Times New Roman" w:eastAsia="宋体"/>
          <w:color w:val="auto"/>
          <w:lang w:val="zh-CN"/>
        </w:rPr>
        <w:t>属一般固体废物，综合利用</w:t>
      </w:r>
      <w:r>
        <w:rPr>
          <w:rFonts w:hint="eastAsia" w:ascii="Times New Roman" w:eastAsia="宋体"/>
          <w:color w:val="auto"/>
        </w:rPr>
        <w:t>于周边农田施肥</w:t>
      </w:r>
      <w:r>
        <w:rPr>
          <w:rFonts w:ascii="Times New Roman" w:eastAsia="宋体"/>
          <w:color w:val="auto"/>
          <w:lang w:val="zh-CN"/>
        </w:rPr>
        <w:t>。</w:t>
      </w:r>
    </w:p>
    <w:p>
      <w:pPr>
        <w:spacing w:line="360" w:lineRule="auto"/>
        <w:ind w:firstLine="482"/>
        <w:rPr>
          <w:rFonts w:ascii="Times New Roman" w:eastAsia="宋体"/>
          <w:color w:val="auto"/>
        </w:rPr>
      </w:pPr>
      <w:r>
        <w:rPr>
          <w:rFonts w:hint="eastAsia" w:ascii="Times New Roman" w:eastAsia="宋体"/>
          <w:color w:val="auto"/>
        </w:rPr>
        <w:t>5、废布袋、</w:t>
      </w:r>
      <w:r>
        <w:rPr>
          <w:rFonts w:hint="eastAsia" w:ascii="Times New Roman" w:eastAsia="宋体"/>
          <w:color w:val="auto"/>
          <w:lang w:val="en-US" w:eastAsia="zh-CN"/>
        </w:rPr>
        <w:t>废</w:t>
      </w:r>
      <w:r>
        <w:rPr>
          <w:rFonts w:hint="eastAsia" w:ascii="Times New Roman" w:eastAsia="宋体"/>
          <w:color w:val="auto"/>
        </w:rPr>
        <w:t>物料包装袋</w:t>
      </w:r>
    </w:p>
    <w:p>
      <w:pPr>
        <w:spacing w:line="360" w:lineRule="auto"/>
        <w:ind w:firstLine="482"/>
        <w:rPr>
          <w:rFonts w:ascii="Times New Roman" w:eastAsia="宋体"/>
          <w:color w:val="auto"/>
          <w:lang w:val="zh-CN"/>
        </w:rPr>
      </w:pPr>
      <w:r>
        <w:rPr>
          <w:rFonts w:ascii="Times New Roman" w:eastAsia="宋体"/>
          <w:color w:val="auto"/>
          <w:lang w:val="zh-CN"/>
        </w:rPr>
        <w:t>本项目</w:t>
      </w:r>
      <w:r>
        <w:rPr>
          <w:rFonts w:hint="eastAsia" w:ascii="Times New Roman" w:eastAsia="宋体"/>
          <w:color w:val="auto"/>
        </w:rPr>
        <w:t>废布袋、物料包装袋均</w:t>
      </w:r>
      <w:r>
        <w:rPr>
          <w:rFonts w:ascii="Times New Roman" w:eastAsia="宋体"/>
          <w:color w:val="auto"/>
          <w:lang w:val="zh-CN"/>
        </w:rPr>
        <w:t>属一般固体废物，集中收集后暂存于</w:t>
      </w:r>
      <w:r>
        <w:rPr>
          <w:rFonts w:hint="eastAsia" w:ascii="Times New Roman" w:eastAsia="宋体"/>
          <w:color w:val="auto"/>
          <w:lang w:val="en-US" w:eastAsia="zh-CN"/>
        </w:rPr>
        <w:t>一般固废暂存间</w:t>
      </w:r>
      <w:r>
        <w:rPr>
          <w:rFonts w:ascii="Times New Roman" w:eastAsia="宋体"/>
          <w:color w:val="auto"/>
          <w:lang w:val="zh-CN"/>
        </w:rPr>
        <w:t>，废品回收站回收处理。</w:t>
      </w:r>
    </w:p>
    <w:p>
      <w:pPr>
        <w:spacing w:line="360" w:lineRule="auto"/>
        <w:ind w:firstLine="482"/>
        <w:rPr>
          <w:rFonts w:ascii="Times New Roman" w:eastAsia="宋体"/>
          <w:color w:val="auto"/>
        </w:rPr>
      </w:pPr>
      <w:bookmarkStart w:id="534" w:name="_Toc19649"/>
      <w:bookmarkStart w:id="535" w:name="_Toc24195"/>
      <w:r>
        <w:rPr>
          <w:rFonts w:hint="eastAsia" w:ascii="Times New Roman" w:eastAsia="宋体"/>
          <w:color w:val="auto"/>
        </w:rPr>
        <w:t>6、医疗废物</w:t>
      </w:r>
      <w:bookmarkEnd w:id="534"/>
      <w:bookmarkEnd w:id="535"/>
    </w:p>
    <w:p>
      <w:pPr>
        <w:spacing w:line="360" w:lineRule="auto"/>
        <w:ind w:firstLine="496" w:firstLineChars="200"/>
        <w:rPr>
          <w:rFonts w:ascii="Times New Roman" w:eastAsia="宋体"/>
          <w:color w:val="auto"/>
          <w:szCs w:val="24"/>
        </w:rPr>
      </w:pPr>
      <w:r>
        <w:rPr>
          <w:rFonts w:ascii="Times New Roman" w:eastAsia="宋体"/>
          <w:color w:val="auto"/>
        </w:rPr>
        <w:t>养殖场在消毒和防疫过程中还会产生一定量的医疗垃圾</w:t>
      </w:r>
      <w:r>
        <w:rPr>
          <w:rFonts w:hint="eastAsia" w:ascii="Times New Roman" w:eastAsia="宋体"/>
          <w:color w:val="auto"/>
        </w:rPr>
        <w:t>，</w:t>
      </w:r>
      <w:r>
        <w:rPr>
          <w:rFonts w:ascii="Times New Roman" w:eastAsia="宋体"/>
          <w:color w:val="auto"/>
          <w:szCs w:val="24"/>
        </w:rPr>
        <w:t>包括</w:t>
      </w:r>
      <w:r>
        <w:rPr>
          <w:rFonts w:hint="eastAsia" w:ascii="Times New Roman" w:eastAsia="宋体"/>
          <w:color w:val="auto"/>
          <w:szCs w:val="24"/>
        </w:rPr>
        <w:t>鸡</w:t>
      </w:r>
      <w:r>
        <w:rPr>
          <w:rFonts w:ascii="Times New Roman" w:eastAsia="宋体"/>
          <w:color w:val="auto"/>
          <w:szCs w:val="24"/>
        </w:rPr>
        <w:t>防疫、消毒产生的废疫苗瓶等，</w:t>
      </w:r>
      <w:r>
        <w:rPr>
          <w:rFonts w:hint="eastAsia" w:ascii="Times New Roman" w:eastAsia="宋体"/>
          <w:color w:val="auto"/>
          <w:szCs w:val="24"/>
        </w:rPr>
        <w:t>其易</w:t>
      </w:r>
      <w:r>
        <w:rPr>
          <w:rFonts w:ascii="Times New Roman" w:eastAsia="宋体"/>
          <w:color w:val="auto"/>
          <w:szCs w:val="24"/>
        </w:rPr>
        <w:t>携带有病原微生物，易引发感染性疾病的传播，</w:t>
      </w:r>
      <w:r>
        <w:rPr>
          <w:rFonts w:hint="eastAsia" w:ascii="Times New Roman" w:eastAsia="宋体"/>
          <w:color w:val="auto"/>
          <w:szCs w:val="24"/>
        </w:rPr>
        <w:t>为</w:t>
      </w:r>
      <w:r>
        <w:rPr>
          <w:rFonts w:ascii="Times New Roman" w:eastAsia="宋体"/>
          <w:color w:val="auto"/>
          <w:szCs w:val="24"/>
        </w:rPr>
        <w:t>危险废物</w:t>
      </w:r>
      <w:r>
        <w:rPr>
          <w:rFonts w:hint="eastAsia" w:ascii="Times New Roman" w:eastAsia="宋体"/>
          <w:color w:val="auto"/>
          <w:szCs w:val="24"/>
        </w:rPr>
        <w:t>，不得随意丢弃，</w:t>
      </w:r>
      <w:r>
        <w:rPr>
          <w:rFonts w:ascii="Times New Roman" w:eastAsia="宋体"/>
          <w:color w:val="auto"/>
          <w:szCs w:val="24"/>
        </w:rPr>
        <w:t>废物类别：HW01 医疗废物。</w:t>
      </w:r>
      <w:r>
        <w:rPr>
          <w:rFonts w:ascii="Times New Roman" w:eastAsia="宋体"/>
          <w:color w:val="auto"/>
        </w:rPr>
        <w:t>本项目设置1处</w:t>
      </w:r>
      <w:r>
        <w:rPr>
          <w:rFonts w:hint="eastAsia" w:ascii="Times New Roman" w:eastAsia="宋体"/>
          <w:color w:val="auto"/>
        </w:rPr>
        <w:t>5</w:t>
      </w:r>
      <w:r>
        <w:rPr>
          <w:rFonts w:ascii="Times New Roman" w:eastAsia="宋体"/>
          <w:color w:val="auto"/>
        </w:rPr>
        <w:t>m</w:t>
      </w:r>
      <w:r>
        <w:rPr>
          <w:rFonts w:ascii="Times New Roman" w:eastAsia="宋体"/>
          <w:color w:val="auto"/>
          <w:vertAlign w:val="superscript"/>
        </w:rPr>
        <w:t>2</w:t>
      </w:r>
      <w:r>
        <w:rPr>
          <w:rFonts w:ascii="Times New Roman" w:eastAsia="宋体"/>
          <w:color w:val="auto"/>
        </w:rPr>
        <w:t>的危废暂存间，临时暂存，</w:t>
      </w:r>
      <w:r>
        <w:rPr>
          <w:rFonts w:ascii="Times New Roman" w:eastAsia="宋体"/>
          <w:color w:val="auto"/>
          <w:szCs w:val="24"/>
        </w:rPr>
        <w:t>必须委托具有医疗危险废物处理资质单位处理。</w:t>
      </w:r>
    </w:p>
    <w:p>
      <w:pPr>
        <w:spacing w:line="360" w:lineRule="auto"/>
        <w:ind w:firstLine="496" w:firstLineChars="200"/>
        <w:rPr>
          <w:rFonts w:ascii="Times New Roman" w:eastAsia="宋体"/>
          <w:color w:val="auto"/>
        </w:rPr>
      </w:pPr>
      <w:r>
        <w:rPr>
          <w:rFonts w:ascii="Times New Roman" w:eastAsia="宋体"/>
          <w:color w:val="auto"/>
        </w:rPr>
        <w:t>经采取以上各项污染控制措施后，项目产生的固体废物均可得到合理处置，不会随意堆放或排放进入外环境，不会造成二次污染，符合固体废物处理处置的减量化、资源化、无害化的基本要求，处理处置措施是可行的，不会对环境产生大的影响。</w:t>
      </w:r>
      <w:bookmarkEnd w:id="524"/>
    </w:p>
    <w:bookmarkEnd w:id="525"/>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6.</w:t>
      </w:r>
      <w:r>
        <w:rPr>
          <w:rFonts w:hint="eastAsia" w:ascii="Times New Roman" w:eastAsia="宋体"/>
          <w:b/>
          <w:bCs/>
          <w:color w:val="auto"/>
          <w:kern w:val="2"/>
          <w:sz w:val="24"/>
        </w:rPr>
        <w:t>2.</w:t>
      </w:r>
      <w:r>
        <w:rPr>
          <w:rFonts w:ascii="Times New Roman" w:eastAsia="宋体"/>
          <w:b/>
          <w:bCs/>
          <w:color w:val="auto"/>
          <w:kern w:val="2"/>
          <w:sz w:val="24"/>
        </w:rPr>
        <w:t>6土壤污染防治措施可行性分析</w:t>
      </w:r>
    </w:p>
    <w:p>
      <w:pPr>
        <w:spacing w:line="360" w:lineRule="auto"/>
        <w:ind w:firstLine="496" w:firstLineChars="200"/>
        <w:rPr>
          <w:rFonts w:ascii="Times New Roman" w:eastAsia="宋体"/>
          <w:color w:val="auto"/>
          <w:szCs w:val="22"/>
        </w:rPr>
      </w:pPr>
      <w:bookmarkStart w:id="536" w:name="_Toc5543"/>
      <w:r>
        <w:rPr>
          <w:rFonts w:ascii="Times New Roman" w:eastAsia="宋体"/>
          <w:color w:val="auto"/>
          <w:szCs w:val="22"/>
        </w:rPr>
        <w:t>营运期土壤防治措施要求与地下水环境防控措施基本类似，主体按照“源头控制、分区防</w:t>
      </w:r>
      <w:r>
        <w:rPr>
          <w:rFonts w:hint="eastAsia" w:ascii="Times New Roman" w:eastAsia="宋体"/>
          <w:color w:val="auto"/>
          <w:szCs w:val="22"/>
        </w:rPr>
        <w:t>控</w:t>
      </w:r>
      <w:r>
        <w:rPr>
          <w:rFonts w:ascii="Times New Roman" w:eastAsia="宋体"/>
          <w:color w:val="auto"/>
          <w:szCs w:val="22"/>
        </w:rPr>
        <w:t>、污染监控、应急响应”相结合的原则。</w:t>
      </w:r>
    </w:p>
    <w:p>
      <w:pPr>
        <w:spacing w:line="360" w:lineRule="auto"/>
        <w:ind w:firstLine="482"/>
        <w:rPr>
          <w:rFonts w:ascii="Times New Roman" w:eastAsia="宋体"/>
          <w:color w:val="auto"/>
          <w:lang w:val="zh-CN"/>
        </w:rPr>
      </w:pPr>
      <w:r>
        <w:rPr>
          <w:rFonts w:ascii="Times New Roman" w:eastAsia="宋体"/>
          <w:color w:val="auto"/>
          <w:lang w:val="zh-CN"/>
        </w:rPr>
        <w:t>1、源头控制措施</w:t>
      </w:r>
      <w:bookmarkEnd w:id="536"/>
    </w:p>
    <w:p>
      <w:pPr>
        <w:pStyle w:val="173"/>
        <w:ind w:firstLine="497"/>
        <w:rPr>
          <w:rFonts w:ascii="Times New Roman" w:eastAsia="宋体"/>
          <w:color w:val="auto"/>
        </w:rPr>
      </w:pPr>
      <w:bookmarkStart w:id="537" w:name="_Toc3909"/>
      <w:r>
        <w:rPr>
          <w:rFonts w:ascii="Times New Roman" w:eastAsia="宋体"/>
          <w:color w:val="auto"/>
        </w:rPr>
        <w:t>（1）控制冲洗废水用量，减少废水量。</w:t>
      </w:r>
      <w:bookmarkEnd w:id="537"/>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（2）对建构筑物、管道、设备、粪污储存</w:t>
      </w:r>
      <w:r>
        <w:rPr>
          <w:rFonts w:hint="eastAsia" w:ascii="Times New Roman" w:eastAsia="宋体"/>
          <w:color w:val="auto"/>
          <w:kern w:val="2"/>
          <w:szCs w:val="24"/>
        </w:rPr>
        <w:t>等</w:t>
      </w:r>
      <w:r>
        <w:rPr>
          <w:rFonts w:ascii="Times New Roman" w:eastAsia="宋体"/>
          <w:color w:val="auto"/>
          <w:kern w:val="2"/>
          <w:szCs w:val="24"/>
        </w:rPr>
        <w:t>采取防渗漏、防溢流等相应的措施，以防止和降低污染物的跑、冒、滴、漏，将污染物泄漏的环境风险降到最低程度。</w:t>
      </w:r>
    </w:p>
    <w:p>
      <w:pPr>
        <w:spacing w:line="360" w:lineRule="auto"/>
        <w:ind w:firstLine="482"/>
        <w:rPr>
          <w:rFonts w:ascii="Times New Roman" w:eastAsia="宋体"/>
          <w:color w:val="auto"/>
          <w:lang w:val="zh-CN"/>
        </w:rPr>
      </w:pPr>
      <w:bookmarkStart w:id="538" w:name="_Toc22638"/>
      <w:r>
        <w:rPr>
          <w:rFonts w:ascii="Times New Roman" w:eastAsia="宋体"/>
          <w:color w:val="auto"/>
          <w:lang w:val="zh-CN"/>
        </w:rPr>
        <w:t>2、过程防控措施</w:t>
      </w:r>
      <w:bookmarkEnd w:id="538"/>
    </w:p>
    <w:p>
      <w:pPr>
        <w:spacing w:line="360" w:lineRule="auto"/>
        <w:ind w:firstLine="496" w:firstLineChars="200"/>
        <w:rPr>
          <w:rFonts w:ascii="Times New Roman" w:eastAsia="宋体"/>
          <w:color w:val="auto"/>
          <w:kern w:val="2"/>
          <w:szCs w:val="24"/>
        </w:rPr>
      </w:pPr>
      <w:r>
        <w:rPr>
          <w:rFonts w:ascii="Times New Roman" w:eastAsia="宋体"/>
          <w:color w:val="auto"/>
          <w:kern w:val="2"/>
          <w:szCs w:val="24"/>
        </w:rPr>
        <w:t>项目污水</w:t>
      </w:r>
      <w:r>
        <w:rPr>
          <w:rFonts w:hint="eastAsia" w:ascii="Times New Roman" w:eastAsia="宋体"/>
          <w:color w:val="auto"/>
          <w:kern w:val="2"/>
          <w:szCs w:val="24"/>
        </w:rPr>
        <w:t>沉淀池</w:t>
      </w:r>
      <w:r>
        <w:rPr>
          <w:rFonts w:ascii="Times New Roman" w:eastAsia="宋体"/>
          <w:color w:val="auto"/>
          <w:kern w:val="2"/>
          <w:szCs w:val="24"/>
        </w:rPr>
        <w:t>、</w:t>
      </w:r>
      <w:r>
        <w:rPr>
          <w:rFonts w:hint="eastAsia" w:ascii="Times New Roman" w:eastAsia="宋体"/>
          <w:color w:val="auto"/>
          <w:kern w:val="2"/>
          <w:szCs w:val="24"/>
        </w:rPr>
        <w:t>鸡</w:t>
      </w:r>
      <w:r>
        <w:rPr>
          <w:rFonts w:ascii="Times New Roman" w:eastAsia="宋体"/>
          <w:color w:val="auto"/>
          <w:kern w:val="2"/>
          <w:szCs w:val="24"/>
        </w:rPr>
        <w:t>舍</w:t>
      </w:r>
      <w:r>
        <w:rPr>
          <w:rFonts w:hint="eastAsia" w:ascii="Times New Roman" w:eastAsia="宋体"/>
          <w:color w:val="auto"/>
          <w:kern w:val="2"/>
          <w:szCs w:val="24"/>
        </w:rPr>
        <w:t>和危废暂存间</w:t>
      </w:r>
      <w:r>
        <w:rPr>
          <w:rFonts w:ascii="Times New Roman" w:eastAsia="宋体"/>
          <w:color w:val="auto"/>
          <w:kern w:val="2"/>
          <w:szCs w:val="24"/>
        </w:rPr>
        <w:t>等均采取相应的防渗措施，以防止土壤环境污染。通过以上措施，项目对土壤环境影响不大，因此项目土壤污染防治措施可行</w:t>
      </w:r>
      <w:r>
        <w:rPr>
          <w:rFonts w:hint="eastAsia" w:ascii="Times New Roman" w:eastAsia="宋体"/>
          <w:color w:val="auto"/>
          <w:kern w:val="2"/>
          <w:szCs w:val="24"/>
        </w:rPr>
        <w:t>。</w:t>
      </w:r>
    </w:p>
    <w:p>
      <w:pPr>
        <w:spacing w:line="360" w:lineRule="auto"/>
        <w:ind w:firstLine="482"/>
        <w:rPr>
          <w:rFonts w:ascii="Times New Roman" w:eastAsia="宋体"/>
          <w:color w:val="auto"/>
          <w:lang w:val="zh-CN"/>
        </w:rPr>
      </w:pPr>
      <w:r>
        <w:rPr>
          <w:rFonts w:hint="eastAsia" w:ascii="Times New Roman" w:eastAsia="宋体"/>
          <w:color w:val="auto"/>
        </w:rPr>
        <w:t>3、土壤监控体系</w:t>
      </w:r>
      <w:r>
        <w:rPr>
          <w:rFonts w:ascii="Times New Roman" w:eastAsia="宋体"/>
          <w:color w:val="auto"/>
          <w:lang w:val="zh-CN"/>
        </w:rPr>
        <w:t>。</w:t>
      </w:r>
    </w:p>
    <w:p>
      <w:pPr>
        <w:pStyle w:val="2"/>
        <w:numPr>
          <w:ilvl w:val="0"/>
          <w:numId w:val="0"/>
        </w:numPr>
        <w:tabs>
          <w:tab w:val="clear" w:pos="432"/>
        </w:tabs>
        <w:spacing w:before="0" w:after="0" w:line="360" w:lineRule="auto"/>
        <w:rPr>
          <w:rFonts w:ascii="Times New Roman" w:eastAsia="宋体"/>
          <w:color w:val="auto"/>
          <w:sz w:val="36"/>
          <w:szCs w:val="36"/>
        </w:rPr>
      </w:pPr>
      <w:bookmarkStart w:id="539" w:name="_Toc6664"/>
      <w:bookmarkStart w:id="540" w:name="_Toc28510"/>
      <w:bookmarkStart w:id="541" w:name="_Toc22177"/>
      <w:bookmarkStart w:id="542" w:name="_Toc30227"/>
      <w:r>
        <w:rPr>
          <w:rFonts w:hint="eastAsia" w:ascii="Times New Roman" w:eastAsia="宋体"/>
          <w:color w:val="auto"/>
          <w:kern w:val="2"/>
          <w:sz w:val="36"/>
          <w:szCs w:val="36"/>
        </w:rPr>
        <w:t>7</w:t>
      </w:r>
      <w:r>
        <w:rPr>
          <w:rFonts w:ascii="Times New Roman" w:eastAsia="宋体"/>
          <w:color w:val="auto"/>
          <w:sz w:val="36"/>
          <w:szCs w:val="36"/>
        </w:rPr>
        <w:t>环境影响经济损益分析</w:t>
      </w:r>
      <w:bookmarkEnd w:id="539"/>
      <w:bookmarkEnd w:id="540"/>
      <w:bookmarkEnd w:id="541"/>
      <w:bookmarkEnd w:id="542"/>
    </w:p>
    <w:p>
      <w:pPr>
        <w:pStyle w:val="358"/>
        <w:spacing w:line="360" w:lineRule="auto"/>
        <w:ind w:firstLine="496" w:firstLineChars="200"/>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环境影响经济损益分析主要是评价建设项目实施后对环境造成的损失费用和采用各种</w:t>
      </w:r>
      <w:r>
        <w:rPr>
          <w:rFonts w:hint="eastAsia" w:ascii="Times New Roman" w:hAnsi="Times New Roman" w:eastAsia="宋体" w:cs="Times New Roman"/>
          <w:color w:val="auto"/>
          <w:kern w:val="2"/>
          <w:sz w:val="24"/>
          <w:szCs w:val="24"/>
        </w:rPr>
        <w:t>环境治理</w:t>
      </w:r>
      <w:r>
        <w:rPr>
          <w:rFonts w:ascii="Times New Roman" w:hAnsi="Times New Roman" w:eastAsia="宋体" w:cs="Times New Roman"/>
          <w:color w:val="auto"/>
          <w:kern w:val="2"/>
          <w:sz w:val="24"/>
          <w:szCs w:val="24"/>
        </w:rPr>
        <w:t>措施带来的社会、经济和环境效益。环境损失费用主要有因污染物排放和污染事故造成对周围生态环境和人体健康影响的损失价值、资源能源的流失价值和维持各种</w:t>
      </w:r>
      <w:r>
        <w:rPr>
          <w:rFonts w:hint="eastAsia" w:ascii="Times New Roman" w:hAnsi="Times New Roman" w:eastAsia="宋体" w:cs="Times New Roman"/>
          <w:color w:val="auto"/>
          <w:kern w:val="2"/>
          <w:sz w:val="24"/>
          <w:szCs w:val="24"/>
        </w:rPr>
        <w:t>环境治理</w:t>
      </w:r>
      <w:r>
        <w:rPr>
          <w:rFonts w:ascii="Times New Roman" w:hAnsi="Times New Roman" w:eastAsia="宋体" w:cs="Times New Roman"/>
          <w:color w:val="auto"/>
          <w:kern w:val="2"/>
          <w:sz w:val="24"/>
          <w:szCs w:val="24"/>
        </w:rPr>
        <w:t>设施而投入的运行、维修及管理费用等。环境经济收益主要包括实施各种环保措施后，对资源能源的回收与综合利用价值、减轻环境污染所带来的社会效益和环境效益。环境经济损失和收益一般都是间接的很难用货币的形式计算，也很难准确，具有较大的不确定性，由于目前对于环境经济损益分析无统一的标准和成熟的方法及有关规范，使该项工作有一定难度。</w:t>
      </w:r>
    </w:p>
    <w:p>
      <w:pPr>
        <w:pStyle w:val="358"/>
        <w:spacing w:line="360" w:lineRule="auto"/>
        <w:ind w:firstLine="496" w:firstLineChars="200"/>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本次评价仅从上述内容中的某些方面作一定程度的描述和分析。</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43" w:name="_Toc18244"/>
      <w:bookmarkStart w:id="544" w:name="_Toc22931"/>
      <w:bookmarkStart w:id="545" w:name="_Toc29384"/>
      <w:r>
        <w:rPr>
          <w:rFonts w:hint="eastAsia" w:ascii="Times New Roman" w:hAnsi="Times New Roman" w:eastAsia="宋体"/>
          <w:color w:val="auto"/>
          <w:kern w:val="2"/>
          <w:sz w:val="28"/>
          <w:szCs w:val="28"/>
        </w:rPr>
        <w:t>7</w:t>
      </w:r>
      <w:r>
        <w:rPr>
          <w:rFonts w:ascii="Times New Roman" w:hAnsi="Times New Roman" w:eastAsia="宋体"/>
          <w:color w:val="auto"/>
          <w:kern w:val="2"/>
          <w:sz w:val="28"/>
          <w:szCs w:val="28"/>
        </w:rPr>
        <w:t>.1社会效益和经济效益分析</w:t>
      </w:r>
      <w:bookmarkEnd w:id="543"/>
      <w:bookmarkEnd w:id="544"/>
      <w:bookmarkEnd w:id="545"/>
    </w:p>
    <w:p>
      <w:pPr>
        <w:pStyle w:val="358"/>
        <w:spacing w:line="360" w:lineRule="auto"/>
        <w:ind w:firstLine="496" w:firstLineChars="200"/>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该项目实施增加了地区优质肉鸡产量，提高了肉鸡质量，改善人民的膳食结构、为人民的身体健康</w:t>
      </w:r>
      <w:r>
        <w:rPr>
          <w:rFonts w:hint="eastAsia" w:ascii="Times New Roman" w:hAnsi="Times New Roman" w:eastAsia="宋体" w:cs="Times New Roman"/>
          <w:color w:val="auto"/>
          <w:kern w:val="2"/>
          <w:sz w:val="24"/>
          <w:szCs w:val="24"/>
        </w:rPr>
        <w:t>作出</w:t>
      </w:r>
      <w:r>
        <w:rPr>
          <w:rFonts w:ascii="Times New Roman" w:hAnsi="Times New Roman" w:eastAsia="宋体" w:cs="Times New Roman"/>
          <w:color w:val="auto"/>
          <w:kern w:val="2"/>
          <w:sz w:val="24"/>
          <w:szCs w:val="24"/>
        </w:rPr>
        <w:t>贡献。为项目区及周边地区的农户提供优质肉鸡和先进的饲养技术，提高鸡群素质和饲养管理水平，促进项目区周边地区养鸡业的发展，提高养鸡的生产水平和科技含量。有利于推动和加快项目区和周边地区农业、种植业和畜牧业生产结构的调整，充分发挥区域优势，合理利用自然资源，实现各生产要素的最佳配置，获得最大的经济利益。项目投产后创造了</w:t>
      </w:r>
      <w:r>
        <w:rPr>
          <w:rFonts w:hint="eastAsia" w:ascii="Times New Roman" w:hAnsi="Times New Roman" w:eastAsia="宋体" w:cs="Times New Roman"/>
          <w:color w:val="auto"/>
          <w:kern w:val="2"/>
          <w:sz w:val="24"/>
          <w:szCs w:val="24"/>
        </w:rPr>
        <w:t>一定</w:t>
      </w:r>
      <w:r>
        <w:rPr>
          <w:rFonts w:ascii="Times New Roman" w:hAnsi="Times New Roman" w:eastAsia="宋体" w:cs="Times New Roman"/>
          <w:color w:val="auto"/>
          <w:kern w:val="2"/>
          <w:sz w:val="24"/>
          <w:szCs w:val="24"/>
        </w:rPr>
        <w:t>的就业机会，可以吸收农村剩余劳动力，在项目的带动下，增加就业岗位，有效缓解农村剩余劳动力对城市的压力，有利于社会的稳定。提高了当地人民收入和生活水平，促进当地经济的发展，对维护社会治安的稳定和发展起到促进作用。</w:t>
      </w:r>
    </w:p>
    <w:p>
      <w:pPr>
        <w:pStyle w:val="358"/>
        <w:spacing w:line="360" w:lineRule="auto"/>
        <w:ind w:firstLine="496" w:firstLineChars="200"/>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由此可见，本项目的实施具有良好的社会效益和经济效益。</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46" w:name="_Toc13449"/>
      <w:bookmarkStart w:id="547" w:name="_Toc641"/>
      <w:bookmarkStart w:id="548" w:name="_Toc21178"/>
      <w:r>
        <w:rPr>
          <w:rFonts w:hint="eastAsia" w:ascii="Times New Roman" w:hAnsi="Times New Roman" w:eastAsia="宋体"/>
          <w:color w:val="auto"/>
          <w:kern w:val="2"/>
          <w:sz w:val="28"/>
          <w:szCs w:val="28"/>
        </w:rPr>
        <w:t>7</w:t>
      </w:r>
      <w:r>
        <w:rPr>
          <w:rFonts w:ascii="Times New Roman" w:hAnsi="Times New Roman" w:eastAsia="宋体"/>
          <w:color w:val="auto"/>
          <w:kern w:val="2"/>
          <w:sz w:val="28"/>
          <w:szCs w:val="28"/>
        </w:rPr>
        <w:t>.2环境效益分析</w:t>
      </w:r>
      <w:bookmarkEnd w:id="546"/>
      <w:bookmarkEnd w:id="547"/>
      <w:bookmarkEnd w:id="548"/>
    </w:p>
    <w:p>
      <w:pPr>
        <w:pStyle w:val="4"/>
        <w:spacing w:before="0" w:after="0" w:line="360" w:lineRule="auto"/>
        <w:rPr>
          <w:rFonts w:ascii="Times New Roman" w:eastAsia="宋体"/>
          <w:b/>
          <w:bCs/>
          <w:color w:val="auto"/>
          <w:kern w:val="2"/>
          <w:sz w:val="24"/>
        </w:rPr>
      </w:pPr>
      <w:r>
        <w:rPr>
          <w:rFonts w:ascii="Times New Roman" w:eastAsia="宋体"/>
          <w:b/>
          <w:bCs/>
          <w:color w:val="auto"/>
          <w:kern w:val="2"/>
          <w:sz w:val="24"/>
        </w:rPr>
        <w:t>7.2.1环境保护投入估算</w:t>
      </w:r>
    </w:p>
    <w:p>
      <w:pPr>
        <w:pStyle w:val="301"/>
        <w:spacing w:line="360" w:lineRule="auto"/>
        <w:ind w:firstLine="497"/>
        <w:rPr>
          <w:rFonts w:ascii="Times New Roman" w:eastAsia="宋体"/>
          <w:color w:val="auto"/>
        </w:rPr>
      </w:pPr>
      <w:r>
        <w:rPr>
          <w:rFonts w:ascii="Times New Roman" w:eastAsia="宋体"/>
          <w:color w:val="auto"/>
        </w:rPr>
        <w:t>本项目总投资为</w:t>
      </w:r>
      <w:r>
        <w:rPr>
          <w:rFonts w:hint="eastAsia" w:ascii="Times New Roman" w:eastAsia="宋体"/>
          <w:color w:val="auto"/>
        </w:rPr>
        <w:t>4</w:t>
      </w:r>
      <w:r>
        <w:rPr>
          <w:rFonts w:ascii="Times New Roman" w:eastAsia="宋体"/>
          <w:color w:val="auto"/>
        </w:rPr>
        <w:t>000万元</w:t>
      </w:r>
      <w:r>
        <w:rPr>
          <w:rFonts w:hint="eastAsia" w:ascii="Times New Roman" w:eastAsia="宋体"/>
          <w:color w:val="auto"/>
        </w:rPr>
        <w:t>，其中</w:t>
      </w:r>
      <w:r>
        <w:rPr>
          <w:rFonts w:ascii="Times New Roman" w:eastAsia="宋体"/>
          <w:color w:val="auto"/>
        </w:rPr>
        <w:t>环保投资为</w:t>
      </w:r>
      <w:r>
        <w:rPr>
          <w:rFonts w:hint="eastAsia" w:ascii="Times New Roman" w:eastAsia="宋体"/>
          <w:color w:val="auto"/>
        </w:rPr>
        <w:t>200</w:t>
      </w:r>
      <w:r>
        <w:rPr>
          <w:rFonts w:ascii="Times New Roman" w:eastAsia="宋体"/>
          <w:color w:val="auto"/>
        </w:rPr>
        <w:t>万元</w:t>
      </w:r>
      <w:r>
        <w:rPr>
          <w:rFonts w:hint="eastAsia" w:ascii="Times New Roman" w:eastAsia="宋体"/>
          <w:color w:val="auto"/>
        </w:rPr>
        <w:t>，</w:t>
      </w:r>
      <w:r>
        <w:rPr>
          <w:rFonts w:ascii="Times New Roman" w:eastAsia="宋体"/>
          <w:color w:val="auto"/>
        </w:rPr>
        <w:t>环保投资占项目总投资的</w:t>
      </w:r>
      <w:r>
        <w:rPr>
          <w:rFonts w:hint="eastAsia" w:ascii="Times New Roman" w:eastAsia="宋体"/>
          <w:color w:val="auto"/>
        </w:rPr>
        <w:t>5</w:t>
      </w:r>
      <w:r>
        <w:rPr>
          <w:rFonts w:ascii="Times New Roman" w:eastAsia="宋体"/>
          <w:color w:val="auto"/>
        </w:rPr>
        <w:t>%。</w:t>
      </w:r>
    </w:p>
    <w:p>
      <w:pPr>
        <w:pStyle w:val="358"/>
        <w:jc w:val="center"/>
        <w:rPr>
          <w:rFonts w:ascii="Times New Roman" w:hAnsi="Times New Roman" w:eastAsia="宋体" w:cs="Times New Roman"/>
          <w:b/>
          <w:bCs/>
          <w:color w:val="auto"/>
        </w:rPr>
      </w:pPr>
    </w:p>
    <w:p>
      <w:pPr>
        <w:pStyle w:val="358"/>
        <w:jc w:val="center"/>
        <w:rPr>
          <w:rFonts w:ascii="Times New Roman" w:hAnsi="Times New Roman" w:eastAsia="宋体" w:cs="Times New Roman"/>
          <w:b/>
          <w:bCs/>
          <w:color w:val="auto"/>
        </w:rPr>
      </w:pPr>
      <w:r>
        <w:rPr>
          <w:rFonts w:ascii="Times New Roman" w:hAnsi="Times New Roman" w:eastAsia="宋体" w:cs="Times New Roman"/>
          <w:b/>
          <w:bCs/>
          <w:color w:val="auto"/>
        </w:rPr>
        <w:t>表</w:t>
      </w:r>
      <w:r>
        <w:rPr>
          <w:rFonts w:hint="eastAsia" w:ascii="Times New Roman" w:hAnsi="Times New Roman" w:eastAsia="宋体" w:cs="Times New Roman"/>
          <w:b/>
          <w:bCs/>
          <w:color w:val="auto"/>
        </w:rPr>
        <w:t>7</w:t>
      </w:r>
      <w:r>
        <w:rPr>
          <w:rFonts w:ascii="Times New Roman" w:hAnsi="Times New Roman" w:eastAsia="宋体" w:cs="Times New Roman"/>
          <w:b/>
          <w:bCs/>
          <w:color w:val="auto"/>
        </w:rPr>
        <w:t>.2-1本项目环保投资估算表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019"/>
        <w:gridCol w:w="1267"/>
        <w:gridCol w:w="2750"/>
        <w:gridCol w:w="1605"/>
        <w:gridCol w:w="11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序号</w:t>
            </w:r>
          </w:p>
        </w:tc>
        <w:tc>
          <w:tcPr>
            <w:tcW w:w="1019"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环保项目</w:t>
            </w:r>
          </w:p>
        </w:tc>
        <w:tc>
          <w:tcPr>
            <w:tcW w:w="4017" w:type="dxa"/>
            <w:gridSpan w:val="2"/>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防治设施</w:t>
            </w:r>
          </w:p>
        </w:tc>
        <w:tc>
          <w:tcPr>
            <w:tcW w:w="1605"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规格、数量</w:t>
            </w:r>
          </w:p>
        </w:tc>
        <w:tc>
          <w:tcPr>
            <w:tcW w:w="1115"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投资估算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tcBorders>
              <w:tl2br w:val="nil"/>
              <w:tr2bl w:val="nil"/>
            </w:tcBorders>
            <w:vAlign w:val="center"/>
          </w:tcPr>
          <w:p>
            <w:pPr>
              <w:jc w:val="center"/>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1019" w:type="dxa"/>
            <w:tcBorders>
              <w:tl2br w:val="nil"/>
              <w:tr2bl w:val="nil"/>
            </w:tcBorders>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施工期环保治理</w:t>
            </w:r>
          </w:p>
        </w:tc>
        <w:tc>
          <w:tcPr>
            <w:tcW w:w="4017" w:type="dxa"/>
            <w:gridSpan w:val="2"/>
            <w:tcBorders>
              <w:tl2br w:val="nil"/>
              <w:tr2bl w:val="nil"/>
            </w:tcBorders>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洒水抑尘、堆土场设置挡板、植被恢复等</w:t>
            </w:r>
          </w:p>
        </w:tc>
        <w:tc>
          <w:tcPr>
            <w:tcW w:w="1605" w:type="dxa"/>
            <w:tcBorders>
              <w:tl2br w:val="nil"/>
              <w:tr2bl w:val="nil"/>
            </w:tcBorders>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w:t>
            </w:r>
          </w:p>
        </w:tc>
        <w:tc>
          <w:tcPr>
            <w:tcW w:w="1115" w:type="dxa"/>
            <w:tcBorders>
              <w:tl2br w:val="nil"/>
              <w:tr2bl w:val="nil"/>
            </w:tcBorders>
            <w:vAlign w:val="center"/>
          </w:tcPr>
          <w:p>
            <w:pPr>
              <w:jc w:val="center"/>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restart"/>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2</w:t>
            </w:r>
          </w:p>
        </w:tc>
        <w:tc>
          <w:tcPr>
            <w:tcW w:w="1019"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废气治理</w:t>
            </w:r>
          </w:p>
        </w:tc>
        <w:tc>
          <w:tcPr>
            <w:tcW w:w="1267"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锅炉废气</w:t>
            </w:r>
          </w:p>
        </w:tc>
        <w:tc>
          <w:tcPr>
            <w:tcW w:w="275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布袋除尘+</w:t>
            </w:r>
            <w:r>
              <w:rPr>
                <w:rFonts w:hint="eastAsia" w:ascii="Times New Roman" w:eastAsia="宋体"/>
                <w:color w:val="auto"/>
                <w:sz w:val="21"/>
                <w:szCs w:val="21"/>
              </w:rPr>
              <w:t>30</w:t>
            </w:r>
            <w:r>
              <w:rPr>
                <w:rFonts w:ascii="Times New Roman" w:eastAsia="宋体"/>
                <w:color w:val="auto"/>
                <w:sz w:val="21"/>
                <w:szCs w:val="21"/>
              </w:rPr>
              <w:t>m高排气筒</w:t>
            </w:r>
          </w:p>
        </w:tc>
        <w:tc>
          <w:tcPr>
            <w:tcW w:w="160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2</w:t>
            </w:r>
            <w:r>
              <w:rPr>
                <w:rFonts w:ascii="Times New Roman" w:eastAsia="宋体"/>
                <w:color w:val="auto"/>
                <w:sz w:val="21"/>
                <w:szCs w:val="21"/>
              </w:rPr>
              <w:t>套</w:t>
            </w:r>
            <w:r>
              <w:rPr>
                <w:rFonts w:hint="eastAsia" w:ascii="Times New Roman" w:eastAsia="宋体"/>
                <w:color w:val="auto"/>
                <w:sz w:val="21"/>
                <w:szCs w:val="21"/>
              </w:rPr>
              <w:t>除尘+1根排气筒</w:t>
            </w:r>
          </w:p>
        </w:tc>
        <w:tc>
          <w:tcPr>
            <w:tcW w:w="1115" w:type="dxa"/>
            <w:tcBorders>
              <w:tl2br w:val="nil"/>
              <w:tr2bl w:val="nil"/>
            </w:tcBorders>
            <w:vAlign w:val="center"/>
          </w:tcPr>
          <w:p>
            <w:pPr>
              <w:jc w:val="center"/>
              <w:rPr>
                <w:rFonts w:hint="default" w:ascii="Times New Roman" w:eastAsia="宋体"/>
                <w:color w:val="auto"/>
                <w:sz w:val="21"/>
                <w:szCs w:val="21"/>
                <w:lang w:val="en-US"/>
              </w:rPr>
            </w:pPr>
            <w:r>
              <w:rPr>
                <w:rFonts w:hint="eastAsia" w:ascii="Times New Roman" w:eastAsia="宋体"/>
                <w:color w:val="auto"/>
                <w:sz w:val="21"/>
                <w:szCs w:val="21"/>
                <w:lang w:val="en-US" w:eastAsia="zh-CN"/>
              </w:rPr>
              <w:t>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continue"/>
            <w:tcBorders>
              <w:tl2br w:val="nil"/>
              <w:tr2bl w:val="nil"/>
            </w:tcBorders>
            <w:vAlign w:val="center"/>
          </w:tcPr>
          <w:p>
            <w:pPr>
              <w:jc w:val="center"/>
              <w:rPr>
                <w:rFonts w:ascii="Times New Roman" w:eastAsia="宋体"/>
                <w:color w:val="auto"/>
                <w:sz w:val="21"/>
                <w:szCs w:val="21"/>
              </w:rPr>
            </w:pPr>
          </w:p>
        </w:tc>
        <w:tc>
          <w:tcPr>
            <w:tcW w:w="1019" w:type="dxa"/>
            <w:vMerge w:val="continue"/>
            <w:tcBorders>
              <w:tl2br w:val="nil"/>
              <w:tr2bl w:val="nil"/>
            </w:tcBorders>
            <w:vAlign w:val="center"/>
          </w:tcPr>
          <w:p>
            <w:pPr>
              <w:jc w:val="center"/>
              <w:rPr>
                <w:rFonts w:ascii="Times New Roman" w:eastAsia="宋体"/>
                <w:color w:val="auto"/>
                <w:sz w:val="21"/>
                <w:szCs w:val="21"/>
              </w:rPr>
            </w:pPr>
          </w:p>
        </w:tc>
        <w:tc>
          <w:tcPr>
            <w:tcW w:w="1267"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鸡舍恶臭</w:t>
            </w:r>
          </w:p>
        </w:tc>
        <w:tc>
          <w:tcPr>
            <w:tcW w:w="275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水帘除臭+机械通风+屋顶排放；饲料添加EM菌；喷洒除臭剂</w:t>
            </w:r>
          </w:p>
        </w:tc>
        <w:tc>
          <w:tcPr>
            <w:tcW w:w="160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10套</w:t>
            </w:r>
          </w:p>
        </w:tc>
        <w:tc>
          <w:tcPr>
            <w:tcW w:w="111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lang w:val="en-US" w:eastAsia="zh-CN"/>
              </w:rPr>
              <w:t>6</w:t>
            </w:r>
            <w:r>
              <w:rPr>
                <w:rFonts w:hint="eastAsia" w:ascii="Times New Roman" w:eastAsia="宋体"/>
                <w:color w:val="auto"/>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continue"/>
            <w:tcBorders>
              <w:tl2br w:val="nil"/>
              <w:tr2bl w:val="nil"/>
            </w:tcBorders>
            <w:vAlign w:val="center"/>
          </w:tcPr>
          <w:p>
            <w:pPr>
              <w:jc w:val="center"/>
              <w:rPr>
                <w:rFonts w:ascii="Times New Roman" w:eastAsia="宋体"/>
                <w:color w:val="auto"/>
                <w:sz w:val="21"/>
                <w:szCs w:val="21"/>
              </w:rPr>
            </w:pPr>
          </w:p>
        </w:tc>
        <w:tc>
          <w:tcPr>
            <w:tcW w:w="1019" w:type="dxa"/>
            <w:vMerge w:val="continue"/>
            <w:tcBorders>
              <w:tl2br w:val="nil"/>
              <w:tr2bl w:val="nil"/>
            </w:tcBorders>
            <w:vAlign w:val="center"/>
          </w:tcPr>
          <w:p>
            <w:pPr>
              <w:jc w:val="center"/>
              <w:rPr>
                <w:rFonts w:ascii="Times New Roman" w:eastAsia="宋体"/>
                <w:color w:val="auto"/>
                <w:sz w:val="21"/>
                <w:szCs w:val="21"/>
              </w:rPr>
            </w:pPr>
          </w:p>
        </w:tc>
        <w:tc>
          <w:tcPr>
            <w:tcW w:w="1267"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发电机尾气</w:t>
            </w:r>
          </w:p>
        </w:tc>
        <w:tc>
          <w:tcPr>
            <w:tcW w:w="275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引至发电机所在建筑物楼顶高空排放</w:t>
            </w:r>
          </w:p>
        </w:tc>
        <w:tc>
          <w:tcPr>
            <w:tcW w:w="1605"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1套</w:t>
            </w:r>
          </w:p>
        </w:tc>
        <w:tc>
          <w:tcPr>
            <w:tcW w:w="111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continue"/>
            <w:tcBorders>
              <w:tl2br w:val="nil"/>
              <w:tr2bl w:val="nil"/>
            </w:tcBorders>
            <w:vAlign w:val="center"/>
          </w:tcPr>
          <w:p>
            <w:pPr>
              <w:jc w:val="center"/>
              <w:rPr>
                <w:rFonts w:ascii="Times New Roman" w:eastAsia="宋体"/>
                <w:color w:val="auto"/>
                <w:sz w:val="21"/>
                <w:szCs w:val="21"/>
              </w:rPr>
            </w:pPr>
          </w:p>
        </w:tc>
        <w:tc>
          <w:tcPr>
            <w:tcW w:w="1019" w:type="dxa"/>
            <w:vMerge w:val="continue"/>
            <w:tcBorders>
              <w:tl2br w:val="nil"/>
              <w:tr2bl w:val="nil"/>
            </w:tcBorders>
            <w:vAlign w:val="center"/>
          </w:tcPr>
          <w:p>
            <w:pPr>
              <w:jc w:val="center"/>
              <w:rPr>
                <w:rFonts w:ascii="Times New Roman" w:eastAsia="宋体"/>
                <w:color w:val="auto"/>
                <w:sz w:val="21"/>
                <w:szCs w:val="21"/>
              </w:rPr>
            </w:pPr>
          </w:p>
        </w:tc>
        <w:tc>
          <w:tcPr>
            <w:tcW w:w="1267"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食堂油烟</w:t>
            </w:r>
          </w:p>
        </w:tc>
        <w:tc>
          <w:tcPr>
            <w:tcW w:w="275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油烟净化器</w:t>
            </w:r>
          </w:p>
        </w:tc>
        <w:tc>
          <w:tcPr>
            <w:tcW w:w="1605"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1套</w:t>
            </w:r>
          </w:p>
        </w:tc>
        <w:tc>
          <w:tcPr>
            <w:tcW w:w="111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continue"/>
            <w:tcBorders>
              <w:tl2br w:val="nil"/>
              <w:tr2bl w:val="nil"/>
            </w:tcBorders>
            <w:vAlign w:val="center"/>
          </w:tcPr>
          <w:p>
            <w:pPr>
              <w:jc w:val="center"/>
              <w:rPr>
                <w:rFonts w:ascii="Times New Roman" w:eastAsia="宋体"/>
                <w:color w:val="auto"/>
                <w:sz w:val="21"/>
                <w:szCs w:val="21"/>
              </w:rPr>
            </w:pPr>
          </w:p>
        </w:tc>
        <w:tc>
          <w:tcPr>
            <w:tcW w:w="1019" w:type="dxa"/>
            <w:vMerge w:val="continue"/>
            <w:tcBorders>
              <w:tl2br w:val="nil"/>
              <w:tr2bl w:val="nil"/>
            </w:tcBorders>
            <w:vAlign w:val="center"/>
          </w:tcPr>
          <w:p>
            <w:pPr>
              <w:jc w:val="center"/>
              <w:rPr>
                <w:rFonts w:ascii="Times New Roman" w:eastAsia="宋体"/>
                <w:color w:val="auto"/>
                <w:sz w:val="21"/>
                <w:szCs w:val="21"/>
              </w:rPr>
            </w:pPr>
          </w:p>
        </w:tc>
        <w:tc>
          <w:tcPr>
            <w:tcW w:w="1267"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污水池恶臭</w:t>
            </w:r>
          </w:p>
        </w:tc>
        <w:tc>
          <w:tcPr>
            <w:tcW w:w="2750"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除臭剂</w:t>
            </w:r>
          </w:p>
        </w:tc>
        <w:tc>
          <w:tcPr>
            <w:tcW w:w="1605" w:type="dxa"/>
            <w:tcBorders>
              <w:tl2br w:val="nil"/>
              <w:tr2bl w:val="nil"/>
            </w:tcBorders>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1t</w:t>
            </w:r>
          </w:p>
        </w:tc>
        <w:tc>
          <w:tcPr>
            <w:tcW w:w="111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restart"/>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3</w:t>
            </w:r>
          </w:p>
        </w:tc>
        <w:tc>
          <w:tcPr>
            <w:tcW w:w="1019"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废水治理</w:t>
            </w:r>
          </w:p>
        </w:tc>
        <w:tc>
          <w:tcPr>
            <w:tcW w:w="4017" w:type="dxa"/>
            <w:gridSpan w:val="2"/>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雨污分流、污水沉淀池</w:t>
            </w:r>
          </w:p>
        </w:tc>
        <w:tc>
          <w:tcPr>
            <w:tcW w:w="160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w:t>
            </w:r>
            <w:r>
              <w:rPr>
                <w:rFonts w:ascii="Times New Roman" w:eastAsia="宋体"/>
                <w:color w:val="auto"/>
                <w:sz w:val="21"/>
                <w:szCs w:val="21"/>
              </w:rPr>
              <w:t>座，</w:t>
            </w:r>
            <w:r>
              <w:rPr>
                <w:rFonts w:hint="eastAsia" w:ascii="Times New Roman" w:eastAsia="宋体"/>
                <w:color w:val="auto"/>
                <w:sz w:val="21"/>
                <w:szCs w:val="21"/>
              </w:rPr>
              <w:t>400m</w:t>
            </w:r>
            <w:r>
              <w:rPr>
                <w:rFonts w:hint="eastAsia" w:ascii="Times New Roman" w:eastAsia="宋体"/>
                <w:color w:val="auto"/>
                <w:sz w:val="21"/>
                <w:szCs w:val="21"/>
                <w:vertAlign w:val="superscript"/>
              </w:rPr>
              <w:t>3</w:t>
            </w:r>
          </w:p>
        </w:tc>
        <w:tc>
          <w:tcPr>
            <w:tcW w:w="1115" w:type="dxa"/>
            <w:tcBorders>
              <w:tl2br w:val="nil"/>
              <w:tr2bl w:val="nil"/>
            </w:tcBorders>
            <w:vAlign w:val="center"/>
          </w:tcPr>
          <w:p>
            <w:pPr>
              <w:jc w:val="center"/>
              <w:rPr>
                <w:rFonts w:hint="default" w:ascii="Times New Roman" w:eastAsia="宋体"/>
                <w:color w:val="auto"/>
                <w:sz w:val="21"/>
                <w:szCs w:val="21"/>
                <w:lang w:val="en-US"/>
              </w:rPr>
            </w:pPr>
            <w:r>
              <w:rPr>
                <w:rFonts w:hint="eastAsia" w:ascii="Times New Roman" w:eastAsia="宋体"/>
                <w:color w:val="auto"/>
                <w:sz w:val="21"/>
                <w:szCs w:val="21"/>
                <w:lang w:val="en-US" w:eastAsia="zh-CN"/>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continue"/>
            <w:tcBorders>
              <w:tl2br w:val="nil"/>
              <w:tr2bl w:val="nil"/>
            </w:tcBorders>
            <w:vAlign w:val="center"/>
          </w:tcPr>
          <w:p>
            <w:pPr>
              <w:jc w:val="center"/>
              <w:rPr>
                <w:rFonts w:ascii="Times New Roman" w:eastAsia="宋体"/>
                <w:color w:val="auto"/>
                <w:sz w:val="21"/>
                <w:szCs w:val="21"/>
              </w:rPr>
            </w:pPr>
          </w:p>
        </w:tc>
        <w:tc>
          <w:tcPr>
            <w:tcW w:w="1019" w:type="dxa"/>
            <w:vMerge w:val="continue"/>
            <w:tcBorders>
              <w:tl2br w:val="nil"/>
              <w:tr2bl w:val="nil"/>
            </w:tcBorders>
            <w:vAlign w:val="center"/>
          </w:tcPr>
          <w:p>
            <w:pPr>
              <w:jc w:val="center"/>
              <w:rPr>
                <w:rFonts w:ascii="Times New Roman" w:eastAsia="宋体"/>
                <w:color w:val="auto"/>
                <w:sz w:val="21"/>
                <w:szCs w:val="21"/>
              </w:rPr>
            </w:pPr>
          </w:p>
        </w:tc>
        <w:tc>
          <w:tcPr>
            <w:tcW w:w="4017" w:type="dxa"/>
            <w:gridSpan w:val="2"/>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化粪池</w:t>
            </w:r>
          </w:p>
        </w:tc>
        <w:tc>
          <w:tcPr>
            <w:tcW w:w="160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w:t>
            </w:r>
            <w:r>
              <w:rPr>
                <w:rFonts w:ascii="Times New Roman" w:eastAsia="宋体"/>
                <w:color w:val="auto"/>
                <w:sz w:val="21"/>
                <w:szCs w:val="21"/>
              </w:rPr>
              <w:t>座</w:t>
            </w:r>
          </w:p>
        </w:tc>
        <w:tc>
          <w:tcPr>
            <w:tcW w:w="111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4</w:t>
            </w:r>
          </w:p>
        </w:tc>
        <w:tc>
          <w:tcPr>
            <w:tcW w:w="101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噪声治理</w:t>
            </w:r>
          </w:p>
        </w:tc>
        <w:tc>
          <w:tcPr>
            <w:tcW w:w="4017" w:type="dxa"/>
            <w:gridSpan w:val="2"/>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减</w:t>
            </w:r>
            <w:r>
              <w:rPr>
                <w:rFonts w:hint="eastAsia" w:ascii="Times New Roman" w:eastAsia="宋体"/>
                <w:color w:val="auto"/>
                <w:sz w:val="21"/>
                <w:szCs w:val="21"/>
              </w:rPr>
              <w:t>振</w:t>
            </w:r>
            <w:r>
              <w:rPr>
                <w:rFonts w:ascii="Times New Roman" w:eastAsia="宋体"/>
                <w:color w:val="auto"/>
                <w:sz w:val="21"/>
                <w:szCs w:val="21"/>
              </w:rPr>
              <w:t>垫、减振架、隔声门窗</w:t>
            </w:r>
          </w:p>
        </w:tc>
        <w:tc>
          <w:tcPr>
            <w:tcW w:w="1605"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w:t>
            </w:r>
          </w:p>
        </w:tc>
        <w:tc>
          <w:tcPr>
            <w:tcW w:w="1115"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restart"/>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5</w:t>
            </w:r>
          </w:p>
        </w:tc>
        <w:tc>
          <w:tcPr>
            <w:tcW w:w="1019"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固废治理</w:t>
            </w:r>
          </w:p>
        </w:tc>
        <w:tc>
          <w:tcPr>
            <w:tcW w:w="4017" w:type="dxa"/>
            <w:gridSpan w:val="2"/>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危险废物暂存间</w:t>
            </w:r>
          </w:p>
        </w:tc>
        <w:tc>
          <w:tcPr>
            <w:tcW w:w="160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5㎡</w:t>
            </w:r>
          </w:p>
        </w:tc>
        <w:tc>
          <w:tcPr>
            <w:tcW w:w="1115" w:type="dxa"/>
            <w:vMerge w:val="restart"/>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continue"/>
            <w:tcBorders>
              <w:tl2br w:val="nil"/>
              <w:tr2bl w:val="nil"/>
            </w:tcBorders>
            <w:vAlign w:val="center"/>
          </w:tcPr>
          <w:p>
            <w:pPr>
              <w:jc w:val="center"/>
              <w:rPr>
                <w:rFonts w:ascii="Times New Roman" w:eastAsia="宋体"/>
                <w:color w:val="auto"/>
                <w:sz w:val="21"/>
                <w:szCs w:val="21"/>
              </w:rPr>
            </w:pPr>
          </w:p>
        </w:tc>
        <w:tc>
          <w:tcPr>
            <w:tcW w:w="1019" w:type="dxa"/>
            <w:vMerge w:val="continue"/>
            <w:tcBorders>
              <w:tl2br w:val="nil"/>
              <w:tr2bl w:val="nil"/>
            </w:tcBorders>
            <w:vAlign w:val="center"/>
          </w:tcPr>
          <w:p>
            <w:pPr>
              <w:jc w:val="center"/>
              <w:rPr>
                <w:rFonts w:ascii="Times New Roman" w:eastAsia="宋体"/>
                <w:color w:val="auto"/>
                <w:sz w:val="21"/>
                <w:szCs w:val="21"/>
              </w:rPr>
            </w:pPr>
          </w:p>
        </w:tc>
        <w:tc>
          <w:tcPr>
            <w:tcW w:w="4017" w:type="dxa"/>
            <w:gridSpan w:val="2"/>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一般工业固废暂存间</w:t>
            </w:r>
          </w:p>
        </w:tc>
        <w:tc>
          <w:tcPr>
            <w:tcW w:w="160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50</w:t>
            </w:r>
            <w:r>
              <w:rPr>
                <w:rFonts w:hint="eastAsia" w:ascii="Times New Roman" w:eastAsia="宋体"/>
                <w:color w:val="auto"/>
                <w:sz w:val="21"/>
                <w:szCs w:val="21"/>
                <w:lang w:val="en-US" w:eastAsia="zh-CN"/>
              </w:rPr>
              <w:t>㎡</w:t>
            </w:r>
          </w:p>
        </w:tc>
        <w:tc>
          <w:tcPr>
            <w:tcW w:w="1115"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Merge w:val="continue"/>
            <w:tcBorders>
              <w:tl2br w:val="nil"/>
              <w:tr2bl w:val="nil"/>
            </w:tcBorders>
            <w:vAlign w:val="center"/>
          </w:tcPr>
          <w:p>
            <w:pPr>
              <w:jc w:val="center"/>
              <w:rPr>
                <w:rFonts w:ascii="Times New Roman" w:eastAsia="宋体"/>
                <w:color w:val="auto"/>
                <w:sz w:val="21"/>
                <w:szCs w:val="21"/>
              </w:rPr>
            </w:pPr>
          </w:p>
        </w:tc>
        <w:tc>
          <w:tcPr>
            <w:tcW w:w="1019" w:type="dxa"/>
            <w:vMerge w:val="continue"/>
            <w:tcBorders>
              <w:tl2br w:val="nil"/>
              <w:tr2bl w:val="nil"/>
            </w:tcBorders>
            <w:vAlign w:val="center"/>
          </w:tcPr>
          <w:p>
            <w:pPr>
              <w:jc w:val="center"/>
              <w:rPr>
                <w:rFonts w:ascii="Times New Roman" w:eastAsia="宋体"/>
                <w:color w:val="auto"/>
                <w:sz w:val="21"/>
                <w:szCs w:val="21"/>
              </w:rPr>
            </w:pPr>
          </w:p>
        </w:tc>
        <w:tc>
          <w:tcPr>
            <w:tcW w:w="4017" w:type="dxa"/>
            <w:gridSpan w:val="2"/>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冷</w:t>
            </w:r>
            <w:r>
              <w:rPr>
                <w:rFonts w:hint="eastAsia" w:ascii="Times New Roman" w:eastAsia="宋体"/>
                <w:color w:val="auto"/>
                <w:sz w:val="21"/>
                <w:szCs w:val="21"/>
                <w:lang w:val="en-US" w:eastAsia="zh-CN"/>
              </w:rPr>
              <w:t>藏</w:t>
            </w:r>
            <w:r>
              <w:rPr>
                <w:rFonts w:hint="eastAsia" w:ascii="Times New Roman" w:eastAsia="宋体"/>
                <w:color w:val="auto"/>
                <w:sz w:val="21"/>
                <w:szCs w:val="21"/>
              </w:rPr>
              <w:t>柜</w:t>
            </w:r>
          </w:p>
        </w:tc>
        <w:tc>
          <w:tcPr>
            <w:tcW w:w="1605"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rPr>
              <w:t>1台</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20m</w:t>
            </w:r>
            <w:r>
              <w:rPr>
                <w:rFonts w:hint="eastAsia" w:ascii="Times New Roman" w:eastAsia="宋体"/>
                <w:color w:val="auto"/>
                <w:sz w:val="21"/>
                <w:szCs w:val="21"/>
                <w:vertAlign w:val="superscript"/>
                <w:lang w:val="en-US" w:eastAsia="zh-CN"/>
              </w:rPr>
              <w:t>3</w:t>
            </w:r>
            <w:r>
              <w:rPr>
                <w:rFonts w:hint="eastAsia" w:ascii="Times New Roman" w:eastAsia="宋体"/>
                <w:color w:val="auto"/>
                <w:sz w:val="21"/>
                <w:szCs w:val="21"/>
                <w:lang w:eastAsia="zh-CN"/>
              </w:rPr>
              <w:t>）</w:t>
            </w:r>
          </w:p>
        </w:tc>
        <w:tc>
          <w:tcPr>
            <w:tcW w:w="1115"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6</w:t>
            </w:r>
          </w:p>
        </w:tc>
        <w:tc>
          <w:tcPr>
            <w:tcW w:w="1019"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场区绿化</w:t>
            </w:r>
          </w:p>
        </w:tc>
        <w:tc>
          <w:tcPr>
            <w:tcW w:w="4017" w:type="dxa"/>
            <w:gridSpan w:val="2"/>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场区</w:t>
            </w:r>
            <w:r>
              <w:rPr>
                <w:rFonts w:ascii="Times New Roman" w:eastAsia="宋体"/>
                <w:color w:val="auto"/>
                <w:sz w:val="21"/>
                <w:szCs w:val="21"/>
              </w:rPr>
              <w:t>及厂界植树</w:t>
            </w:r>
          </w:p>
        </w:tc>
        <w:tc>
          <w:tcPr>
            <w:tcW w:w="1605" w:type="dxa"/>
            <w:tcBorders>
              <w:tl2br w:val="nil"/>
              <w:tr2bl w:val="nil"/>
            </w:tcBorders>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w:t>
            </w:r>
          </w:p>
        </w:tc>
        <w:tc>
          <w:tcPr>
            <w:tcW w:w="111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7</w:t>
            </w:r>
          </w:p>
        </w:tc>
        <w:tc>
          <w:tcPr>
            <w:tcW w:w="1019"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地下水</w:t>
            </w:r>
          </w:p>
        </w:tc>
        <w:tc>
          <w:tcPr>
            <w:tcW w:w="4017" w:type="dxa"/>
            <w:gridSpan w:val="2"/>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分区防渗、地下水监控井</w:t>
            </w:r>
          </w:p>
        </w:tc>
        <w:tc>
          <w:tcPr>
            <w:tcW w:w="160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防渗+硬化</w:t>
            </w:r>
          </w:p>
        </w:tc>
        <w:tc>
          <w:tcPr>
            <w:tcW w:w="1115" w:type="dxa"/>
            <w:tcBorders>
              <w:tl2br w:val="nil"/>
              <w:tr2bl w:val="nil"/>
            </w:tcBorders>
            <w:vAlign w:val="center"/>
          </w:tcPr>
          <w:p>
            <w:pPr>
              <w:jc w:val="center"/>
              <w:rPr>
                <w:rFonts w:hint="eastAsia" w:ascii="Times New Roman" w:eastAsia="宋体"/>
                <w:color w:val="auto"/>
                <w:sz w:val="21"/>
                <w:szCs w:val="21"/>
                <w:lang w:eastAsia="zh-CN"/>
              </w:rPr>
            </w:pPr>
            <w:r>
              <w:rPr>
                <w:rFonts w:hint="eastAsia" w:ascii="Times New Roman" w:eastAsia="宋体"/>
                <w:color w:val="auto"/>
                <w:sz w:val="21"/>
                <w:szCs w:val="21"/>
              </w:rPr>
              <w:t>1</w:t>
            </w:r>
            <w:r>
              <w:rPr>
                <w:rFonts w:hint="eastAsia" w:ascii="Times New Roman" w:eastAsia="宋体"/>
                <w:color w:val="auto"/>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01" w:type="dxa"/>
            <w:gridSpan w:val="5"/>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总计</w:t>
            </w:r>
          </w:p>
        </w:tc>
        <w:tc>
          <w:tcPr>
            <w:tcW w:w="1115"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200</w:t>
            </w:r>
          </w:p>
        </w:tc>
      </w:tr>
    </w:tbl>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7</w:t>
      </w:r>
      <w:r>
        <w:rPr>
          <w:rFonts w:ascii="Times New Roman" w:eastAsia="宋体"/>
          <w:b/>
          <w:bCs/>
          <w:color w:val="auto"/>
          <w:kern w:val="2"/>
          <w:sz w:val="24"/>
        </w:rPr>
        <w:t>.2.2环境效益与损益分析</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7</w:t>
      </w:r>
      <w:r>
        <w:rPr>
          <w:rFonts w:ascii="Times New Roman" w:eastAsia="宋体"/>
          <w:color w:val="auto"/>
          <w:sz w:val="24"/>
        </w:rPr>
        <w:t>.2.2.1环保措施的效益分析</w:t>
      </w:r>
    </w:p>
    <w:p>
      <w:pPr>
        <w:pStyle w:val="301"/>
        <w:spacing w:line="360" w:lineRule="auto"/>
        <w:ind w:firstLine="497"/>
        <w:rPr>
          <w:rFonts w:ascii="Times New Roman" w:eastAsia="宋体"/>
          <w:color w:val="auto"/>
        </w:rPr>
      </w:pPr>
      <w:r>
        <w:rPr>
          <w:rFonts w:ascii="Times New Roman" w:eastAsia="宋体"/>
          <w:color w:val="auto"/>
        </w:rPr>
        <w:t>本项目在设计中充分考虑了环境保护的要求，经过对工艺技术、设备及工艺参数的优选，从根本上减少了污染，有利于环境保护。针对在生产过程中产生的三废，从实际出发采取相应的治理措施，使污染物达标排放。</w:t>
      </w:r>
    </w:p>
    <w:p>
      <w:pPr>
        <w:pStyle w:val="301"/>
        <w:spacing w:line="360" w:lineRule="auto"/>
        <w:ind w:firstLine="497"/>
        <w:rPr>
          <w:rFonts w:ascii="Times New Roman" w:eastAsia="宋体"/>
          <w:color w:val="auto"/>
        </w:rPr>
      </w:pPr>
      <w:r>
        <w:rPr>
          <w:rFonts w:ascii="Times New Roman" w:eastAsia="宋体"/>
          <w:color w:val="auto"/>
        </w:rPr>
        <w:t>本工程的环保措施投资为</w:t>
      </w:r>
      <w:r>
        <w:rPr>
          <w:rFonts w:hint="eastAsia" w:ascii="Times New Roman" w:eastAsia="宋体"/>
          <w:color w:val="auto"/>
        </w:rPr>
        <w:t>200</w:t>
      </w:r>
      <w:r>
        <w:rPr>
          <w:rFonts w:ascii="Times New Roman" w:eastAsia="宋体"/>
          <w:color w:val="auto"/>
        </w:rPr>
        <w:t>万元，已基本落实，这些环保设施的建成和正常运行，将带来较大的环境效益。本项目装置从工艺上选择先进的具有节能、节水和环保效果的技术，使得废气、废水达标排放，噪声不扰民，固废得到有效处置。</w:t>
      </w:r>
    </w:p>
    <w:p>
      <w:pPr>
        <w:pStyle w:val="301"/>
        <w:spacing w:line="360" w:lineRule="auto"/>
        <w:ind w:firstLine="497"/>
        <w:rPr>
          <w:rFonts w:ascii="Times New Roman" w:eastAsia="宋体"/>
          <w:color w:val="auto"/>
        </w:rPr>
      </w:pPr>
      <w:r>
        <w:rPr>
          <w:rFonts w:ascii="Times New Roman" w:eastAsia="宋体"/>
          <w:color w:val="auto"/>
        </w:rPr>
        <w:t>因此本项目环境效益比较显著。</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7</w:t>
      </w:r>
      <w:r>
        <w:rPr>
          <w:rFonts w:ascii="Times New Roman" w:eastAsia="宋体"/>
          <w:color w:val="auto"/>
          <w:sz w:val="24"/>
        </w:rPr>
        <w:t>.2.2.2环境损益分析</w:t>
      </w:r>
    </w:p>
    <w:p>
      <w:pPr>
        <w:pStyle w:val="301"/>
        <w:spacing w:line="360" w:lineRule="auto"/>
        <w:ind w:firstLine="497"/>
        <w:rPr>
          <w:rFonts w:ascii="Times New Roman" w:eastAsia="宋体"/>
          <w:color w:val="auto"/>
        </w:rPr>
      </w:pPr>
      <w:r>
        <w:rPr>
          <w:rFonts w:ascii="Times New Roman" w:eastAsia="宋体"/>
          <w:color w:val="auto"/>
        </w:rPr>
        <w:t>本项目在生产过程中所排放的废气污染物经预测，均达到相应标准要求，无组织排放的废气对厂界浓度贡献量较小；本项目产生的废水经</w:t>
      </w:r>
      <w:r>
        <w:rPr>
          <w:rFonts w:hint="eastAsia" w:ascii="Times New Roman" w:eastAsia="宋体"/>
          <w:color w:val="auto"/>
        </w:rPr>
        <w:t>场区污水沉淀池</w:t>
      </w:r>
      <w:r>
        <w:rPr>
          <w:rFonts w:ascii="Times New Roman" w:eastAsia="宋体"/>
          <w:color w:val="auto"/>
        </w:rPr>
        <w:t>处理后</w:t>
      </w:r>
      <w:r>
        <w:rPr>
          <w:rFonts w:hint="eastAsia" w:ascii="Times New Roman" w:eastAsia="宋体"/>
          <w:color w:val="auto"/>
        </w:rPr>
        <w:t>，外运至新华养殖场污水处理站处理</w:t>
      </w:r>
      <w:r>
        <w:rPr>
          <w:rFonts w:ascii="Times New Roman" w:eastAsia="宋体"/>
          <w:color w:val="auto"/>
        </w:rPr>
        <w:t>达到</w:t>
      </w:r>
      <w:r>
        <w:rPr>
          <w:rFonts w:hint="eastAsia" w:ascii="Times New Roman" w:eastAsia="宋体"/>
          <w:color w:val="auto"/>
        </w:rPr>
        <w:t>《污水综合排放标准》GB 8978-1996一级标准要求，后用于周边</w:t>
      </w:r>
      <w:r>
        <w:rPr>
          <w:rFonts w:hint="eastAsia" w:ascii="Times New Roman" w:eastAsia="宋体"/>
          <w:color w:val="auto"/>
          <w:lang w:eastAsia="zh-CN"/>
        </w:rPr>
        <w:t>农林施肥</w:t>
      </w:r>
      <w:r>
        <w:rPr>
          <w:rFonts w:hint="eastAsia" w:ascii="Times New Roman" w:eastAsia="宋体"/>
          <w:color w:val="auto"/>
        </w:rPr>
        <w:t>，不外排</w:t>
      </w:r>
      <w:r>
        <w:rPr>
          <w:rFonts w:ascii="Times New Roman" w:eastAsia="宋体"/>
          <w:color w:val="auto"/>
        </w:rPr>
        <w:t>；固废均得到有效处理；噪声经采取多种治理措施，其对周围环境影响不大。因此本项目的建设对社会经济产生的不良影响是有限的。</w:t>
      </w:r>
    </w:p>
    <w:p>
      <w:pPr>
        <w:pStyle w:val="301"/>
        <w:spacing w:line="360" w:lineRule="auto"/>
        <w:ind w:firstLine="497"/>
        <w:rPr>
          <w:rFonts w:ascii="Times New Roman" w:eastAsia="宋体"/>
          <w:color w:val="auto"/>
        </w:rPr>
      </w:pPr>
      <w:r>
        <w:rPr>
          <w:rFonts w:ascii="Times New Roman" w:eastAsia="宋体"/>
          <w:color w:val="auto"/>
        </w:rPr>
        <w:t>综上所述，本工程的建设具有较好的社会效益、经济效益和环境效益。</w:t>
      </w:r>
    </w:p>
    <w:p>
      <w:pPr>
        <w:pStyle w:val="2"/>
        <w:numPr>
          <w:ilvl w:val="0"/>
          <w:numId w:val="0"/>
        </w:numPr>
        <w:spacing w:before="0" w:after="0" w:line="360" w:lineRule="auto"/>
        <w:rPr>
          <w:rFonts w:ascii="Times New Roman" w:eastAsia="宋体"/>
          <w:color w:val="auto"/>
          <w:sz w:val="36"/>
          <w:szCs w:val="36"/>
        </w:rPr>
      </w:pPr>
      <w:r>
        <w:rPr>
          <w:rFonts w:ascii="Times New Roman" w:eastAsia="宋体"/>
          <w:color w:val="auto"/>
          <w:kern w:val="2"/>
          <w:sz w:val="24"/>
          <w:szCs w:val="24"/>
        </w:rPr>
        <w:br w:type="page"/>
      </w:r>
      <w:bookmarkStart w:id="549" w:name="_Toc10100"/>
      <w:bookmarkStart w:id="550" w:name="_Toc2191"/>
      <w:bookmarkStart w:id="551" w:name="_Toc20923"/>
      <w:bookmarkStart w:id="552" w:name="_Toc28326"/>
      <w:r>
        <w:rPr>
          <w:rFonts w:hint="eastAsia" w:ascii="Times New Roman" w:eastAsia="宋体"/>
          <w:color w:val="auto"/>
          <w:sz w:val="36"/>
          <w:szCs w:val="36"/>
        </w:rPr>
        <w:t>8</w:t>
      </w:r>
      <w:r>
        <w:rPr>
          <w:rFonts w:ascii="Times New Roman" w:eastAsia="宋体"/>
          <w:color w:val="auto"/>
          <w:sz w:val="36"/>
          <w:szCs w:val="36"/>
        </w:rPr>
        <w:t>环境管理与监测</w:t>
      </w:r>
      <w:bookmarkEnd w:id="549"/>
      <w:bookmarkEnd w:id="550"/>
      <w:r>
        <w:rPr>
          <w:rFonts w:hint="eastAsia" w:ascii="Times New Roman" w:eastAsia="宋体"/>
          <w:color w:val="auto"/>
          <w:sz w:val="36"/>
          <w:szCs w:val="36"/>
        </w:rPr>
        <w:t>计划</w:t>
      </w:r>
      <w:bookmarkEnd w:id="551"/>
      <w:bookmarkEnd w:id="552"/>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53" w:name="_Toc24935"/>
      <w:bookmarkStart w:id="554" w:name="_Toc339894034"/>
      <w:bookmarkStart w:id="555" w:name="_Toc476130876"/>
      <w:bookmarkStart w:id="556" w:name="_Toc10251"/>
      <w:bookmarkStart w:id="557" w:name="_Toc9900"/>
      <w:r>
        <w:rPr>
          <w:rFonts w:hint="eastAsia" w:ascii="Times New Roman" w:hAnsi="Times New Roman" w:eastAsia="宋体"/>
          <w:color w:val="auto"/>
          <w:kern w:val="2"/>
          <w:sz w:val="28"/>
          <w:szCs w:val="28"/>
        </w:rPr>
        <w:t>8</w:t>
      </w:r>
      <w:r>
        <w:rPr>
          <w:rFonts w:ascii="Times New Roman" w:hAnsi="Times New Roman" w:eastAsia="宋体"/>
          <w:color w:val="auto"/>
          <w:kern w:val="2"/>
          <w:sz w:val="28"/>
          <w:szCs w:val="28"/>
        </w:rPr>
        <w:t>.1环境管理</w:t>
      </w:r>
      <w:bookmarkEnd w:id="553"/>
      <w:bookmarkEnd w:id="554"/>
      <w:bookmarkEnd w:id="555"/>
      <w:bookmarkEnd w:id="556"/>
      <w:bookmarkEnd w:id="557"/>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8</w:t>
      </w:r>
      <w:r>
        <w:rPr>
          <w:rFonts w:ascii="Times New Roman" w:eastAsia="宋体"/>
          <w:b/>
          <w:bCs/>
          <w:color w:val="auto"/>
          <w:kern w:val="2"/>
          <w:sz w:val="24"/>
        </w:rPr>
        <w:t>.1.1环境管理机构设置及职责</w:t>
      </w:r>
    </w:p>
    <w:p>
      <w:pPr>
        <w:pStyle w:val="173"/>
        <w:ind w:firstLine="497"/>
        <w:rPr>
          <w:rFonts w:ascii="Times New Roman" w:eastAsia="宋体"/>
          <w:color w:val="auto"/>
        </w:rPr>
      </w:pPr>
      <w:r>
        <w:rPr>
          <w:rFonts w:ascii="Times New Roman" w:eastAsia="宋体"/>
          <w:color w:val="auto"/>
        </w:rPr>
        <w:t>（1）机构设置</w:t>
      </w:r>
    </w:p>
    <w:p>
      <w:pPr>
        <w:spacing w:line="360" w:lineRule="auto"/>
        <w:ind w:firstLine="496" w:firstLineChars="200"/>
        <w:rPr>
          <w:rFonts w:ascii="Times New Roman" w:eastAsia="宋体"/>
          <w:color w:val="auto"/>
          <w:kern w:val="2"/>
          <w:szCs w:val="24"/>
        </w:rPr>
      </w:pPr>
      <w:r>
        <w:rPr>
          <w:rFonts w:ascii="Times New Roman" w:eastAsia="宋体"/>
          <w:color w:val="auto"/>
          <w:kern w:val="2"/>
        </w:rPr>
        <w:t>环境管理是企业管理的重要组成部分，企业环境管理是要利用行政、经济、技术、法律和教育等手段，对生产经营发展和环境保护的关系进行协调，对环境污染进行综合治理，达到既发展生产又保护环境的目的。</w:t>
      </w:r>
    </w:p>
    <w:p>
      <w:pPr>
        <w:spacing w:line="360" w:lineRule="auto"/>
        <w:ind w:firstLine="496" w:firstLineChars="200"/>
        <w:rPr>
          <w:rFonts w:ascii="Times New Roman" w:eastAsia="宋体"/>
          <w:color w:val="auto"/>
          <w:kern w:val="2"/>
        </w:rPr>
      </w:pPr>
      <w:r>
        <w:rPr>
          <w:rFonts w:ascii="Times New Roman" w:eastAsia="宋体"/>
          <w:color w:val="auto"/>
          <w:szCs w:val="22"/>
        </w:rPr>
        <w:t>为适应环保工作的需要，建议公司</w:t>
      </w:r>
      <w:r>
        <w:rPr>
          <w:rFonts w:ascii="Times New Roman" w:eastAsia="宋体"/>
          <w:color w:val="auto"/>
          <w:kern w:val="2"/>
        </w:rPr>
        <w:t>建立一套完善的管理体制，环境管理体制应实行总经理领导下的部门责任制，有一名副总经理主管市场的环保工作，并设置环保科，安排2～3名工作人员，以负责整个市场的环保工作。同时本评价对工程的环境保护管理机构设置、职责及日常管理等，</w:t>
      </w:r>
    </w:p>
    <w:p>
      <w:pPr>
        <w:pStyle w:val="173"/>
        <w:ind w:firstLine="497"/>
        <w:rPr>
          <w:rFonts w:ascii="Times New Roman" w:eastAsia="宋体"/>
          <w:color w:val="auto"/>
        </w:rPr>
      </w:pPr>
      <w:r>
        <w:rPr>
          <w:rFonts w:ascii="Times New Roman" w:eastAsia="宋体"/>
          <w:color w:val="auto"/>
        </w:rPr>
        <w:t>（2）环境管理职能</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1 \* GB3 </w:instrText>
      </w:r>
      <w:r>
        <w:rPr>
          <w:rFonts w:ascii="Times New Roman" w:eastAsia="宋体"/>
          <w:color w:val="auto"/>
        </w:rPr>
        <w:fldChar w:fldCharType="separate"/>
      </w:r>
      <w:r>
        <w:rPr>
          <w:rFonts w:ascii="Times New Roman" w:eastAsia="宋体"/>
          <w:color w:val="auto"/>
        </w:rPr>
        <w:t>①</w:t>
      </w:r>
      <w:r>
        <w:rPr>
          <w:rFonts w:ascii="Times New Roman" w:eastAsia="宋体"/>
          <w:color w:val="auto"/>
        </w:rPr>
        <w:fldChar w:fldCharType="end"/>
      </w:r>
      <w:r>
        <w:rPr>
          <w:rFonts w:ascii="Times New Roman" w:eastAsia="宋体"/>
          <w:color w:val="auto"/>
        </w:rPr>
        <w:t>督促、检查本企业执行国家有关环境保护方针、政策、法规及企业环境保护制度，贯彻执行“三同时”的规定，并参加有关方案的审定及竣工验收工作；</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2 \* GB3 </w:instrText>
      </w:r>
      <w:r>
        <w:rPr>
          <w:rFonts w:ascii="Times New Roman" w:eastAsia="宋体"/>
          <w:color w:val="auto"/>
        </w:rPr>
        <w:fldChar w:fldCharType="separate"/>
      </w:r>
      <w:r>
        <w:rPr>
          <w:rFonts w:ascii="Times New Roman" w:eastAsia="宋体"/>
          <w:color w:val="auto"/>
        </w:rPr>
        <w:t>②</w:t>
      </w:r>
      <w:r>
        <w:rPr>
          <w:rFonts w:ascii="Times New Roman" w:eastAsia="宋体"/>
          <w:color w:val="auto"/>
        </w:rPr>
        <w:fldChar w:fldCharType="end"/>
      </w:r>
      <w:r>
        <w:rPr>
          <w:rFonts w:ascii="Times New Roman" w:eastAsia="宋体"/>
          <w:color w:val="auto"/>
        </w:rPr>
        <w:t>根据项目生产特点和产污情况，制定</w:t>
      </w:r>
      <w:r>
        <w:rPr>
          <w:rFonts w:hint="eastAsia" w:ascii="Times New Roman" w:eastAsia="宋体"/>
          <w:color w:val="auto"/>
        </w:rPr>
        <w:t>全场</w:t>
      </w:r>
      <w:r>
        <w:rPr>
          <w:rFonts w:ascii="Times New Roman" w:eastAsia="宋体"/>
          <w:color w:val="auto"/>
        </w:rPr>
        <w:t>环境管理办法，按照国家和当地的有关规定，制定</w:t>
      </w:r>
      <w:r>
        <w:rPr>
          <w:rFonts w:hint="eastAsia" w:ascii="Times New Roman" w:eastAsia="宋体"/>
          <w:color w:val="auto"/>
        </w:rPr>
        <w:t>全场</w:t>
      </w:r>
      <w:r>
        <w:rPr>
          <w:rFonts w:ascii="Times New Roman" w:eastAsia="宋体"/>
          <w:color w:val="auto"/>
        </w:rPr>
        <w:t>污染综合防治的经济技术原则，制定切实可行的环保管理制度和条例；</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3 \* GB3 </w:instrText>
      </w:r>
      <w:r>
        <w:rPr>
          <w:rFonts w:ascii="Times New Roman" w:eastAsia="宋体"/>
          <w:color w:val="auto"/>
        </w:rPr>
        <w:fldChar w:fldCharType="separate"/>
      </w:r>
      <w:r>
        <w:rPr>
          <w:rFonts w:ascii="Times New Roman" w:eastAsia="宋体"/>
          <w:color w:val="auto"/>
        </w:rPr>
        <w:t>③</w:t>
      </w:r>
      <w:r>
        <w:rPr>
          <w:rFonts w:ascii="Times New Roman" w:eastAsia="宋体"/>
          <w:color w:val="auto"/>
        </w:rPr>
        <w:fldChar w:fldCharType="end"/>
      </w:r>
      <w:r>
        <w:rPr>
          <w:rFonts w:ascii="Times New Roman" w:eastAsia="宋体"/>
          <w:color w:val="auto"/>
        </w:rPr>
        <w:t>负责组织企业污染源调查，并按月或季度编写企业环境质量报告；</w:t>
      </w:r>
    </w:p>
    <w:p>
      <w:pPr>
        <w:spacing w:line="360" w:lineRule="auto"/>
        <w:ind w:firstLine="496" w:firstLineChars="200"/>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4 \* GB3 </w:instrText>
      </w:r>
      <w:r>
        <w:rPr>
          <w:rFonts w:ascii="Times New Roman" w:eastAsia="宋体"/>
          <w:color w:val="auto"/>
        </w:rPr>
        <w:fldChar w:fldCharType="separate"/>
      </w:r>
      <w:r>
        <w:rPr>
          <w:rFonts w:ascii="Times New Roman" w:eastAsia="宋体"/>
          <w:color w:val="auto"/>
        </w:rPr>
        <w:t>④</w:t>
      </w:r>
      <w:r>
        <w:rPr>
          <w:rFonts w:ascii="Times New Roman" w:eastAsia="宋体"/>
          <w:color w:val="auto"/>
        </w:rPr>
        <w:fldChar w:fldCharType="end"/>
      </w:r>
      <w:r>
        <w:rPr>
          <w:rFonts w:ascii="Times New Roman" w:eastAsia="宋体"/>
          <w:color w:val="auto"/>
        </w:rPr>
        <w:t>把污染源监督和“三废”排放纳入日常管理工作，并落实到养鸡车间、班组和岗位；</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5 \* GB3 </w:instrText>
      </w:r>
      <w:r>
        <w:rPr>
          <w:rFonts w:ascii="Times New Roman" w:eastAsia="宋体"/>
          <w:color w:val="auto"/>
        </w:rPr>
        <w:fldChar w:fldCharType="separate"/>
      </w:r>
      <w:r>
        <w:rPr>
          <w:rFonts w:ascii="Times New Roman" w:eastAsia="宋体"/>
          <w:color w:val="auto"/>
        </w:rPr>
        <w:t>⑤</w:t>
      </w:r>
      <w:r>
        <w:rPr>
          <w:rFonts w:ascii="Times New Roman" w:eastAsia="宋体"/>
          <w:color w:val="auto"/>
        </w:rPr>
        <w:fldChar w:fldCharType="end"/>
      </w:r>
      <w:r>
        <w:rPr>
          <w:rFonts w:ascii="Times New Roman" w:eastAsia="宋体"/>
          <w:color w:val="auto"/>
        </w:rPr>
        <w:t>按照责、权、利实行奖罚制度，对违反制度的行为根据情节给予处罚，对有功人员给予奖励；</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6 \* GB3 </w:instrText>
      </w:r>
      <w:r>
        <w:rPr>
          <w:rFonts w:ascii="Times New Roman" w:eastAsia="宋体"/>
          <w:color w:val="auto"/>
        </w:rPr>
        <w:fldChar w:fldCharType="separate"/>
      </w:r>
      <w:r>
        <w:rPr>
          <w:rFonts w:ascii="Times New Roman" w:eastAsia="宋体"/>
          <w:color w:val="auto"/>
        </w:rPr>
        <w:t>⑥</w:t>
      </w:r>
      <w:r>
        <w:rPr>
          <w:rFonts w:ascii="Times New Roman" w:eastAsia="宋体"/>
          <w:color w:val="auto"/>
        </w:rPr>
        <w:fldChar w:fldCharType="end"/>
      </w:r>
      <w:r>
        <w:rPr>
          <w:rFonts w:ascii="Times New Roman" w:eastAsia="宋体"/>
          <w:color w:val="auto"/>
        </w:rPr>
        <w:t>收集、整理和推广环保技术和经验，组织对本企业环保人员的培训和环保技术情报的交流，推广国内、外先进的污染防治技术和经验，对运行中出现的环保问题及时解决；</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7 \* GB3 </w:instrText>
      </w:r>
      <w:r>
        <w:rPr>
          <w:rFonts w:ascii="Times New Roman" w:eastAsia="宋体"/>
          <w:color w:val="auto"/>
        </w:rPr>
        <w:fldChar w:fldCharType="separate"/>
      </w:r>
      <w:r>
        <w:rPr>
          <w:rFonts w:ascii="Times New Roman" w:eastAsia="宋体"/>
          <w:color w:val="auto"/>
        </w:rPr>
        <w:t>⑦</w:t>
      </w:r>
      <w:r>
        <w:rPr>
          <w:rFonts w:ascii="Times New Roman" w:eastAsia="宋体"/>
          <w:color w:val="auto"/>
        </w:rPr>
        <w:fldChar w:fldCharType="end"/>
      </w:r>
      <w:r>
        <w:rPr>
          <w:rFonts w:ascii="Times New Roman" w:eastAsia="宋体"/>
          <w:color w:val="auto"/>
        </w:rPr>
        <w:t>配合上级环保主管部门，贯彻落实有关环保法规和规定；</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8 \* GB3 </w:instrText>
      </w:r>
      <w:r>
        <w:rPr>
          <w:rFonts w:ascii="Times New Roman" w:eastAsia="宋体"/>
          <w:color w:val="auto"/>
        </w:rPr>
        <w:fldChar w:fldCharType="separate"/>
      </w:r>
      <w:r>
        <w:rPr>
          <w:rFonts w:ascii="Times New Roman" w:eastAsia="宋体"/>
          <w:color w:val="auto"/>
        </w:rPr>
        <w:t>⑧</w:t>
      </w:r>
      <w:r>
        <w:rPr>
          <w:rFonts w:ascii="Times New Roman" w:eastAsia="宋体"/>
          <w:color w:val="auto"/>
        </w:rPr>
        <w:fldChar w:fldCharType="end"/>
      </w:r>
      <w:r>
        <w:rPr>
          <w:rFonts w:ascii="Times New Roman" w:eastAsia="宋体"/>
          <w:color w:val="auto"/>
        </w:rPr>
        <w:t>负责本企业污染事故的调查和处理；</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9 \* GB3 </w:instrText>
      </w:r>
      <w:r>
        <w:rPr>
          <w:rFonts w:ascii="Times New Roman" w:eastAsia="宋体"/>
          <w:color w:val="auto"/>
        </w:rPr>
        <w:fldChar w:fldCharType="separate"/>
      </w:r>
      <w:r>
        <w:rPr>
          <w:rFonts w:ascii="Times New Roman" w:eastAsia="宋体"/>
          <w:color w:val="auto"/>
        </w:rPr>
        <w:t>⑨</w:t>
      </w:r>
      <w:r>
        <w:rPr>
          <w:rFonts w:ascii="Times New Roman" w:eastAsia="宋体"/>
          <w:color w:val="auto"/>
        </w:rPr>
        <w:fldChar w:fldCharType="end"/>
      </w:r>
      <w:r>
        <w:rPr>
          <w:rFonts w:ascii="Times New Roman" w:eastAsia="宋体"/>
          <w:color w:val="auto"/>
        </w:rPr>
        <w:t>做好环境统计工作，建立环保档案；</w:t>
      </w:r>
    </w:p>
    <w:p>
      <w:pPr>
        <w:pStyle w:val="173"/>
        <w:ind w:firstLine="497"/>
        <w:rPr>
          <w:rFonts w:ascii="Times New Roman" w:eastAsia="宋体"/>
          <w:color w:val="auto"/>
        </w:rPr>
      </w:pPr>
      <w:r>
        <w:rPr>
          <w:rFonts w:ascii="Times New Roman" w:eastAsia="宋体"/>
          <w:color w:val="auto"/>
        </w:rPr>
        <w:fldChar w:fldCharType="begin"/>
      </w:r>
      <w:r>
        <w:rPr>
          <w:rFonts w:ascii="Times New Roman" w:eastAsia="宋体"/>
          <w:color w:val="auto"/>
        </w:rPr>
        <w:instrText xml:space="preserve"> = 10 \* GB3 </w:instrText>
      </w:r>
      <w:r>
        <w:rPr>
          <w:rFonts w:ascii="Times New Roman" w:eastAsia="宋体"/>
          <w:color w:val="auto"/>
        </w:rPr>
        <w:fldChar w:fldCharType="separate"/>
      </w:r>
      <w:r>
        <w:rPr>
          <w:rFonts w:ascii="Times New Roman" w:eastAsia="宋体"/>
          <w:color w:val="auto"/>
        </w:rPr>
        <w:t>⑩</w:t>
      </w:r>
      <w:r>
        <w:rPr>
          <w:rFonts w:ascii="Times New Roman" w:eastAsia="宋体"/>
          <w:color w:val="auto"/>
        </w:rPr>
        <w:fldChar w:fldCharType="end"/>
      </w:r>
      <w:r>
        <w:rPr>
          <w:rFonts w:ascii="Times New Roman" w:eastAsia="宋体"/>
          <w:color w:val="auto"/>
        </w:rPr>
        <w:t>与有关组织合作，积极开展清洁生产活动，广泛开展环保宣传教育活动，普及环境科学知识。</w:t>
      </w:r>
    </w:p>
    <w:p>
      <w:pPr>
        <w:pStyle w:val="4"/>
        <w:spacing w:before="0" w:after="0" w:line="360" w:lineRule="auto"/>
        <w:rPr>
          <w:rFonts w:ascii="Times New Roman" w:eastAsia="宋体"/>
          <w:b/>
          <w:bCs/>
          <w:color w:val="auto"/>
          <w:kern w:val="2"/>
          <w:sz w:val="24"/>
        </w:rPr>
      </w:pPr>
      <w:bookmarkStart w:id="558" w:name="_Toc356804685"/>
      <w:bookmarkStart w:id="559" w:name="_Toc381782885"/>
      <w:bookmarkStart w:id="560" w:name="_Toc303322861"/>
      <w:bookmarkStart w:id="561" w:name="_Toc353200357"/>
      <w:bookmarkStart w:id="562" w:name="_Toc353173072"/>
      <w:bookmarkStart w:id="563" w:name="_Toc353522990"/>
      <w:r>
        <w:rPr>
          <w:rFonts w:hint="eastAsia" w:ascii="Times New Roman" w:eastAsia="宋体"/>
          <w:b/>
          <w:bCs/>
          <w:color w:val="auto"/>
          <w:kern w:val="2"/>
          <w:sz w:val="24"/>
        </w:rPr>
        <w:t>8</w:t>
      </w:r>
      <w:r>
        <w:rPr>
          <w:rFonts w:ascii="Times New Roman" w:eastAsia="宋体"/>
          <w:b/>
          <w:bCs/>
          <w:color w:val="auto"/>
          <w:kern w:val="2"/>
          <w:sz w:val="24"/>
        </w:rPr>
        <w:t>.1.</w:t>
      </w:r>
      <w:r>
        <w:rPr>
          <w:rFonts w:hint="eastAsia" w:ascii="Times New Roman" w:eastAsia="宋体"/>
          <w:b/>
          <w:bCs/>
          <w:color w:val="auto"/>
          <w:kern w:val="2"/>
          <w:sz w:val="24"/>
        </w:rPr>
        <w:t>2</w:t>
      </w:r>
      <w:r>
        <w:rPr>
          <w:rFonts w:ascii="Times New Roman" w:eastAsia="宋体"/>
          <w:b/>
          <w:bCs/>
          <w:color w:val="auto"/>
          <w:kern w:val="2"/>
          <w:sz w:val="24"/>
        </w:rPr>
        <w:t>环境管理计划</w:t>
      </w:r>
    </w:p>
    <w:bookmarkEnd w:id="558"/>
    <w:bookmarkEnd w:id="559"/>
    <w:bookmarkEnd w:id="560"/>
    <w:bookmarkEnd w:id="561"/>
    <w:bookmarkEnd w:id="562"/>
    <w:bookmarkEnd w:id="563"/>
    <w:p>
      <w:pPr>
        <w:pStyle w:val="173"/>
        <w:ind w:firstLine="497"/>
        <w:rPr>
          <w:rFonts w:ascii="Times New Roman" w:eastAsia="宋体"/>
          <w:color w:val="auto"/>
        </w:rPr>
      </w:pPr>
      <w:r>
        <w:rPr>
          <w:rFonts w:hint="eastAsia" w:ascii="Times New Roman" w:eastAsia="宋体"/>
          <w:color w:val="auto"/>
        </w:rPr>
        <w:t>（1）</w:t>
      </w:r>
      <w:r>
        <w:rPr>
          <w:rFonts w:ascii="Times New Roman" w:eastAsia="宋体"/>
          <w:color w:val="auto"/>
        </w:rPr>
        <w:t>施工期环境管理工作内容</w:t>
      </w:r>
    </w:p>
    <w:p>
      <w:pPr>
        <w:pStyle w:val="173"/>
        <w:ind w:firstLine="497"/>
        <w:rPr>
          <w:rFonts w:ascii="Times New Roman" w:eastAsia="宋体"/>
          <w:color w:val="auto"/>
        </w:rPr>
      </w:pPr>
      <w:r>
        <w:rPr>
          <w:rFonts w:ascii="Times New Roman" w:eastAsia="宋体"/>
          <w:color w:val="auto"/>
        </w:rPr>
        <w:t>施工承包商在进行工种承包时，应将施工期的环境污染控制列入承包内容，并在工程开工前和施工过程中制定相应的环保防治措施和工程计划。按规定，本项目施工时应向当地环保行政主管部门申报；设专人负责管理，培训工作人员，以正确的工作方法，控制施工中产生的不利环境影响；必要时，还需在监测和检查工程施工的环境影响和实施缓解措施方面进行培训，以确保项目施工期各项环保控制措施的落实。工程建设单位有责任配合当地环保主管机构，对施工过程的环境影响进行环境监测和监理，以保证施工期的环保措施得以完善和持续执行，使项目建设施工范围的环境质量得到充分有效保证。</w:t>
      </w:r>
    </w:p>
    <w:p>
      <w:pPr>
        <w:pStyle w:val="173"/>
        <w:ind w:firstLine="497"/>
        <w:rPr>
          <w:rFonts w:ascii="Times New Roman" w:eastAsia="宋体"/>
          <w:color w:val="auto"/>
        </w:rPr>
      </w:pPr>
      <w:r>
        <w:rPr>
          <w:rFonts w:ascii="Times New Roman" w:eastAsia="宋体"/>
          <w:color w:val="auto"/>
        </w:rPr>
        <w:t>本项目在施工期采取以上的防治措施，可大大减少项目在施工过程中对周围环境造成的影响。</w:t>
      </w:r>
    </w:p>
    <w:p>
      <w:pPr>
        <w:pStyle w:val="173"/>
        <w:ind w:firstLine="497"/>
        <w:rPr>
          <w:rFonts w:ascii="Times New Roman" w:eastAsia="宋体"/>
          <w:color w:val="auto"/>
        </w:rPr>
      </w:pPr>
      <w:r>
        <w:rPr>
          <w:rFonts w:hint="eastAsia" w:ascii="Times New Roman" w:eastAsia="宋体"/>
          <w:color w:val="auto"/>
        </w:rPr>
        <w:t>（2）</w:t>
      </w:r>
      <w:r>
        <w:rPr>
          <w:rFonts w:ascii="Times New Roman" w:eastAsia="宋体"/>
          <w:color w:val="auto"/>
        </w:rPr>
        <w:t>营运期期环境管理工作内容</w:t>
      </w:r>
    </w:p>
    <w:p>
      <w:pPr>
        <w:pStyle w:val="173"/>
        <w:ind w:firstLine="497"/>
        <w:rPr>
          <w:rFonts w:ascii="Times New Roman" w:eastAsia="宋体"/>
          <w:color w:val="auto"/>
        </w:rPr>
      </w:pPr>
      <w:r>
        <w:rPr>
          <w:rFonts w:ascii="Times New Roman" w:eastAsia="宋体"/>
          <w:color w:val="auto"/>
        </w:rPr>
        <w:t>项目管理机构负责项目内的环境保护管理工作和处理环境保护的日常事物。环境保护管理的日常工作的主要内容有：</w:t>
      </w:r>
    </w:p>
    <w:p>
      <w:pPr>
        <w:pStyle w:val="173"/>
        <w:ind w:firstLine="497"/>
        <w:rPr>
          <w:rFonts w:ascii="Times New Roman" w:eastAsia="宋体"/>
          <w:color w:val="auto"/>
        </w:rPr>
      </w:pPr>
      <w:r>
        <w:rPr>
          <w:rFonts w:ascii="Times New Roman" w:eastAsia="宋体"/>
          <w:color w:val="auto"/>
        </w:rPr>
        <w:t>1 、负责监督检查有关环保法规、条例的执行情况，以及关于环境保护的规章制度的执行情况；</w:t>
      </w:r>
    </w:p>
    <w:p>
      <w:pPr>
        <w:pStyle w:val="173"/>
        <w:ind w:firstLine="497"/>
        <w:rPr>
          <w:rFonts w:ascii="Times New Roman" w:eastAsia="宋体"/>
          <w:color w:val="auto"/>
        </w:rPr>
      </w:pPr>
      <w:r>
        <w:rPr>
          <w:rFonts w:ascii="Times New Roman" w:eastAsia="宋体"/>
          <w:color w:val="auto"/>
        </w:rPr>
        <w:t>2 、监督各项污染控制措施的执行、污染事故防治条例的实施和污染处理设施运行效果的检查；</w:t>
      </w:r>
    </w:p>
    <w:p>
      <w:pPr>
        <w:pStyle w:val="173"/>
        <w:ind w:firstLine="497"/>
        <w:rPr>
          <w:rFonts w:ascii="Times New Roman" w:eastAsia="宋体"/>
          <w:color w:val="auto"/>
        </w:rPr>
      </w:pPr>
      <w:r>
        <w:rPr>
          <w:rFonts w:ascii="Times New Roman" w:eastAsia="宋体"/>
          <w:color w:val="auto"/>
        </w:rPr>
        <w:t>3 、有关人员环境保护培训和对外环境保护宣传；</w:t>
      </w:r>
    </w:p>
    <w:p>
      <w:pPr>
        <w:pStyle w:val="173"/>
        <w:ind w:firstLine="497"/>
        <w:rPr>
          <w:rFonts w:ascii="Times New Roman" w:eastAsia="宋体"/>
          <w:color w:val="auto"/>
        </w:rPr>
      </w:pPr>
      <w:r>
        <w:rPr>
          <w:rFonts w:ascii="Times New Roman" w:eastAsia="宋体"/>
          <w:color w:val="auto"/>
        </w:rPr>
        <w:t>4 、负责水处理设施运行和维护管理；</w:t>
      </w:r>
    </w:p>
    <w:p>
      <w:pPr>
        <w:pStyle w:val="173"/>
        <w:ind w:firstLine="497"/>
        <w:rPr>
          <w:rFonts w:ascii="Times New Roman" w:eastAsia="宋体"/>
          <w:color w:val="auto"/>
        </w:rPr>
      </w:pPr>
      <w:r>
        <w:rPr>
          <w:rFonts w:ascii="Times New Roman" w:eastAsia="宋体"/>
          <w:color w:val="auto"/>
        </w:rPr>
        <w:t>5 、协助地方生态环境局进行的环境监督和管理；</w:t>
      </w:r>
    </w:p>
    <w:p>
      <w:pPr>
        <w:pStyle w:val="173"/>
        <w:ind w:firstLine="497"/>
        <w:rPr>
          <w:rFonts w:ascii="Times New Roman" w:eastAsia="宋体"/>
          <w:color w:val="auto"/>
        </w:rPr>
      </w:pPr>
      <w:r>
        <w:rPr>
          <w:rFonts w:ascii="Times New Roman" w:eastAsia="宋体"/>
          <w:color w:val="auto"/>
        </w:rPr>
        <w:t>6 、负责环境监控计划的实施；</w:t>
      </w:r>
    </w:p>
    <w:p>
      <w:pPr>
        <w:pStyle w:val="173"/>
        <w:ind w:firstLine="497"/>
        <w:rPr>
          <w:rFonts w:ascii="Times New Roman" w:eastAsia="宋体"/>
          <w:color w:val="auto"/>
        </w:rPr>
      </w:pPr>
      <w:r>
        <w:rPr>
          <w:rFonts w:ascii="Times New Roman" w:eastAsia="宋体"/>
          <w:color w:val="auto"/>
        </w:rPr>
        <w:t>7 、加强环境监测工作，对项目产生的废水水质以及处理后外排水质要定期进行监测，要有详细的记录；</w:t>
      </w:r>
    </w:p>
    <w:p>
      <w:pPr>
        <w:pStyle w:val="173"/>
        <w:ind w:firstLine="497"/>
        <w:rPr>
          <w:rFonts w:ascii="Times New Roman" w:eastAsia="宋体"/>
          <w:color w:val="auto"/>
        </w:rPr>
      </w:pPr>
      <w:r>
        <w:rPr>
          <w:rFonts w:ascii="Times New Roman" w:eastAsia="宋体"/>
          <w:color w:val="auto"/>
        </w:rPr>
        <w:t>8、会同当地有关监测单位对纳污水体水质进行监控，并在当地环保部门进行备案，一旦出现水质明显恶化等不良情况应及时采取应急措施补救，同时上报相关环保部门；</w:t>
      </w:r>
    </w:p>
    <w:p>
      <w:pPr>
        <w:pStyle w:val="173"/>
        <w:ind w:firstLine="497"/>
        <w:rPr>
          <w:rFonts w:ascii="Times New Roman" w:eastAsia="宋体"/>
          <w:color w:val="auto"/>
        </w:rPr>
      </w:pPr>
      <w:r>
        <w:rPr>
          <w:rFonts w:ascii="Times New Roman" w:eastAsia="宋体"/>
          <w:color w:val="auto"/>
        </w:rPr>
        <w:t>9 、在本项目运营期间，应对与本项目有关的主要人员，包括运营单位、受影响区域的公众，进行环境保护技术和政策方面的培训与宣传，从而进一步增强运营单位的环保管理的能力，减少项目运行产生的不利环境影响；提高人们的环保意识，加强公众的环境保护和自我保护意识。</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8</w:t>
      </w:r>
      <w:r>
        <w:rPr>
          <w:rFonts w:ascii="Times New Roman" w:eastAsia="宋体"/>
          <w:b/>
          <w:bCs/>
          <w:color w:val="auto"/>
          <w:kern w:val="2"/>
          <w:sz w:val="24"/>
        </w:rPr>
        <w:t>.1.</w:t>
      </w:r>
      <w:r>
        <w:rPr>
          <w:rFonts w:hint="eastAsia" w:ascii="Times New Roman" w:eastAsia="宋体"/>
          <w:b/>
          <w:bCs/>
          <w:color w:val="auto"/>
          <w:kern w:val="2"/>
          <w:sz w:val="24"/>
        </w:rPr>
        <w:t>3</w:t>
      </w:r>
      <w:r>
        <w:rPr>
          <w:rFonts w:ascii="Times New Roman" w:eastAsia="宋体"/>
          <w:b/>
          <w:bCs/>
          <w:color w:val="auto"/>
          <w:kern w:val="2"/>
          <w:sz w:val="24"/>
        </w:rPr>
        <w:t>排污口规范化</w:t>
      </w:r>
    </w:p>
    <w:p>
      <w:pPr>
        <w:pStyle w:val="231"/>
        <w:spacing w:after="0"/>
        <w:ind w:left="0" w:leftChars="0" w:firstLine="497"/>
        <w:rPr>
          <w:b/>
          <w:bCs/>
          <w:color w:val="auto"/>
          <w:szCs w:val="24"/>
        </w:rPr>
      </w:pPr>
      <w:r>
        <w:rPr>
          <w:color w:val="auto"/>
          <w:szCs w:val="24"/>
        </w:rPr>
        <w:t>排污口是污染物进入环境、对环境产生影响的通道。强化排污口的管理是实施污染物总量控制的基础工作之一，也是区域环境管理逐步实现污染物排放科学化、定量化的重要手段。</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8.1.3</w:t>
      </w:r>
      <w:r>
        <w:rPr>
          <w:rFonts w:ascii="Times New Roman" w:eastAsia="宋体"/>
          <w:color w:val="auto"/>
          <w:sz w:val="24"/>
        </w:rPr>
        <w:t>.1 排污口规范化设置</w:t>
      </w:r>
    </w:p>
    <w:p>
      <w:pPr>
        <w:pStyle w:val="173"/>
        <w:ind w:firstLine="497"/>
        <w:rPr>
          <w:rFonts w:ascii="Times New Roman" w:eastAsia="宋体"/>
          <w:color w:val="auto"/>
        </w:rPr>
      </w:pPr>
      <w:r>
        <w:rPr>
          <w:rFonts w:ascii="Times New Roman" w:eastAsia="宋体"/>
          <w:color w:val="auto"/>
        </w:rPr>
        <w:t>（1）向环境排放污染物的排放口必须规范化；</w:t>
      </w:r>
    </w:p>
    <w:p>
      <w:pPr>
        <w:pStyle w:val="231"/>
        <w:spacing w:after="0"/>
        <w:ind w:left="0" w:leftChars="0" w:firstLine="497"/>
        <w:rPr>
          <w:color w:val="auto"/>
          <w:szCs w:val="24"/>
        </w:rPr>
      </w:pPr>
      <w:r>
        <w:rPr>
          <w:color w:val="auto"/>
          <w:szCs w:val="24"/>
        </w:rPr>
        <w:t>（2）根据工程特点和国家列入的总量控制指标，排放COD、氨氮等污染物的排放口和向大气排放废气的排气筒作为管理的重点；</w:t>
      </w:r>
    </w:p>
    <w:p>
      <w:pPr>
        <w:pStyle w:val="173"/>
        <w:ind w:firstLine="497"/>
        <w:rPr>
          <w:rFonts w:ascii="Times New Roman" w:eastAsia="宋体"/>
          <w:color w:val="auto"/>
        </w:rPr>
      </w:pPr>
      <w:r>
        <w:rPr>
          <w:rFonts w:ascii="Times New Roman" w:eastAsia="宋体"/>
          <w:color w:val="auto"/>
        </w:rPr>
        <w:t>（3）排污口应便于采样与计量检测，便于日常现场监督检查。</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8.1.3</w:t>
      </w:r>
      <w:r>
        <w:rPr>
          <w:rFonts w:ascii="Times New Roman" w:eastAsia="宋体"/>
          <w:color w:val="auto"/>
          <w:sz w:val="24"/>
        </w:rPr>
        <w:t>.2 技术内容</w:t>
      </w:r>
    </w:p>
    <w:p>
      <w:pPr>
        <w:pStyle w:val="173"/>
        <w:ind w:firstLine="497"/>
        <w:rPr>
          <w:rFonts w:ascii="Times New Roman" w:eastAsia="宋体"/>
          <w:color w:val="auto"/>
        </w:rPr>
      </w:pPr>
      <w:r>
        <w:rPr>
          <w:rFonts w:ascii="Times New Roman" w:eastAsia="宋体"/>
          <w:color w:val="auto"/>
        </w:rPr>
        <w:t>（1）废气排放口与采样点的设置技术要求</w:t>
      </w:r>
    </w:p>
    <w:p>
      <w:pPr>
        <w:spacing w:line="360" w:lineRule="auto"/>
        <w:ind w:firstLine="496" w:firstLineChars="200"/>
        <w:rPr>
          <w:rFonts w:ascii="Times New Roman" w:eastAsia="宋体"/>
          <w:color w:val="auto"/>
          <w:szCs w:val="22"/>
        </w:rPr>
      </w:pPr>
      <w:r>
        <w:rPr>
          <w:rFonts w:ascii="Times New Roman" w:eastAsia="宋体"/>
          <w:color w:val="auto"/>
          <w:szCs w:val="22"/>
        </w:rPr>
        <w:t>①排气筒应设置便于采样、监测的采样口。采样口的设置应符合《污染源监测技术规范》要求。</w:t>
      </w:r>
    </w:p>
    <w:p>
      <w:pPr>
        <w:spacing w:line="360" w:lineRule="auto"/>
        <w:ind w:firstLine="496" w:firstLineChars="200"/>
        <w:rPr>
          <w:rFonts w:ascii="Times New Roman" w:eastAsia="宋体"/>
          <w:color w:val="auto"/>
          <w:szCs w:val="22"/>
        </w:rPr>
      </w:pPr>
      <w:r>
        <w:rPr>
          <w:rFonts w:ascii="Times New Roman" w:eastAsia="宋体"/>
          <w:color w:val="auto"/>
          <w:szCs w:val="22"/>
        </w:rPr>
        <w:t>②无组织排放有毒有害气体的，应加装引风装置，进行收集、处理，并设置采样点。</w:t>
      </w:r>
    </w:p>
    <w:p>
      <w:pPr>
        <w:spacing w:line="360" w:lineRule="auto"/>
        <w:ind w:firstLine="496" w:firstLineChars="200"/>
        <w:rPr>
          <w:rFonts w:ascii="Times New Roman" w:eastAsia="宋体"/>
          <w:color w:val="auto"/>
          <w:szCs w:val="22"/>
        </w:rPr>
      </w:pPr>
      <w:r>
        <w:rPr>
          <w:rFonts w:ascii="Times New Roman" w:eastAsia="宋体"/>
          <w:color w:val="auto"/>
          <w:szCs w:val="22"/>
        </w:rPr>
        <w:t>③点源排气筒应按《固定污染源排气中颗粒物测定与气态污染物采样方法》的要求，留有规范的、便于测量流量、流速的测流段和采样位置，设置永久性采样孔及采样平台，并安装用于采样和测量的辅助设施。</w:t>
      </w:r>
    </w:p>
    <w:p>
      <w:pPr>
        <w:pStyle w:val="173"/>
        <w:ind w:firstLine="497"/>
        <w:rPr>
          <w:rFonts w:ascii="Times New Roman" w:eastAsia="宋体"/>
          <w:color w:val="auto"/>
        </w:rPr>
      </w:pPr>
      <w:r>
        <w:rPr>
          <w:rFonts w:ascii="Times New Roman" w:eastAsia="宋体"/>
          <w:color w:val="auto"/>
        </w:rPr>
        <w:t>（2）固体废物贮存场所的设置技术要求</w:t>
      </w:r>
    </w:p>
    <w:p>
      <w:pPr>
        <w:pStyle w:val="231"/>
        <w:spacing w:after="0"/>
        <w:ind w:left="0" w:leftChars="0" w:firstLine="497"/>
        <w:rPr>
          <w:color w:val="auto"/>
          <w:szCs w:val="24"/>
        </w:rPr>
      </w:pPr>
      <w:r>
        <w:rPr>
          <w:color w:val="auto"/>
          <w:szCs w:val="24"/>
        </w:rPr>
        <w:t>①一般固体废物应设置专用贮存、堆放场地。</w:t>
      </w:r>
    </w:p>
    <w:p>
      <w:pPr>
        <w:pStyle w:val="231"/>
        <w:spacing w:after="0"/>
        <w:ind w:left="0" w:leftChars="0" w:firstLine="497"/>
        <w:rPr>
          <w:color w:val="auto"/>
          <w:szCs w:val="24"/>
        </w:rPr>
      </w:pPr>
      <w:r>
        <w:rPr>
          <w:color w:val="auto"/>
          <w:szCs w:val="24"/>
        </w:rPr>
        <w:t>②有毒有害固体废物等危险废物，应设置专用暂存间，并按照要求做好防渗工作，同时制作醒目标识及相应名牌，并必须有防扬散，防流失，防渗漏等防治措施。</w:t>
      </w:r>
    </w:p>
    <w:p>
      <w:pPr>
        <w:pStyle w:val="173"/>
        <w:ind w:firstLine="497"/>
        <w:rPr>
          <w:rFonts w:ascii="Times New Roman" w:eastAsia="宋体"/>
          <w:color w:val="auto"/>
        </w:rPr>
      </w:pPr>
      <w:r>
        <w:rPr>
          <w:rFonts w:ascii="Times New Roman" w:eastAsia="宋体"/>
          <w:color w:val="auto"/>
        </w:rPr>
        <w:t>（3）固定噪声排放源的降噪措施及监测点的设置技术要求</w:t>
      </w:r>
    </w:p>
    <w:p>
      <w:pPr>
        <w:pStyle w:val="231"/>
        <w:spacing w:after="0"/>
        <w:ind w:left="0" w:leftChars="0" w:firstLine="497"/>
        <w:rPr>
          <w:color w:val="auto"/>
          <w:szCs w:val="24"/>
        </w:rPr>
      </w:pPr>
      <w:r>
        <w:rPr>
          <w:color w:val="auto"/>
          <w:szCs w:val="24"/>
        </w:rPr>
        <w:t>①根据不同噪声源情况，可采取减振降噪，吸声处理降噪、隔声处理降噪等措施，使其达到功能区标准要求。</w:t>
      </w:r>
    </w:p>
    <w:p>
      <w:pPr>
        <w:pStyle w:val="231"/>
        <w:spacing w:after="0"/>
        <w:ind w:left="0" w:leftChars="0" w:firstLine="497"/>
        <w:rPr>
          <w:color w:val="auto"/>
          <w:szCs w:val="24"/>
        </w:rPr>
      </w:pPr>
      <w:r>
        <w:rPr>
          <w:color w:val="auto"/>
          <w:szCs w:val="24"/>
        </w:rPr>
        <w:t>②在固定噪声源厂界噪声敏感、且对外界影响最大处设置该噪声的监测点。</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8.1.3</w:t>
      </w:r>
      <w:r>
        <w:rPr>
          <w:rFonts w:ascii="Times New Roman" w:eastAsia="宋体"/>
          <w:color w:val="auto"/>
          <w:sz w:val="24"/>
        </w:rPr>
        <w:t>.3 污染物排放口（源）挂牌标识</w:t>
      </w:r>
    </w:p>
    <w:p>
      <w:pPr>
        <w:pStyle w:val="231"/>
        <w:spacing w:after="0"/>
        <w:ind w:left="0" w:leftChars="0" w:firstLine="497"/>
        <w:rPr>
          <w:color w:val="auto"/>
          <w:szCs w:val="24"/>
        </w:rPr>
      </w:pPr>
      <w:r>
        <w:rPr>
          <w:color w:val="auto"/>
          <w:szCs w:val="24"/>
        </w:rPr>
        <w:t>（1）一切排污单位的污染物排放口（源）和固体废物贮存、处置场，必须按照国家标准《环境保护图形标志》（GB15562.1-1995）（GB15562.2-1995）的规定进行规范化整治，设置与之相适应的环境保护图形标志牌。</w:t>
      </w:r>
    </w:p>
    <w:p>
      <w:pPr>
        <w:pStyle w:val="231"/>
        <w:spacing w:after="0"/>
        <w:ind w:left="0" w:leftChars="0" w:firstLine="497"/>
        <w:rPr>
          <w:color w:val="auto"/>
          <w:szCs w:val="24"/>
        </w:rPr>
      </w:pPr>
      <w:r>
        <w:rPr>
          <w:color w:val="auto"/>
          <w:szCs w:val="24"/>
        </w:rPr>
        <w:t>（2）环境保护图形标志牌设置位置应距污染物排放口（源）及固体废物贮存（处置）场或采样点较近且醒目处，并能长久保留，其中：噪声排放源标志牌应设置在距选定监测点较近且醒目处；设置高度一般为标志牌上缘距离地面2米。</w:t>
      </w:r>
    </w:p>
    <w:p>
      <w:pPr>
        <w:pStyle w:val="231"/>
        <w:spacing w:after="0"/>
        <w:ind w:left="0" w:leftChars="0" w:firstLine="497"/>
        <w:rPr>
          <w:color w:val="auto"/>
          <w:szCs w:val="24"/>
        </w:rPr>
      </w:pPr>
      <w:r>
        <w:rPr>
          <w:color w:val="auto"/>
          <w:szCs w:val="24"/>
        </w:rPr>
        <w:t>（3）一般性污染物排放口（源）或固体废物贮存、处置场，设置提示性环境保护图形标志牌；排放剧毒、致癌物及对人体有严重危害物质的排放口（源）或危险废物贮存、处置场，设置警告性环境保护图形标志牌。</w:t>
      </w:r>
    </w:p>
    <w:p>
      <w:pPr>
        <w:pStyle w:val="231"/>
        <w:spacing w:after="0"/>
        <w:ind w:left="0" w:leftChars="0" w:firstLine="497"/>
        <w:rPr>
          <w:color w:val="auto"/>
          <w:szCs w:val="24"/>
        </w:rPr>
      </w:pPr>
      <w:r>
        <w:rPr>
          <w:color w:val="auto"/>
          <w:szCs w:val="24"/>
        </w:rPr>
        <w:t>（4）环境保护图形标志牌的辅助标志上，需要填写的栏目，应由生态环境部门统一组织填写，要求字迹工整，字的颜色与标志牌颜色要总体协调。辅助标志内容包括排放口名称、单位名称、编号、污染物种类、XX生态环境局监制。</w:t>
      </w:r>
    </w:p>
    <w:p>
      <w:pPr>
        <w:spacing w:line="360" w:lineRule="auto"/>
        <w:ind w:firstLine="496" w:firstLineChars="200"/>
        <w:rPr>
          <w:rFonts w:ascii="Times New Roman" w:eastAsia="宋体"/>
          <w:color w:val="auto"/>
          <w:szCs w:val="24"/>
        </w:rPr>
      </w:pPr>
      <w:r>
        <w:rPr>
          <w:rFonts w:ascii="Times New Roman" w:eastAsia="宋体"/>
          <w:color w:val="auto"/>
          <w:szCs w:val="24"/>
        </w:rPr>
        <w:t>（5）排污口标志牌的图形标志、图形颜色及装置颜色、标志牌材质、表面处理、外观质量以及字体等要求应符合《环境保护图形标志-排放口（源）》（GB15562.1-1995）、《环境保护图形标志-固体废物贮存（处置）场》（GB15562.2-1995）等的要求。废气排放口、噪声排放源和固体废物排放源的图形符号分为提示图形符号和警告图形符号两种，其中提示图形符号用于向人们提供某种环境信息，警告图形符号用于提醒人们注意污染物排放可能会造成危害。</w:t>
      </w:r>
    </w:p>
    <w:p>
      <w:pPr>
        <w:pStyle w:val="14"/>
        <w:spacing w:line="240" w:lineRule="auto"/>
        <w:ind w:firstLine="0" w:firstLineChars="0"/>
        <w:jc w:val="center"/>
        <w:rPr>
          <w:rFonts w:ascii="Times New Roman" w:eastAsia="宋体"/>
          <w:b/>
          <w:color w:val="auto"/>
          <w:sz w:val="21"/>
          <w:szCs w:val="21"/>
        </w:rPr>
      </w:pPr>
    </w:p>
    <w:p>
      <w:pPr>
        <w:pStyle w:val="14"/>
        <w:spacing w:line="240" w:lineRule="auto"/>
        <w:ind w:firstLine="0" w:firstLineChars="0"/>
        <w:jc w:val="center"/>
        <w:rPr>
          <w:rFonts w:ascii="Times New Roman" w:eastAsia="宋体"/>
          <w:b/>
          <w:color w:val="auto"/>
          <w:sz w:val="21"/>
          <w:szCs w:val="21"/>
        </w:rPr>
      </w:pPr>
      <w:r>
        <w:rPr>
          <w:rFonts w:ascii="Times New Roman" w:eastAsia="宋体"/>
          <w:b/>
          <w:color w:val="auto"/>
          <w:sz w:val="21"/>
          <w:szCs w:val="21"/>
        </w:rPr>
        <w:t>表</w:t>
      </w:r>
      <w:r>
        <w:rPr>
          <w:rFonts w:hint="eastAsia" w:ascii="Times New Roman" w:eastAsia="宋体"/>
          <w:b/>
          <w:color w:val="auto"/>
          <w:sz w:val="21"/>
          <w:szCs w:val="21"/>
        </w:rPr>
        <w:t>8</w:t>
      </w:r>
      <w:r>
        <w:rPr>
          <w:rFonts w:ascii="Times New Roman" w:eastAsia="宋体"/>
          <w:b/>
          <w:color w:val="auto"/>
          <w:sz w:val="21"/>
          <w:szCs w:val="21"/>
        </w:rPr>
        <w:t>.</w:t>
      </w:r>
      <w:r>
        <w:rPr>
          <w:rFonts w:hint="eastAsia" w:ascii="Times New Roman" w:eastAsia="宋体"/>
          <w:b/>
          <w:color w:val="auto"/>
          <w:sz w:val="21"/>
          <w:szCs w:val="21"/>
        </w:rPr>
        <w:t>1</w:t>
      </w:r>
      <w:r>
        <w:rPr>
          <w:rFonts w:ascii="Times New Roman" w:eastAsia="宋体"/>
          <w:b/>
          <w:color w:val="auto"/>
          <w:sz w:val="21"/>
          <w:szCs w:val="21"/>
        </w:rPr>
        <w:t>-</w:t>
      </w:r>
      <w:r>
        <w:rPr>
          <w:rFonts w:hint="eastAsia" w:ascii="Times New Roman" w:eastAsia="宋体"/>
          <w:b/>
          <w:color w:val="auto"/>
          <w:sz w:val="21"/>
          <w:szCs w:val="21"/>
        </w:rPr>
        <w:t>2</w:t>
      </w:r>
      <w:r>
        <w:rPr>
          <w:rFonts w:ascii="Times New Roman" w:eastAsia="宋体"/>
          <w:b/>
          <w:color w:val="auto"/>
          <w:sz w:val="21"/>
          <w:szCs w:val="21"/>
        </w:rPr>
        <w:t>环境保护图形符号</w:t>
      </w:r>
    </w:p>
    <w:tbl>
      <w:tblPr>
        <w:tblStyle w:val="4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813"/>
        <w:gridCol w:w="1803"/>
        <w:gridCol w:w="1348"/>
        <w:gridCol w:w="26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exact"/>
          <w:jc w:val="center"/>
        </w:trPr>
        <w:tc>
          <w:tcPr>
            <w:tcW w:w="521" w:type="pct"/>
            <w:tcBorders>
              <w:tl2br w:val="nil"/>
              <w:tr2bl w:val="nil"/>
            </w:tcBorders>
            <w:vAlign w:val="center"/>
          </w:tcPr>
          <w:p>
            <w:pPr>
              <w:adjustRightInd w:val="0"/>
              <w:snapToGrid w:val="0"/>
              <w:jc w:val="center"/>
              <w:rPr>
                <w:rFonts w:ascii="Times New Roman" w:eastAsia="宋体" w:cs="宋体"/>
                <w:b/>
                <w:bCs/>
                <w:color w:val="auto"/>
                <w:sz w:val="21"/>
                <w:szCs w:val="21"/>
              </w:rPr>
            </w:pPr>
            <w:r>
              <w:rPr>
                <w:rFonts w:ascii="Times New Roman" w:eastAsia="宋体" w:cs="宋体"/>
                <w:b/>
                <w:bCs/>
                <w:color w:val="auto"/>
                <w:sz w:val="21"/>
                <w:szCs w:val="21"/>
              </w:rPr>
              <w:t>序号</w:t>
            </w:r>
          </w:p>
        </w:tc>
        <w:tc>
          <w:tcPr>
            <w:tcW w:w="1064" w:type="pct"/>
            <w:tcBorders>
              <w:tl2br w:val="nil"/>
              <w:tr2bl w:val="nil"/>
            </w:tcBorders>
            <w:vAlign w:val="center"/>
          </w:tcPr>
          <w:p>
            <w:pPr>
              <w:adjustRightInd w:val="0"/>
              <w:snapToGrid w:val="0"/>
              <w:jc w:val="center"/>
              <w:rPr>
                <w:rFonts w:ascii="Times New Roman" w:eastAsia="宋体" w:cs="宋体"/>
                <w:b/>
                <w:bCs/>
                <w:color w:val="auto"/>
                <w:sz w:val="21"/>
                <w:szCs w:val="21"/>
              </w:rPr>
            </w:pPr>
            <w:r>
              <w:rPr>
                <w:rFonts w:ascii="Times New Roman" w:eastAsia="宋体" w:cs="宋体"/>
                <w:b/>
                <w:bCs/>
                <w:color w:val="auto"/>
                <w:sz w:val="21"/>
                <w:szCs w:val="21"/>
              </w:rPr>
              <w:t>提示图形符号</w:t>
            </w:r>
          </w:p>
        </w:tc>
        <w:tc>
          <w:tcPr>
            <w:tcW w:w="1058" w:type="pct"/>
            <w:tcBorders>
              <w:tl2br w:val="nil"/>
              <w:tr2bl w:val="nil"/>
            </w:tcBorders>
            <w:vAlign w:val="center"/>
          </w:tcPr>
          <w:p>
            <w:pPr>
              <w:adjustRightInd w:val="0"/>
              <w:snapToGrid w:val="0"/>
              <w:jc w:val="center"/>
              <w:rPr>
                <w:rFonts w:ascii="Times New Roman" w:eastAsia="宋体" w:cs="宋体"/>
                <w:b/>
                <w:bCs/>
                <w:color w:val="auto"/>
                <w:sz w:val="21"/>
                <w:szCs w:val="21"/>
              </w:rPr>
            </w:pPr>
            <w:r>
              <w:rPr>
                <w:rFonts w:ascii="Times New Roman" w:eastAsia="宋体" w:cs="宋体"/>
                <w:b/>
                <w:bCs/>
                <w:color w:val="auto"/>
                <w:sz w:val="21"/>
                <w:szCs w:val="21"/>
              </w:rPr>
              <w:t>警告图形符号</w:t>
            </w:r>
          </w:p>
        </w:tc>
        <w:tc>
          <w:tcPr>
            <w:tcW w:w="792" w:type="pct"/>
            <w:tcBorders>
              <w:tl2br w:val="nil"/>
              <w:tr2bl w:val="nil"/>
            </w:tcBorders>
            <w:vAlign w:val="center"/>
          </w:tcPr>
          <w:p>
            <w:pPr>
              <w:adjustRightInd w:val="0"/>
              <w:snapToGrid w:val="0"/>
              <w:jc w:val="center"/>
              <w:rPr>
                <w:rFonts w:ascii="Times New Roman" w:eastAsia="宋体" w:cs="宋体"/>
                <w:b/>
                <w:bCs/>
                <w:color w:val="auto"/>
                <w:sz w:val="21"/>
                <w:szCs w:val="21"/>
              </w:rPr>
            </w:pPr>
            <w:r>
              <w:rPr>
                <w:rFonts w:ascii="Times New Roman" w:eastAsia="宋体" w:cs="宋体"/>
                <w:b/>
                <w:bCs/>
                <w:color w:val="auto"/>
                <w:sz w:val="21"/>
                <w:szCs w:val="21"/>
              </w:rPr>
              <w:t>名称</w:t>
            </w:r>
          </w:p>
        </w:tc>
        <w:tc>
          <w:tcPr>
            <w:tcW w:w="1562" w:type="pct"/>
            <w:tcBorders>
              <w:tl2br w:val="nil"/>
              <w:tr2bl w:val="nil"/>
            </w:tcBorders>
            <w:vAlign w:val="center"/>
          </w:tcPr>
          <w:p>
            <w:pPr>
              <w:adjustRightInd w:val="0"/>
              <w:snapToGrid w:val="0"/>
              <w:jc w:val="center"/>
              <w:rPr>
                <w:rFonts w:ascii="Times New Roman" w:eastAsia="宋体" w:cs="宋体"/>
                <w:b/>
                <w:bCs/>
                <w:color w:val="auto"/>
                <w:sz w:val="21"/>
                <w:szCs w:val="21"/>
              </w:rPr>
            </w:pPr>
            <w:r>
              <w:rPr>
                <w:rFonts w:ascii="Times New Roman" w:eastAsia="宋体" w:cs="宋体"/>
                <w:b/>
                <w:bCs/>
                <w:color w:val="auto"/>
                <w:sz w:val="21"/>
                <w:szCs w:val="21"/>
              </w:rPr>
              <w:t>功能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1"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1</w:t>
            </w:r>
          </w:p>
        </w:tc>
        <w:tc>
          <w:tcPr>
            <w:tcW w:w="1064"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66432" behindDoc="1" locked="0" layoutInCell="1" allowOverlap="1">
                  <wp:simplePos x="0" y="0"/>
                  <wp:positionH relativeFrom="column">
                    <wp:posOffset>85725</wp:posOffset>
                  </wp:positionH>
                  <wp:positionV relativeFrom="paragraph">
                    <wp:posOffset>74295</wp:posOffset>
                  </wp:positionV>
                  <wp:extent cx="842645" cy="589915"/>
                  <wp:effectExtent l="0" t="0" r="10160" b="3810"/>
                  <wp:wrapNone/>
                  <wp:docPr id="5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5"/>
                          <pic:cNvPicPr>
                            <a:picLocks noChangeAspect="1"/>
                          </pic:cNvPicPr>
                        </pic:nvPicPr>
                        <pic:blipFill>
                          <a:blip r:embed="rId43"/>
                          <a:stretch>
                            <a:fillRect/>
                          </a:stretch>
                        </pic:blipFill>
                        <pic:spPr>
                          <a:xfrm>
                            <a:off x="0" y="0"/>
                            <a:ext cx="842645" cy="589915"/>
                          </a:xfrm>
                          <a:prstGeom prst="rect">
                            <a:avLst/>
                          </a:prstGeom>
                          <a:noFill/>
                          <a:ln>
                            <a:noFill/>
                          </a:ln>
                        </pic:spPr>
                      </pic:pic>
                    </a:graphicData>
                  </a:graphic>
                </wp:anchor>
              </w:drawing>
            </w:r>
          </w:p>
        </w:tc>
        <w:tc>
          <w:tcPr>
            <w:tcW w:w="1058"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67456" behindDoc="1" locked="0" layoutInCell="1" allowOverlap="1">
                  <wp:simplePos x="0" y="0"/>
                  <wp:positionH relativeFrom="column">
                    <wp:posOffset>113665</wp:posOffset>
                  </wp:positionH>
                  <wp:positionV relativeFrom="paragraph">
                    <wp:posOffset>93980</wp:posOffset>
                  </wp:positionV>
                  <wp:extent cx="732155" cy="563245"/>
                  <wp:effectExtent l="0" t="0" r="1905" b="8890"/>
                  <wp:wrapNone/>
                  <wp:docPr id="57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图片 6"/>
                          <pic:cNvPicPr>
                            <a:picLocks noChangeAspect="1"/>
                          </pic:cNvPicPr>
                        </pic:nvPicPr>
                        <pic:blipFill>
                          <a:blip r:embed="rId44"/>
                          <a:stretch>
                            <a:fillRect/>
                          </a:stretch>
                        </pic:blipFill>
                        <pic:spPr>
                          <a:xfrm>
                            <a:off x="0" y="0"/>
                            <a:ext cx="732155" cy="563245"/>
                          </a:xfrm>
                          <a:prstGeom prst="rect">
                            <a:avLst/>
                          </a:prstGeom>
                          <a:noFill/>
                          <a:ln>
                            <a:noFill/>
                          </a:ln>
                        </pic:spPr>
                      </pic:pic>
                    </a:graphicData>
                  </a:graphic>
                </wp:anchor>
              </w:drawing>
            </w:r>
          </w:p>
        </w:tc>
        <w:tc>
          <w:tcPr>
            <w:tcW w:w="792"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废水排放口</w:t>
            </w:r>
          </w:p>
        </w:tc>
        <w:tc>
          <w:tcPr>
            <w:tcW w:w="1562"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表示废水向水体排放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1"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2</w:t>
            </w:r>
          </w:p>
        </w:tc>
        <w:tc>
          <w:tcPr>
            <w:tcW w:w="1064"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68480" behindDoc="1" locked="0" layoutInCell="1" allowOverlap="1">
                  <wp:simplePos x="0" y="0"/>
                  <wp:positionH relativeFrom="column">
                    <wp:posOffset>80010</wp:posOffset>
                  </wp:positionH>
                  <wp:positionV relativeFrom="paragraph">
                    <wp:posOffset>62865</wp:posOffset>
                  </wp:positionV>
                  <wp:extent cx="842645" cy="601345"/>
                  <wp:effectExtent l="0" t="0" r="10160" b="3175"/>
                  <wp:wrapNone/>
                  <wp:docPr id="5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图片 7"/>
                          <pic:cNvPicPr>
                            <a:picLocks noChangeAspect="1"/>
                          </pic:cNvPicPr>
                        </pic:nvPicPr>
                        <pic:blipFill>
                          <a:blip r:embed="rId45"/>
                          <a:stretch>
                            <a:fillRect/>
                          </a:stretch>
                        </pic:blipFill>
                        <pic:spPr>
                          <a:xfrm>
                            <a:off x="0" y="0"/>
                            <a:ext cx="842645" cy="601345"/>
                          </a:xfrm>
                          <a:prstGeom prst="rect">
                            <a:avLst/>
                          </a:prstGeom>
                          <a:noFill/>
                          <a:ln>
                            <a:noFill/>
                          </a:ln>
                        </pic:spPr>
                      </pic:pic>
                    </a:graphicData>
                  </a:graphic>
                </wp:anchor>
              </w:drawing>
            </w:r>
          </w:p>
        </w:tc>
        <w:tc>
          <w:tcPr>
            <w:tcW w:w="1058"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69504" behindDoc="1" locked="0" layoutInCell="1" allowOverlap="1">
                  <wp:simplePos x="0" y="0"/>
                  <wp:positionH relativeFrom="column">
                    <wp:posOffset>118110</wp:posOffset>
                  </wp:positionH>
                  <wp:positionV relativeFrom="paragraph">
                    <wp:posOffset>85090</wp:posOffset>
                  </wp:positionV>
                  <wp:extent cx="716280" cy="572135"/>
                  <wp:effectExtent l="0" t="0" r="6985" b="0"/>
                  <wp:wrapNone/>
                  <wp:docPr id="58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8"/>
                          <pic:cNvPicPr>
                            <a:picLocks noChangeAspect="1"/>
                          </pic:cNvPicPr>
                        </pic:nvPicPr>
                        <pic:blipFill>
                          <a:blip r:embed="rId46"/>
                          <a:stretch>
                            <a:fillRect/>
                          </a:stretch>
                        </pic:blipFill>
                        <pic:spPr>
                          <a:xfrm>
                            <a:off x="0" y="0"/>
                            <a:ext cx="716280" cy="572135"/>
                          </a:xfrm>
                          <a:prstGeom prst="rect">
                            <a:avLst/>
                          </a:prstGeom>
                          <a:noFill/>
                          <a:ln>
                            <a:noFill/>
                          </a:ln>
                        </pic:spPr>
                      </pic:pic>
                    </a:graphicData>
                  </a:graphic>
                </wp:anchor>
              </w:drawing>
            </w:r>
          </w:p>
        </w:tc>
        <w:tc>
          <w:tcPr>
            <w:tcW w:w="792"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废气排放口</w:t>
            </w:r>
          </w:p>
        </w:tc>
        <w:tc>
          <w:tcPr>
            <w:tcW w:w="1562"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表示废气向大气环境排放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1"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3</w:t>
            </w:r>
          </w:p>
        </w:tc>
        <w:tc>
          <w:tcPr>
            <w:tcW w:w="1064"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70528" behindDoc="1" locked="0" layoutInCell="1" allowOverlap="1">
                  <wp:simplePos x="0" y="0"/>
                  <wp:positionH relativeFrom="column">
                    <wp:posOffset>74930</wp:posOffset>
                  </wp:positionH>
                  <wp:positionV relativeFrom="paragraph">
                    <wp:posOffset>14605</wp:posOffset>
                  </wp:positionV>
                  <wp:extent cx="856615" cy="659130"/>
                  <wp:effectExtent l="0" t="0" r="6985" b="10160"/>
                  <wp:wrapNone/>
                  <wp:docPr id="57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9"/>
                          <pic:cNvPicPr>
                            <a:picLocks noChangeAspect="1"/>
                          </pic:cNvPicPr>
                        </pic:nvPicPr>
                        <pic:blipFill>
                          <a:blip r:embed="rId47"/>
                          <a:stretch>
                            <a:fillRect/>
                          </a:stretch>
                        </pic:blipFill>
                        <pic:spPr>
                          <a:xfrm>
                            <a:off x="0" y="0"/>
                            <a:ext cx="856615" cy="659130"/>
                          </a:xfrm>
                          <a:prstGeom prst="rect">
                            <a:avLst/>
                          </a:prstGeom>
                          <a:noFill/>
                          <a:ln>
                            <a:noFill/>
                          </a:ln>
                        </pic:spPr>
                      </pic:pic>
                    </a:graphicData>
                  </a:graphic>
                </wp:anchor>
              </w:drawing>
            </w:r>
          </w:p>
        </w:tc>
        <w:tc>
          <w:tcPr>
            <w:tcW w:w="1058"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71552" behindDoc="1" locked="0" layoutInCell="1" allowOverlap="1">
                  <wp:simplePos x="0" y="0"/>
                  <wp:positionH relativeFrom="column">
                    <wp:posOffset>137795</wp:posOffset>
                  </wp:positionH>
                  <wp:positionV relativeFrom="paragraph">
                    <wp:posOffset>50800</wp:posOffset>
                  </wp:positionV>
                  <wp:extent cx="709930" cy="627380"/>
                  <wp:effectExtent l="0" t="0" r="2540" b="952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8"/>
                          <a:stretch>
                            <a:fillRect/>
                          </a:stretch>
                        </pic:blipFill>
                        <pic:spPr>
                          <a:xfrm>
                            <a:off x="0" y="0"/>
                            <a:ext cx="709930" cy="627380"/>
                          </a:xfrm>
                          <a:prstGeom prst="rect">
                            <a:avLst/>
                          </a:prstGeom>
                          <a:noFill/>
                          <a:ln>
                            <a:noFill/>
                          </a:ln>
                        </pic:spPr>
                      </pic:pic>
                    </a:graphicData>
                  </a:graphic>
                </wp:anchor>
              </w:drawing>
            </w:r>
          </w:p>
        </w:tc>
        <w:tc>
          <w:tcPr>
            <w:tcW w:w="792"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噪声排放源</w:t>
            </w:r>
          </w:p>
        </w:tc>
        <w:tc>
          <w:tcPr>
            <w:tcW w:w="1562" w:type="pc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表示噪声向外环境排放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1" w:type="pct"/>
            <w:vMerge w:val="restart"/>
            <w:tcBorders>
              <w:tl2br w:val="nil"/>
              <w:tr2bl w:val="nil"/>
            </w:tcBorders>
            <w:vAlign w:val="center"/>
          </w:tcPr>
          <w:p>
            <w:pPr>
              <w:adjustRightInd w:val="0"/>
              <w:snapToGrid w:val="0"/>
              <w:jc w:val="center"/>
              <w:rPr>
                <w:rFonts w:ascii="Times New Roman" w:eastAsia="宋体" w:cs="宋体"/>
                <w:color w:val="auto"/>
                <w:sz w:val="21"/>
                <w:szCs w:val="21"/>
              </w:rPr>
            </w:pPr>
            <w:r>
              <w:rPr>
                <w:rFonts w:hint="eastAsia" w:ascii="Times New Roman" w:eastAsia="宋体" w:cs="宋体"/>
                <w:color w:val="auto"/>
                <w:sz w:val="21"/>
                <w:szCs w:val="21"/>
              </w:rPr>
              <w:t>4</w:t>
            </w:r>
          </w:p>
        </w:tc>
        <w:tc>
          <w:tcPr>
            <w:tcW w:w="1064" w:type="pct"/>
            <w:vMerge w:val="restar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72576" behindDoc="1" locked="0" layoutInCell="1" allowOverlap="1">
                  <wp:simplePos x="0" y="0"/>
                  <wp:positionH relativeFrom="column">
                    <wp:posOffset>83820</wp:posOffset>
                  </wp:positionH>
                  <wp:positionV relativeFrom="paragraph">
                    <wp:posOffset>388620</wp:posOffset>
                  </wp:positionV>
                  <wp:extent cx="840740" cy="666750"/>
                  <wp:effectExtent l="0" t="0" r="1270" b="2540"/>
                  <wp:wrapNone/>
                  <wp:docPr id="578" name="图片 578" descr="说明: 说明: 1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578" descr="说明: 说明: 14001"/>
                          <pic:cNvPicPr>
                            <a:picLocks noChangeAspect="1"/>
                          </pic:cNvPicPr>
                        </pic:nvPicPr>
                        <pic:blipFill>
                          <a:blip r:embed="rId49"/>
                          <a:stretch>
                            <a:fillRect/>
                          </a:stretch>
                        </pic:blipFill>
                        <pic:spPr>
                          <a:xfrm>
                            <a:off x="0" y="0"/>
                            <a:ext cx="840740" cy="666750"/>
                          </a:xfrm>
                          <a:prstGeom prst="rect">
                            <a:avLst/>
                          </a:prstGeom>
                          <a:noFill/>
                          <a:ln>
                            <a:noFill/>
                          </a:ln>
                        </pic:spPr>
                      </pic:pic>
                    </a:graphicData>
                  </a:graphic>
                </wp:anchor>
              </w:drawing>
            </w:r>
          </w:p>
        </w:tc>
        <w:tc>
          <w:tcPr>
            <w:tcW w:w="1058"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color w:val="auto"/>
                <w:sz w:val="21"/>
                <w:szCs w:val="21"/>
              </w:rPr>
              <w:drawing>
                <wp:anchor distT="0" distB="0" distL="114300" distR="114300" simplePos="0" relativeHeight="251673600" behindDoc="1" locked="0" layoutInCell="1" allowOverlap="1">
                  <wp:simplePos x="0" y="0"/>
                  <wp:positionH relativeFrom="column">
                    <wp:posOffset>114300</wp:posOffset>
                  </wp:positionH>
                  <wp:positionV relativeFrom="paragraph">
                    <wp:posOffset>65405</wp:posOffset>
                  </wp:positionV>
                  <wp:extent cx="714375" cy="588010"/>
                  <wp:effectExtent l="0" t="0" r="8890" b="5715"/>
                  <wp:wrapNone/>
                  <wp:docPr id="581" name="图片 581" descr="说明: 说明: 14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图片 581" descr="说明: 说明: 14002"/>
                          <pic:cNvPicPr>
                            <a:picLocks noChangeAspect="1"/>
                          </pic:cNvPicPr>
                        </pic:nvPicPr>
                        <pic:blipFill>
                          <a:blip r:embed="rId50"/>
                          <a:stretch>
                            <a:fillRect/>
                          </a:stretch>
                        </pic:blipFill>
                        <pic:spPr>
                          <a:xfrm>
                            <a:off x="0" y="0"/>
                            <a:ext cx="714375" cy="588010"/>
                          </a:xfrm>
                          <a:prstGeom prst="rect">
                            <a:avLst/>
                          </a:prstGeom>
                          <a:noFill/>
                          <a:ln>
                            <a:noFill/>
                          </a:ln>
                        </pic:spPr>
                      </pic:pic>
                    </a:graphicData>
                  </a:graphic>
                </wp:anchor>
              </w:drawing>
            </w:r>
          </w:p>
        </w:tc>
        <w:tc>
          <w:tcPr>
            <w:tcW w:w="792"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eastAsia="宋体" w:cs="宋体"/>
                <w:color w:val="auto"/>
                <w:sz w:val="21"/>
                <w:szCs w:val="21"/>
              </w:rPr>
              <w:t>一般固体废物</w:t>
            </w:r>
          </w:p>
        </w:tc>
        <w:tc>
          <w:tcPr>
            <w:tcW w:w="1562" w:type="pct"/>
            <w:vMerge w:val="restar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eastAsia="宋体" w:cs="宋体"/>
                <w:color w:val="auto"/>
                <w:sz w:val="21"/>
                <w:szCs w:val="21"/>
              </w:rPr>
              <w:t>表示固体废物贮存、处置场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21" w:type="pct"/>
            <w:vMerge w:val="continue"/>
            <w:tcBorders>
              <w:tl2br w:val="nil"/>
              <w:tr2bl w:val="nil"/>
            </w:tcBorders>
            <w:vAlign w:val="center"/>
          </w:tcPr>
          <w:p>
            <w:pPr>
              <w:adjustRightInd w:val="0"/>
              <w:snapToGrid w:val="0"/>
              <w:jc w:val="center"/>
              <w:rPr>
                <w:rFonts w:ascii="Times New Roman" w:eastAsia="宋体" w:cs="宋体"/>
                <w:color w:val="auto"/>
                <w:sz w:val="21"/>
                <w:szCs w:val="21"/>
              </w:rPr>
            </w:pPr>
          </w:p>
        </w:tc>
        <w:tc>
          <w:tcPr>
            <w:tcW w:w="1064" w:type="pct"/>
            <w:vMerge w:val="continue"/>
            <w:tcBorders>
              <w:tl2br w:val="nil"/>
              <w:tr2bl w:val="nil"/>
            </w:tcBorders>
            <w:vAlign w:val="center"/>
          </w:tcPr>
          <w:p>
            <w:pPr>
              <w:adjustRightInd w:val="0"/>
              <w:snapToGrid w:val="0"/>
              <w:jc w:val="center"/>
              <w:rPr>
                <w:rFonts w:ascii="Times New Roman" w:eastAsia="宋体" w:cs="宋体"/>
                <w:color w:val="auto"/>
                <w:sz w:val="21"/>
                <w:szCs w:val="21"/>
              </w:rPr>
            </w:pPr>
          </w:p>
        </w:tc>
        <w:tc>
          <w:tcPr>
            <w:tcW w:w="1058" w:type="pct"/>
            <w:tcBorders>
              <w:tl2br w:val="nil"/>
              <w:tr2bl w:val="nil"/>
            </w:tcBorders>
            <w:vAlign w:val="center"/>
          </w:tcPr>
          <w:p>
            <w:pPr>
              <w:adjustRightInd w:val="0"/>
              <w:snapToGrid w:val="0"/>
              <w:jc w:val="center"/>
              <w:rPr>
                <w:rFonts w:ascii="Times New Roman" w:eastAsia="宋体" w:cs="宋体"/>
                <w:color w:val="auto"/>
                <w:sz w:val="21"/>
                <w:szCs w:val="21"/>
              </w:rPr>
            </w:pPr>
            <w:r>
              <w:rPr>
                <w:color w:val="auto"/>
              </w:rPr>
              <w:drawing>
                <wp:inline distT="0" distB="0" distL="114300" distR="114300">
                  <wp:extent cx="1155065" cy="731520"/>
                  <wp:effectExtent l="0" t="0" r="6985" b="11430"/>
                  <wp:docPr id="1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
                          <pic:cNvPicPr>
                            <a:picLocks noChangeAspect="1"/>
                          </pic:cNvPicPr>
                        </pic:nvPicPr>
                        <pic:blipFill>
                          <a:blip r:embed="rId51"/>
                          <a:stretch>
                            <a:fillRect/>
                          </a:stretch>
                        </pic:blipFill>
                        <pic:spPr>
                          <a:xfrm>
                            <a:off x="0" y="0"/>
                            <a:ext cx="1155065" cy="731520"/>
                          </a:xfrm>
                          <a:prstGeom prst="rect">
                            <a:avLst/>
                          </a:prstGeom>
                          <a:noFill/>
                          <a:ln>
                            <a:noFill/>
                          </a:ln>
                        </pic:spPr>
                      </pic:pic>
                    </a:graphicData>
                  </a:graphic>
                </wp:inline>
              </w:drawing>
            </w:r>
          </w:p>
        </w:tc>
        <w:tc>
          <w:tcPr>
            <w:tcW w:w="792" w:type="pct"/>
            <w:tcBorders>
              <w:tl2br w:val="nil"/>
              <w:tr2bl w:val="nil"/>
            </w:tcBorders>
            <w:vAlign w:val="center"/>
          </w:tcPr>
          <w:p>
            <w:pPr>
              <w:adjustRightInd w:val="0"/>
              <w:snapToGrid w:val="0"/>
              <w:jc w:val="center"/>
              <w:rPr>
                <w:rFonts w:ascii="Times New Roman" w:eastAsia="宋体" w:cs="宋体"/>
                <w:color w:val="auto"/>
                <w:sz w:val="21"/>
                <w:szCs w:val="21"/>
              </w:rPr>
            </w:pPr>
            <w:r>
              <w:rPr>
                <w:rFonts w:ascii="Times New Roman" w:eastAsia="宋体" w:cs="宋体"/>
                <w:color w:val="auto"/>
                <w:sz w:val="21"/>
                <w:szCs w:val="21"/>
              </w:rPr>
              <w:t>危险废物</w:t>
            </w:r>
          </w:p>
        </w:tc>
        <w:tc>
          <w:tcPr>
            <w:tcW w:w="1562" w:type="pct"/>
            <w:vMerge w:val="continue"/>
            <w:tcBorders>
              <w:tl2br w:val="nil"/>
              <w:tr2bl w:val="nil"/>
            </w:tcBorders>
            <w:vAlign w:val="center"/>
          </w:tcPr>
          <w:p>
            <w:pPr>
              <w:adjustRightInd w:val="0"/>
              <w:snapToGrid w:val="0"/>
              <w:jc w:val="center"/>
              <w:rPr>
                <w:rFonts w:ascii="Times New Roman" w:eastAsia="宋体" w:cs="宋体"/>
                <w:b/>
                <w:bCs/>
                <w:color w:val="auto"/>
                <w:sz w:val="21"/>
                <w:szCs w:val="21"/>
              </w:rPr>
            </w:pPr>
          </w:p>
        </w:tc>
      </w:tr>
    </w:tbl>
    <w:p>
      <w:pPr>
        <w:pStyle w:val="4"/>
        <w:spacing w:before="0" w:after="0" w:line="360" w:lineRule="auto"/>
        <w:rPr>
          <w:rFonts w:hint="eastAsia" w:ascii="Times New Roman" w:eastAsia="宋体"/>
          <w:b/>
          <w:bCs/>
          <w:color w:val="auto"/>
          <w:kern w:val="2"/>
          <w:sz w:val="24"/>
          <w:u w:val="single"/>
          <w:lang w:val="en-US" w:eastAsia="zh-CN"/>
        </w:rPr>
      </w:pPr>
      <w:bookmarkStart w:id="564" w:name="_Toc11812"/>
      <w:bookmarkStart w:id="565" w:name="_Toc11517"/>
      <w:bookmarkStart w:id="566" w:name="_Toc397698115"/>
      <w:bookmarkStart w:id="567" w:name="_Toc20079"/>
      <w:bookmarkStart w:id="568" w:name="_Toc23497"/>
      <w:r>
        <w:rPr>
          <w:rFonts w:hint="eastAsia" w:ascii="Times New Roman" w:eastAsia="宋体"/>
          <w:b/>
          <w:bCs/>
          <w:color w:val="auto"/>
          <w:kern w:val="2"/>
          <w:sz w:val="24"/>
          <w:u w:val="single"/>
        </w:rPr>
        <w:t>8</w:t>
      </w:r>
      <w:r>
        <w:rPr>
          <w:rFonts w:ascii="Times New Roman" w:eastAsia="宋体"/>
          <w:b/>
          <w:bCs/>
          <w:color w:val="auto"/>
          <w:kern w:val="2"/>
          <w:sz w:val="24"/>
          <w:u w:val="single"/>
        </w:rPr>
        <w:t>.1.</w:t>
      </w:r>
      <w:r>
        <w:rPr>
          <w:rFonts w:hint="eastAsia" w:ascii="Times New Roman" w:eastAsia="宋体"/>
          <w:b/>
          <w:bCs/>
          <w:color w:val="auto"/>
          <w:kern w:val="2"/>
          <w:sz w:val="24"/>
          <w:u w:val="single"/>
          <w:lang w:val="en-US" w:eastAsia="zh-CN"/>
        </w:rPr>
        <w:t>4粪污运输管理</w:t>
      </w:r>
    </w:p>
    <w:p>
      <w:pPr>
        <w:spacing w:line="360" w:lineRule="auto"/>
        <w:ind w:firstLine="420" w:firstLineChars="0"/>
        <w:rPr>
          <w:rFonts w:hint="eastAsia" w:ascii="Times New Roman" w:hAnsi="Times New Roman" w:eastAsia="宋体"/>
          <w:color w:val="auto"/>
          <w:kern w:val="2"/>
          <w:sz w:val="28"/>
          <w:szCs w:val="28"/>
          <w:u w:val="single"/>
        </w:rPr>
      </w:pPr>
      <w:r>
        <w:rPr>
          <w:rFonts w:hint="eastAsia" w:ascii="Times New Roman" w:hAnsi="Times New Roman" w:eastAsia="宋体" w:cs="Times New Roman"/>
          <w:bCs/>
          <w:color w:val="auto"/>
          <w:kern w:val="0"/>
          <w:sz w:val="24"/>
          <w:szCs w:val="48"/>
          <w:u w:val="single"/>
          <w:lang w:val="en-US" w:eastAsia="zh-CN" w:bidi="ar-SA"/>
        </w:rPr>
        <w:t>本项目</w:t>
      </w:r>
      <w:r>
        <w:rPr>
          <w:rFonts w:hint="eastAsia" w:ascii="Times New Roman" w:eastAsia="宋体" w:cs="Times New Roman"/>
          <w:bCs/>
          <w:color w:val="auto"/>
          <w:kern w:val="0"/>
          <w:sz w:val="24"/>
          <w:szCs w:val="48"/>
          <w:u w:val="single"/>
          <w:lang w:val="en-US" w:eastAsia="zh-CN" w:bidi="ar-SA"/>
        </w:rPr>
        <w:t>养殖</w:t>
      </w:r>
      <w:r>
        <w:rPr>
          <w:rFonts w:hint="eastAsia" w:ascii="Times New Roman" w:hAnsi="Times New Roman" w:eastAsia="宋体" w:cs="Times New Roman"/>
          <w:bCs/>
          <w:color w:val="auto"/>
          <w:kern w:val="0"/>
          <w:sz w:val="24"/>
          <w:szCs w:val="48"/>
          <w:u w:val="single"/>
          <w:lang w:val="en-US" w:eastAsia="zh-CN" w:bidi="ar-SA"/>
        </w:rPr>
        <w:t>污水</w:t>
      </w:r>
      <w:r>
        <w:rPr>
          <w:rFonts w:hint="eastAsia" w:ascii="Times New Roman" w:eastAsia="宋体" w:cs="Times New Roman"/>
          <w:bCs/>
          <w:color w:val="auto"/>
          <w:kern w:val="0"/>
          <w:sz w:val="24"/>
          <w:szCs w:val="48"/>
          <w:u w:val="single"/>
          <w:lang w:val="en-US" w:eastAsia="zh-CN" w:bidi="ar-SA"/>
        </w:rPr>
        <w:t>处理依托</w:t>
      </w:r>
      <w:r>
        <w:rPr>
          <w:rFonts w:hint="eastAsia" w:ascii="Times New Roman" w:hAnsi="Times New Roman" w:eastAsia="宋体" w:cs="Times New Roman"/>
          <w:bCs/>
          <w:color w:val="auto"/>
          <w:kern w:val="0"/>
          <w:sz w:val="24"/>
          <w:szCs w:val="48"/>
          <w:u w:val="single"/>
          <w:lang w:val="en-US" w:eastAsia="zh-CN" w:bidi="ar-SA"/>
        </w:rPr>
        <w:t>公司新华养殖场污水处理站</w:t>
      </w:r>
      <w:r>
        <w:rPr>
          <w:rFonts w:hint="eastAsia" w:ascii="Times New Roman" w:eastAsia="宋体" w:cs="Times New Roman"/>
          <w:bCs/>
          <w:color w:val="auto"/>
          <w:kern w:val="0"/>
          <w:sz w:val="24"/>
          <w:szCs w:val="48"/>
          <w:u w:val="single"/>
          <w:lang w:val="en-US" w:eastAsia="zh-CN" w:bidi="ar-SA"/>
        </w:rPr>
        <w:t>，清舍后由</w:t>
      </w:r>
      <w:r>
        <w:rPr>
          <w:rFonts w:hint="eastAsia" w:ascii="Times New Roman" w:hAnsi="Times New Roman" w:eastAsia="宋体" w:cs="Times New Roman"/>
          <w:bCs/>
          <w:color w:val="auto"/>
          <w:kern w:val="0"/>
          <w:sz w:val="24"/>
          <w:szCs w:val="48"/>
          <w:u w:val="single"/>
          <w:lang w:val="en-US" w:eastAsia="zh-CN" w:bidi="ar-SA"/>
        </w:rPr>
        <w:t>湖南春雨生物科技有限公司用密闭槽罐车</w:t>
      </w:r>
      <w:r>
        <w:rPr>
          <w:rFonts w:hint="eastAsia" w:ascii="Times New Roman" w:eastAsia="宋体" w:cs="Times New Roman"/>
          <w:bCs/>
          <w:color w:val="auto"/>
          <w:kern w:val="0"/>
          <w:sz w:val="24"/>
          <w:szCs w:val="48"/>
          <w:u w:val="single"/>
          <w:lang w:val="en-US" w:eastAsia="zh-CN" w:bidi="ar-SA"/>
        </w:rPr>
        <w:t>运输，每年清运不小于四次，桃园养殖场和新华养殖场均应建立相关台账，记录废水的转运日期和转运量。新华养殖场位于岳阳县新墙镇新华村四义片，污水运输路线为：新华村桃园片—无名村道—新华养殖场，运输路程约3km，不经过生态敏感区，该公司将严格控制输送沿途的弃、撒和跑冒滴漏，防止液体粪污进入外部水体。</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69" w:name="_Toc23440"/>
      <w:r>
        <w:rPr>
          <w:rFonts w:hint="eastAsia" w:ascii="Times New Roman" w:hAnsi="Times New Roman" w:eastAsia="宋体"/>
          <w:color w:val="auto"/>
          <w:kern w:val="2"/>
          <w:sz w:val="28"/>
          <w:szCs w:val="28"/>
        </w:rPr>
        <w:t>8</w:t>
      </w:r>
      <w:r>
        <w:rPr>
          <w:rFonts w:ascii="Times New Roman" w:hAnsi="Times New Roman" w:eastAsia="宋体"/>
          <w:color w:val="auto"/>
          <w:kern w:val="2"/>
          <w:sz w:val="28"/>
          <w:szCs w:val="28"/>
        </w:rPr>
        <w:t>.2环境监测</w:t>
      </w:r>
      <w:bookmarkEnd w:id="564"/>
      <w:bookmarkEnd w:id="565"/>
      <w:bookmarkEnd w:id="569"/>
    </w:p>
    <w:p>
      <w:pPr>
        <w:pStyle w:val="264"/>
        <w:spacing w:before="0" w:after="0" w:line="360" w:lineRule="auto"/>
        <w:ind w:left="0" w:firstLine="497"/>
        <w:rPr>
          <w:rFonts w:ascii="Times New Roman" w:hAnsi="Times New Roman"/>
          <w:color w:val="auto"/>
        </w:rPr>
      </w:pPr>
      <w:r>
        <w:rPr>
          <w:rFonts w:ascii="Times New Roman" w:hAnsi="Times New Roman"/>
          <w:color w:val="auto"/>
        </w:rPr>
        <w:t>企业的环境监测主要任务是对全场生产过程中所排放的各类污染物进行监测与监督，以达到及时掌握全场污染源排放情况和</w:t>
      </w:r>
      <w:r>
        <w:rPr>
          <w:rFonts w:hint="eastAsia" w:ascii="Times New Roman" w:hAnsi="Times New Roman"/>
          <w:color w:val="auto"/>
        </w:rPr>
        <w:t>场区</w:t>
      </w:r>
      <w:r>
        <w:rPr>
          <w:rFonts w:ascii="Times New Roman" w:hAnsi="Times New Roman"/>
          <w:color w:val="auto"/>
        </w:rPr>
        <w:t>环境质量的变化趋势，监督生产安全运行，并配合环境管理工作的改进与完善，经常进行各类环境监测仪器设备的维护、检验等工作，以确保全场环境监测工作的正常进行，为全场污染防治提供科学依据。</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8</w:t>
      </w:r>
      <w:r>
        <w:rPr>
          <w:rFonts w:ascii="Times New Roman" w:eastAsia="宋体"/>
          <w:b/>
          <w:bCs/>
          <w:color w:val="auto"/>
          <w:kern w:val="2"/>
          <w:sz w:val="24"/>
        </w:rPr>
        <w:t>.2.1企业污染源监测计划</w:t>
      </w:r>
    </w:p>
    <w:p>
      <w:pPr>
        <w:spacing w:line="360" w:lineRule="auto"/>
        <w:ind w:firstLine="496" w:firstLineChars="200"/>
        <w:rPr>
          <w:rFonts w:ascii="Times New Roman" w:eastAsia="宋体"/>
          <w:color w:val="auto"/>
          <w:szCs w:val="24"/>
          <w:lang w:val="zh-CN"/>
        </w:rPr>
      </w:pPr>
      <w:r>
        <w:rPr>
          <w:rFonts w:ascii="Times New Roman" w:eastAsia="宋体"/>
          <w:color w:val="auto"/>
          <w:szCs w:val="24"/>
        </w:rPr>
        <w:t>根据工程的生产规模，污染排放的实际情况及企业发展规划，环境质量可委托有资质的监测机构完成，具体监测时间、频率、点位服从环保部门的规定和要求，环境监测以企业生产特点、污染物影响特征及测试手段的可靠性来进行确定</w:t>
      </w:r>
      <w:r>
        <w:rPr>
          <w:rFonts w:hint="eastAsia" w:ascii="Times New Roman" w:eastAsia="宋体"/>
          <w:color w:val="auto"/>
          <w:szCs w:val="24"/>
        </w:rPr>
        <w:t>，</w:t>
      </w:r>
      <w:r>
        <w:rPr>
          <w:rFonts w:ascii="Times New Roman" w:eastAsia="宋体"/>
          <w:color w:val="auto"/>
          <w:szCs w:val="24"/>
          <w:lang w:val="zh-CN"/>
        </w:rPr>
        <w:t>具体参见《排污单位自行监测技术指南总则》（HJ819-2017）、《排污单位自行监测技术指南火力发电及锅炉》（HJ820-2017），同时参考《排污许可证申请与核发技术规范畜禽养殖行业》（HJ 1029-2019）。</w:t>
      </w:r>
    </w:p>
    <w:p>
      <w:pPr>
        <w:pStyle w:val="358"/>
        <w:spacing w:beforeLines="50" w:line="0" w:lineRule="atLeast"/>
        <w:jc w:val="center"/>
        <w:rPr>
          <w:rFonts w:ascii="Times New Roman" w:hAnsi="Times New Roman" w:eastAsia="宋体" w:cs="Times New Roman"/>
          <w:b/>
          <w:bCs/>
          <w:color w:val="auto"/>
        </w:rPr>
      </w:pPr>
      <w:r>
        <w:rPr>
          <w:rFonts w:ascii="Times New Roman" w:hAnsi="Times New Roman" w:eastAsia="宋体" w:cs="Times New Roman"/>
          <w:b/>
          <w:bCs/>
          <w:color w:val="auto"/>
        </w:rPr>
        <w:t>表</w:t>
      </w:r>
      <w:r>
        <w:rPr>
          <w:rFonts w:hint="eastAsia" w:ascii="Times New Roman" w:hAnsi="Times New Roman" w:eastAsia="宋体" w:cs="Times New Roman"/>
          <w:b/>
          <w:bCs/>
          <w:color w:val="auto"/>
        </w:rPr>
        <w:t>8</w:t>
      </w:r>
      <w:r>
        <w:rPr>
          <w:rFonts w:ascii="Times New Roman" w:hAnsi="Times New Roman" w:eastAsia="宋体" w:cs="Times New Roman"/>
          <w:b/>
          <w:bCs/>
          <w:color w:val="auto"/>
        </w:rPr>
        <w:t>.</w:t>
      </w:r>
      <w:r>
        <w:rPr>
          <w:rFonts w:hint="eastAsia" w:ascii="Times New Roman" w:hAnsi="Times New Roman" w:eastAsia="宋体" w:cs="Times New Roman"/>
          <w:b/>
          <w:bCs/>
          <w:color w:val="auto"/>
        </w:rPr>
        <w:t>2</w:t>
      </w:r>
      <w:r>
        <w:rPr>
          <w:rFonts w:ascii="Times New Roman" w:hAnsi="Times New Roman" w:eastAsia="宋体" w:cs="Times New Roman"/>
          <w:b/>
          <w:bCs/>
          <w:color w:val="auto"/>
        </w:rPr>
        <w:t>-1监测因子及点位一览表</w:t>
      </w:r>
    </w:p>
    <w:tbl>
      <w:tblPr>
        <w:tblStyle w:val="4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1134"/>
        <w:gridCol w:w="1900"/>
        <w:gridCol w:w="1967"/>
        <w:gridCol w:w="1694"/>
        <w:gridCol w:w="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tcBorders>
              <w:tl2br w:val="nil"/>
              <w:tr2bl w:val="nil"/>
            </w:tcBorders>
            <w:vAlign w:val="center"/>
          </w:tcPr>
          <w:p>
            <w:pPr>
              <w:pStyle w:val="373"/>
              <w:rPr>
                <w:b/>
                <w:color w:val="auto"/>
              </w:rPr>
            </w:pPr>
            <w:r>
              <w:rPr>
                <w:b/>
                <w:color w:val="auto"/>
              </w:rPr>
              <w:t>监测阶段</w:t>
            </w:r>
          </w:p>
        </w:tc>
        <w:tc>
          <w:tcPr>
            <w:tcW w:w="1134" w:type="dxa"/>
            <w:tcBorders>
              <w:tl2br w:val="nil"/>
              <w:tr2bl w:val="nil"/>
            </w:tcBorders>
            <w:vAlign w:val="center"/>
          </w:tcPr>
          <w:p>
            <w:pPr>
              <w:pStyle w:val="373"/>
              <w:rPr>
                <w:b/>
                <w:color w:val="auto"/>
              </w:rPr>
            </w:pPr>
            <w:r>
              <w:rPr>
                <w:b/>
                <w:color w:val="auto"/>
              </w:rPr>
              <w:t>监测要素</w:t>
            </w:r>
          </w:p>
        </w:tc>
        <w:tc>
          <w:tcPr>
            <w:tcW w:w="1900" w:type="dxa"/>
            <w:tcBorders>
              <w:tl2br w:val="nil"/>
              <w:tr2bl w:val="nil"/>
            </w:tcBorders>
            <w:vAlign w:val="center"/>
          </w:tcPr>
          <w:p>
            <w:pPr>
              <w:pStyle w:val="373"/>
              <w:rPr>
                <w:b/>
                <w:color w:val="auto"/>
              </w:rPr>
            </w:pPr>
            <w:r>
              <w:rPr>
                <w:b/>
                <w:color w:val="auto"/>
              </w:rPr>
              <w:t>监测点位</w:t>
            </w:r>
          </w:p>
        </w:tc>
        <w:tc>
          <w:tcPr>
            <w:tcW w:w="1967" w:type="dxa"/>
            <w:tcBorders>
              <w:tl2br w:val="nil"/>
              <w:tr2bl w:val="nil"/>
            </w:tcBorders>
            <w:vAlign w:val="center"/>
          </w:tcPr>
          <w:p>
            <w:pPr>
              <w:pStyle w:val="373"/>
              <w:rPr>
                <w:color w:val="auto"/>
              </w:rPr>
            </w:pPr>
            <w:r>
              <w:rPr>
                <w:b/>
                <w:color w:val="auto"/>
              </w:rPr>
              <w:t>监测项目</w:t>
            </w:r>
          </w:p>
        </w:tc>
        <w:tc>
          <w:tcPr>
            <w:tcW w:w="1694" w:type="dxa"/>
            <w:tcBorders>
              <w:tl2br w:val="nil"/>
              <w:tr2bl w:val="nil"/>
            </w:tcBorders>
            <w:vAlign w:val="center"/>
          </w:tcPr>
          <w:p>
            <w:pPr>
              <w:pStyle w:val="373"/>
              <w:rPr>
                <w:b/>
                <w:color w:val="auto"/>
              </w:rPr>
            </w:pPr>
            <w:r>
              <w:rPr>
                <w:b/>
                <w:color w:val="auto"/>
              </w:rPr>
              <w:t>监测频率</w:t>
            </w:r>
          </w:p>
        </w:tc>
        <w:tc>
          <w:tcPr>
            <w:tcW w:w="722" w:type="dxa"/>
            <w:tcBorders>
              <w:tl2br w:val="nil"/>
              <w:tr2bl w:val="nil"/>
            </w:tcBorders>
            <w:vAlign w:val="center"/>
          </w:tcPr>
          <w:p>
            <w:pPr>
              <w:pStyle w:val="373"/>
              <w:rPr>
                <w:b/>
                <w:color w:val="auto"/>
              </w:rPr>
            </w:pPr>
            <w:r>
              <w:rPr>
                <w:b/>
                <w:color w:val="auto"/>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Merge w:val="restart"/>
            <w:tcBorders>
              <w:tl2br w:val="nil"/>
              <w:tr2bl w:val="nil"/>
            </w:tcBorders>
            <w:vAlign w:val="center"/>
          </w:tcPr>
          <w:p>
            <w:pPr>
              <w:pStyle w:val="373"/>
              <w:rPr>
                <w:color w:val="auto"/>
              </w:rPr>
            </w:pPr>
            <w:r>
              <w:rPr>
                <w:color w:val="auto"/>
              </w:rPr>
              <w:t>运营期</w:t>
            </w:r>
          </w:p>
        </w:tc>
        <w:tc>
          <w:tcPr>
            <w:tcW w:w="1134" w:type="dxa"/>
            <w:vMerge w:val="restart"/>
            <w:tcBorders>
              <w:tl2br w:val="nil"/>
              <w:tr2bl w:val="nil"/>
            </w:tcBorders>
            <w:vAlign w:val="center"/>
          </w:tcPr>
          <w:p>
            <w:pPr>
              <w:pStyle w:val="373"/>
              <w:rPr>
                <w:color w:val="auto"/>
              </w:rPr>
            </w:pPr>
            <w:r>
              <w:rPr>
                <w:color w:val="auto"/>
              </w:rPr>
              <w:t>废气</w:t>
            </w:r>
          </w:p>
        </w:tc>
        <w:tc>
          <w:tcPr>
            <w:tcW w:w="1900" w:type="dxa"/>
            <w:tcBorders>
              <w:tl2br w:val="nil"/>
              <w:tr2bl w:val="nil"/>
            </w:tcBorders>
            <w:vAlign w:val="center"/>
          </w:tcPr>
          <w:p>
            <w:pPr>
              <w:pStyle w:val="373"/>
              <w:rPr>
                <w:color w:val="auto"/>
              </w:rPr>
            </w:pPr>
            <w:r>
              <w:rPr>
                <w:color w:val="auto"/>
              </w:rPr>
              <w:t>厂界</w:t>
            </w:r>
            <w:r>
              <w:rPr>
                <w:rFonts w:hint="eastAsia"/>
                <w:color w:val="auto"/>
              </w:rPr>
              <w:t>外浓度最高点</w:t>
            </w:r>
          </w:p>
        </w:tc>
        <w:tc>
          <w:tcPr>
            <w:tcW w:w="1967" w:type="dxa"/>
            <w:tcBorders>
              <w:tl2br w:val="nil"/>
              <w:tr2bl w:val="nil"/>
            </w:tcBorders>
            <w:vAlign w:val="center"/>
          </w:tcPr>
          <w:p>
            <w:pPr>
              <w:pStyle w:val="373"/>
              <w:rPr>
                <w:color w:val="auto"/>
              </w:rPr>
            </w:pPr>
            <w:r>
              <w:rPr>
                <w:color w:val="auto"/>
              </w:rPr>
              <w:t>氨、硫化氢、臭气浓度</w:t>
            </w:r>
          </w:p>
        </w:tc>
        <w:tc>
          <w:tcPr>
            <w:tcW w:w="1694" w:type="dxa"/>
            <w:tcBorders>
              <w:tl2br w:val="nil"/>
              <w:tr2bl w:val="nil"/>
            </w:tcBorders>
            <w:vAlign w:val="center"/>
          </w:tcPr>
          <w:p>
            <w:pPr>
              <w:pStyle w:val="373"/>
              <w:rPr>
                <w:color w:val="auto"/>
              </w:rPr>
            </w:pPr>
            <w:r>
              <w:rPr>
                <w:color w:val="auto"/>
              </w:rPr>
              <w:t>每年1次</w:t>
            </w:r>
          </w:p>
        </w:tc>
        <w:tc>
          <w:tcPr>
            <w:tcW w:w="722" w:type="dxa"/>
            <w:tcBorders>
              <w:tl2br w:val="nil"/>
              <w:tr2bl w:val="nil"/>
            </w:tcBorders>
            <w:vAlign w:val="center"/>
          </w:tcPr>
          <w:p>
            <w:pPr>
              <w:widowControl/>
              <w:adjustRightInd w:val="0"/>
              <w:snapToGrid w:val="0"/>
              <w:jc w:val="center"/>
              <w:rPr>
                <w:rFonts w:ascii="Times New Roman" w:eastAsia="宋体"/>
                <w:color w:val="auto"/>
                <w:sz w:val="21"/>
                <w:szCs w:val="21"/>
              </w:rPr>
            </w:pPr>
            <w:r>
              <w:rPr>
                <w:rFonts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Merge w:val="continue"/>
            <w:tcBorders>
              <w:tl2br w:val="nil"/>
              <w:tr2bl w:val="nil"/>
            </w:tcBorders>
            <w:vAlign w:val="center"/>
          </w:tcPr>
          <w:p>
            <w:pPr>
              <w:pStyle w:val="373"/>
              <w:rPr>
                <w:color w:val="auto"/>
              </w:rPr>
            </w:pPr>
          </w:p>
        </w:tc>
        <w:tc>
          <w:tcPr>
            <w:tcW w:w="1134" w:type="dxa"/>
            <w:vMerge w:val="continue"/>
            <w:tcBorders>
              <w:tl2br w:val="nil"/>
              <w:tr2bl w:val="nil"/>
            </w:tcBorders>
            <w:vAlign w:val="center"/>
          </w:tcPr>
          <w:p>
            <w:pPr>
              <w:pStyle w:val="373"/>
              <w:rPr>
                <w:color w:val="auto"/>
              </w:rPr>
            </w:pPr>
          </w:p>
        </w:tc>
        <w:tc>
          <w:tcPr>
            <w:tcW w:w="1900" w:type="dxa"/>
            <w:tcBorders>
              <w:tl2br w:val="nil"/>
              <w:tr2bl w:val="nil"/>
            </w:tcBorders>
            <w:vAlign w:val="center"/>
          </w:tcPr>
          <w:p>
            <w:pPr>
              <w:pStyle w:val="373"/>
              <w:rPr>
                <w:color w:val="auto"/>
              </w:rPr>
            </w:pPr>
            <w:r>
              <w:rPr>
                <w:color w:val="auto"/>
              </w:rPr>
              <w:t>锅炉排气筒出口</w:t>
            </w:r>
          </w:p>
        </w:tc>
        <w:tc>
          <w:tcPr>
            <w:tcW w:w="1967" w:type="dxa"/>
            <w:tcBorders>
              <w:tl2br w:val="nil"/>
              <w:tr2bl w:val="nil"/>
            </w:tcBorders>
            <w:vAlign w:val="center"/>
          </w:tcPr>
          <w:p>
            <w:pPr>
              <w:pStyle w:val="373"/>
              <w:rPr>
                <w:color w:val="auto"/>
              </w:rPr>
            </w:pPr>
            <w:r>
              <w:rPr>
                <w:color w:val="auto"/>
              </w:rPr>
              <w:t>颗粒物、SO</w:t>
            </w:r>
            <w:r>
              <w:rPr>
                <w:color w:val="auto"/>
                <w:vertAlign w:val="subscript"/>
              </w:rPr>
              <w:t>2</w:t>
            </w:r>
            <w:r>
              <w:rPr>
                <w:color w:val="auto"/>
              </w:rPr>
              <w:t>、NO</w:t>
            </w:r>
            <w:r>
              <w:rPr>
                <w:color w:val="auto"/>
                <w:vertAlign w:val="subscript"/>
              </w:rPr>
              <w:t>x</w:t>
            </w:r>
            <w:r>
              <w:rPr>
                <w:color w:val="auto"/>
              </w:rPr>
              <w:t>、</w:t>
            </w:r>
            <w:r>
              <w:rPr>
                <w:rFonts w:hint="eastAsia"/>
                <w:color w:val="auto"/>
              </w:rPr>
              <w:t>烟气黑度</w:t>
            </w:r>
          </w:p>
        </w:tc>
        <w:tc>
          <w:tcPr>
            <w:tcW w:w="1694" w:type="dxa"/>
            <w:tcBorders>
              <w:tl2br w:val="nil"/>
              <w:tr2bl w:val="nil"/>
            </w:tcBorders>
            <w:vAlign w:val="center"/>
          </w:tcPr>
          <w:p>
            <w:pPr>
              <w:widowControl/>
              <w:adjustRightInd w:val="0"/>
              <w:snapToGrid w:val="0"/>
              <w:jc w:val="center"/>
              <w:rPr>
                <w:rFonts w:ascii="Times New Roman" w:eastAsia="宋体"/>
                <w:color w:val="auto"/>
                <w:sz w:val="21"/>
                <w:szCs w:val="21"/>
              </w:rPr>
            </w:pPr>
            <w:r>
              <w:rPr>
                <w:rFonts w:ascii="Times New Roman" w:eastAsia="宋体"/>
                <w:color w:val="auto"/>
                <w:sz w:val="21"/>
                <w:szCs w:val="21"/>
              </w:rPr>
              <w:t>每</w:t>
            </w:r>
            <w:r>
              <w:rPr>
                <w:rFonts w:hint="eastAsia" w:ascii="Times New Roman" w:eastAsia="宋体"/>
                <w:color w:val="auto"/>
                <w:sz w:val="21"/>
                <w:szCs w:val="21"/>
              </w:rPr>
              <w:t>月</w:t>
            </w:r>
            <w:r>
              <w:rPr>
                <w:rFonts w:ascii="Times New Roman" w:eastAsia="宋体"/>
                <w:color w:val="auto"/>
                <w:sz w:val="21"/>
                <w:szCs w:val="21"/>
              </w:rPr>
              <w:t>1次</w:t>
            </w:r>
          </w:p>
        </w:tc>
        <w:tc>
          <w:tcPr>
            <w:tcW w:w="722" w:type="dxa"/>
            <w:tcBorders>
              <w:tl2br w:val="nil"/>
              <w:tr2bl w:val="nil"/>
            </w:tcBorders>
            <w:vAlign w:val="center"/>
          </w:tcPr>
          <w:p>
            <w:pPr>
              <w:widowControl/>
              <w:adjustRightInd w:val="0"/>
              <w:snapToGrid w:val="0"/>
              <w:jc w:val="center"/>
              <w:rPr>
                <w:rFonts w:ascii="Times New Roman" w:eastAsia="宋体"/>
                <w:color w:val="auto"/>
                <w:sz w:val="21"/>
                <w:szCs w:val="21"/>
              </w:rPr>
            </w:pPr>
            <w:r>
              <w:rPr>
                <w:rFonts w:ascii="Times New Roman" w:eastAsia="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Merge w:val="continue"/>
            <w:tcBorders>
              <w:tl2br w:val="nil"/>
              <w:tr2bl w:val="nil"/>
            </w:tcBorders>
            <w:vAlign w:val="center"/>
          </w:tcPr>
          <w:p>
            <w:pPr>
              <w:pStyle w:val="373"/>
              <w:rPr>
                <w:color w:val="auto"/>
              </w:rPr>
            </w:pPr>
          </w:p>
        </w:tc>
        <w:tc>
          <w:tcPr>
            <w:tcW w:w="1134" w:type="dxa"/>
            <w:tcBorders>
              <w:tl2br w:val="nil"/>
              <w:tr2bl w:val="nil"/>
            </w:tcBorders>
            <w:vAlign w:val="center"/>
          </w:tcPr>
          <w:p>
            <w:pPr>
              <w:pStyle w:val="373"/>
              <w:rPr>
                <w:color w:val="auto"/>
              </w:rPr>
            </w:pPr>
            <w:r>
              <w:rPr>
                <w:color w:val="auto"/>
              </w:rPr>
              <w:t>噪声</w:t>
            </w:r>
          </w:p>
        </w:tc>
        <w:tc>
          <w:tcPr>
            <w:tcW w:w="1900" w:type="dxa"/>
            <w:tcBorders>
              <w:tl2br w:val="nil"/>
              <w:tr2bl w:val="nil"/>
            </w:tcBorders>
            <w:vAlign w:val="center"/>
          </w:tcPr>
          <w:p>
            <w:pPr>
              <w:pStyle w:val="373"/>
              <w:rPr>
                <w:color w:val="auto"/>
              </w:rPr>
            </w:pPr>
            <w:r>
              <w:rPr>
                <w:color w:val="auto"/>
              </w:rPr>
              <w:t>厂界四周</w:t>
            </w:r>
          </w:p>
        </w:tc>
        <w:tc>
          <w:tcPr>
            <w:tcW w:w="1967" w:type="dxa"/>
            <w:tcBorders>
              <w:tl2br w:val="nil"/>
              <w:tr2bl w:val="nil"/>
            </w:tcBorders>
            <w:vAlign w:val="center"/>
          </w:tcPr>
          <w:p>
            <w:pPr>
              <w:pStyle w:val="373"/>
              <w:rPr>
                <w:color w:val="auto"/>
              </w:rPr>
            </w:pPr>
            <w:r>
              <w:rPr>
                <w:color w:val="auto"/>
              </w:rPr>
              <w:t>连续等效A声级</w:t>
            </w:r>
          </w:p>
        </w:tc>
        <w:tc>
          <w:tcPr>
            <w:tcW w:w="1694" w:type="dxa"/>
            <w:tcBorders>
              <w:tl2br w:val="nil"/>
              <w:tr2bl w:val="nil"/>
            </w:tcBorders>
            <w:vAlign w:val="center"/>
          </w:tcPr>
          <w:p>
            <w:pPr>
              <w:pStyle w:val="373"/>
              <w:rPr>
                <w:color w:val="auto"/>
              </w:rPr>
            </w:pPr>
            <w:r>
              <w:rPr>
                <w:color w:val="auto"/>
              </w:rPr>
              <w:t>每季度监测1次</w:t>
            </w:r>
          </w:p>
        </w:tc>
        <w:tc>
          <w:tcPr>
            <w:tcW w:w="722" w:type="dxa"/>
            <w:tcBorders>
              <w:tl2br w:val="nil"/>
              <w:tr2bl w:val="nil"/>
            </w:tcBorders>
            <w:vAlign w:val="center"/>
          </w:tcPr>
          <w:p>
            <w:pPr>
              <w:widowControl/>
              <w:adjustRightInd w:val="0"/>
              <w:snapToGrid w:val="0"/>
              <w:jc w:val="center"/>
              <w:rPr>
                <w:rFonts w:ascii="Times New Roman" w:eastAsia="宋体"/>
                <w:color w:val="auto"/>
                <w:sz w:val="21"/>
                <w:szCs w:val="21"/>
              </w:rPr>
            </w:pPr>
            <w:r>
              <w:rPr>
                <w:rFonts w:ascii="Times New Roman" w:eastAsia="宋体"/>
                <w:color w:val="auto"/>
                <w:sz w:val="21"/>
                <w:szCs w:val="21"/>
              </w:rPr>
              <w:t>/</w:t>
            </w:r>
          </w:p>
        </w:tc>
      </w:tr>
    </w:tbl>
    <w:p>
      <w:pPr>
        <w:spacing w:line="360" w:lineRule="auto"/>
        <w:rPr>
          <w:rFonts w:ascii="Times New Roman" w:eastAsia="宋体"/>
          <w:color w:val="auto"/>
          <w:szCs w:val="24"/>
        </w:rPr>
      </w:pPr>
    </w:p>
    <w:p>
      <w:pPr>
        <w:pStyle w:val="4"/>
        <w:spacing w:before="0" w:after="0" w:line="360" w:lineRule="auto"/>
        <w:rPr>
          <w:rFonts w:ascii="Times New Roman" w:eastAsia="宋体"/>
          <w:b/>
          <w:bCs/>
          <w:color w:val="auto"/>
          <w:kern w:val="2"/>
          <w:sz w:val="24"/>
        </w:rPr>
      </w:pPr>
      <w:bookmarkStart w:id="570" w:name="_Toc489949447"/>
      <w:r>
        <w:rPr>
          <w:rFonts w:hint="eastAsia" w:ascii="Times New Roman" w:eastAsia="宋体"/>
          <w:b/>
          <w:bCs/>
          <w:color w:val="auto"/>
          <w:kern w:val="2"/>
          <w:sz w:val="24"/>
        </w:rPr>
        <w:t>8</w:t>
      </w:r>
      <w:r>
        <w:rPr>
          <w:rFonts w:ascii="Times New Roman" w:eastAsia="宋体"/>
          <w:b/>
          <w:bCs/>
          <w:color w:val="auto"/>
          <w:kern w:val="2"/>
          <w:sz w:val="24"/>
        </w:rPr>
        <w:t>.2.2</w:t>
      </w:r>
      <w:r>
        <w:rPr>
          <w:rFonts w:hint="eastAsia" w:ascii="Times New Roman" w:eastAsia="宋体"/>
          <w:b/>
          <w:bCs/>
          <w:color w:val="auto"/>
          <w:kern w:val="2"/>
          <w:sz w:val="24"/>
        </w:rPr>
        <w:t>环境质量</w:t>
      </w:r>
      <w:r>
        <w:rPr>
          <w:rFonts w:ascii="Times New Roman" w:eastAsia="宋体"/>
          <w:b/>
          <w:bCs/>
          <w:color w:val="auto"/>
          <w:kern w:val="2"/>
          <w:sz w:val="24"/>
        </w:rPr>
        <w:t>监测计划</w:t>
      </w:r>
      <w:bookmarkEnd w:id="570"/>
    </w:p>
    <w:p>
      <w:pPr>
        <w:spacing w:line="360" w:lineRule="auto"/>
        <w:ind w:firstLine="496" w:firstLineChars="200"/>
        <w:rPr>
          <w:rFonts w:ascii="Times New Roman" w:eastAsia="宋体"/>
          <w:b/>
          <w:bCs/>
          <w:color w:val="auto"/>
        </w:rPr>
      </w:pPr>
      <w:r>
        <w:rPr>
          <w:rFonts w:ascii="Times New Roman" w:eastAsia="宋体"/>
          <w:color w:val="auto"/>
          <w:szCs w:val="24"/>
        </w:rPr>
        <w:t>项目</w:t>
      </w:r>
      <w:r>
        <w:rPr>
          <w:rFonts w:hint="eastAsia" w:ascii="Times New Roman" w:eastAsia="宋体"/>
          <w:color w:val="auto"/>
          <w:szCs w:val="24"/>
        </w:rPr>
        <w:t>环境质量监测</w:t>
      </w:r>
      <w:r>
        <w:rPr>
          <w:rFonts w:ascii="Times New Roman" w:eastAsia="宋体"/>
          <w:color w:val="auto"/>
          <w:szCs w:val="24"/>
        </w:rPr>
        <w:t>点位见表</w:t>
      </w:r>
      <w:r>
        <w:rPr>
          <w:rFonts w:hint="eastAsia" w:ascii="Times New Roman" w:eastAsia="宋体"/>
          <w:color w:val="auto"/>
          <w:szCs w:val="24"/>
        </w:rPr>
        <w:t>8</w:t>
      </w:r>
      <w:r>
        <w:rPr>
          <w:rFonts w:ascii="Times New Roman" w:eastAsia="宋体"/>
          <w:color w:val="auto"/>
          <w:szCs w:val="24"/>
        </w:rPr>
        <w:t>.</w:t>
      </w:r>
      <w:r>
        <w:rPr>
          <w:rFonts w:hint="eastAsia" w:ascii="Times New Roman" w:eastAsia="宋体"/>
          <w:color w:val="auto"/>
          <w:szCs w:val="24"/>
        </w:rPr>
        <w:t>2</w:t>
      </w:r>
      <w:r>
        <w:rPr>
          <w:rFonts w:ascii="Times New Roman" w:eastAsia="宋体"/>
          <w:color w:val="auto"/>
          <w:szCs w:val="24"/>
        </w:rPr>
        <w:t>-2</w:t>
      </w:r>
      <w:r>
        <w:rPr>
          <w:rFonts w:hint="eastAsia" w:ascii="Times New Roman" w:eastAsia="宋体"/>
          <w:color w:val="auto"/>
          <w:szCs w:val="24"/>
        </w:rPr>
        <w:t>。</w:t>
      </w:r>
    </w:p>
    <w:p>
      <w:pPr>
        <w:pStyle w:val="358"/>
        <w:spacing w:beforeLines="50" w:line="0" w:lineRule="atLeast"/>
        <w:jc w:val="center"/>
        <w:rPr>
          <w:rFonts w:ascii="Times New Roman" w:hAnsi="Times New Roman" w:eastAsia="宋体" w:cs="Times New Roman"/>
          <w:b/>
          <w:bCs/>
          <w:color w:val="auto"/>
        </w:rPr>
      </w:pPr>
      <w:r>
        <w:rPr>
          <w:rFonts w:ascii="Times New Roman" w:hAnsi="Times New Roman" w:eastAsia="宋体" w:cs="Times New Roman"/>
          <w:b/>
          <w:bCs/>
          <w:color w:val="auto"/>
        </w:rPr>
        <w:t>表</w:t>
      </w:r>
      <w:r>
        <w:rPr>
          <w:rFonts w:hint="eastAsia" w:ascii="Times New Roman" w:hAnsi="Times New Roman" w:eastAsia="宋体" w:cs="Times New Roman"/>
          <w:b/>
          <w:bCs/>
          <w:color w:val="auto"/>
        </w:rPr>
        <w:t>8</w:t>
      </w:r>
      <w:r>
        <w:rPr>
          <w:rFonts w:ascii="Times New Roman" w:hAnsi="Times New Roman" w:eastAsia="宋体" w:cs="Times New Roman"/>
          <w:b/>
          <w:bCs/>
          <w:color w:val="auto"/>
        </w:rPr>
        <w:t>.</w:t>
      </w:r>
      <w:r>
        <w:rPr>
          <w:rFonts w:hint="eastAsia" w:ascii="Times New Roman" w:hAnsi="Times New Roman" w:eastAsia="宋体" w:cs="Times New Roman"/>
          <w:b/>
          <w:bCs/>
          <w:color w:val="auto"/>
        </w:rPr>
        <w:t>2</w:t>
      </w:r>
      <w:r>
        <w:rPr>
          <w:rFonts w:ascii="Times New Roman" w:hAnsi="Times New Roman" w:eastAsia="宋体" w:cs="Times New Roman"/>
          <w:b/>
          <w:bCs/>
          <w:color w:val="auto"/>
        </w:rPr>
        <w:t>-2环境监测计划</w:t>
      </w:r>
    </w:p>
    <w:tbl>
      <w:tblPr>
        <w:tblStyle w:val="48"/>
        <w:tblW w:w="483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1438"/>
        <w:gridCol w:w="1004"/>
        <w:gridCol w:w="2039"/>
        <w:gridCol w:w="26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3" w:type="pct"/>
            <w:tcBorders>
              <w:tl2br w:val="nil"/>
              <w:tr2bl w:val="nil"/>
            </w:tcBorders>
            <w:vAlign w:val="center"/>
          </w:tcPr>
          <w:p>
            <w:pPr>
              <w:pStyle w:val="373"/>
              <w:widowControl/>
              <w:rPr>
                <w:b/>
                <w:color w:val="auto"/>
              </w:rPr>
            </w:pPr>
            <w:r>
              <w:rPr>
                <w:rFonts w:hint="eastAsia"/>
                <w:b/>
                <w:color w:val="auto"/>
              </w:rPr>
              <w:t>类别</w:t>
            </w:r>
          </w:p>
        </w:tc>
        <w:tc>
          <w:tcPr>
            <w:tcW w:w="872" w:type="pct"/>
            <w:tcBorders>
              <w:tl2br w:val="nil"/>
              <w:tr2bl w:val="nil"/>
            </w:tcBorders>
            <w:vAlign w:val="center"/>
          </w:tcPr>
          <w:p>
            <w:pPr>
              <w:pStyle w:val="373"/>
              <w:widowControl/>
              <w:rPr>
                <w:b/>
                <w:color w:val="auto"/>
              </w:rPr>
            </w:pPr>
            <w:r>
              <w:rPr>
                <w:b/>
                <w:color w:val="auto"/>
              </w:rPr>
              <w:t>地点</w:t>
            </w:r>
          </w:p>
        </w:tc>
        <w:tc>
          <w:tcPr>
            <w:tcW w:w="609" w:type="pct"/>
            <w:tcBorders>
              <w:tl2br w:val="nil"/>
              <w:tr2bl w:val="nil"/>
            </w:tcBorders>
            <w:vAlign w:val="center"/>
          </w:tcPr>
          <w:p>
            <w:pPr>
              <w:pStyle w:val="373"/>
              <w:widowControl/>
              <w:rPr>
                <w:b/>
                <w:color w:val="auto"/>
              </w:rPr>
            </w:pPr>
            <w:r>
              <w:rPr>
                <w:b/>
                <w:color w:val="auto"/>
              </w:rPr>
              <w:t>监测层位</w:t>
            </w:r>
          </w:p>
        </w:tc>
        <w:tc>
          <w:tcPr>
            <w:tcW w:w="1236" w:type="pct"/>
            <w:tcBorders>
              <w:tl2br w:val="nil"/>
              <w:tr2bl w:val="nil"/>
            </w:tcBorders>
            <w:vAlign w:val="center"/>
          </w:tcPr>
          <w:p>
            <w:pPr>
              <w:pStyle w:val="373"/>
              <w:widowControl/>
              <w:rPr>
                <w:b/>
                <w:color w:val="auto"/>
              </w:rPr>
            </w:pPr>
            <w:r>
              <w:rPr>
                <w:b/>
                <w:color w:val="auto"/>
              </w:rPr>
              <w:t>监测频率</w:t>
            </w:r>
          </w:p>
        </w:tc>
        <w:tc>
          <w:tcPr>
            <w:tcW w:w="1617" w:type="pct"/>
            <w:tcBorders>
              <w:tl2br w:val="nil"/>
              <w:tr2bl w:val="nil"/>
            </w:tcBorders>
            <w:vAlign w:val="center"/>
          </w:tcPr>
          <w:p>
            <w:pPr>
              <w:pStyle w:val="373"/>
              <w:widowControl/>
              <w:rPr>
                <w:b/>
                <w:color w:val="auto"/>
              </w:rPr>
            </w:pPr>
            <w:r>
              <w:rPr>
                <w:b/>
                <w:color w:val="auto"/>
              </w:rPr>
              <w:t>监测项目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3" w:type="pct"/>
            <w:tcBorders>
              <w:tl2br w:val="nil"/>
              <w:tr2bl w:val="nil"/>
            </w:tcBorders>
            <w:vAlign w:val="center"/>
          </w:tcPr>
          <w:p>
            <w:pPr>
              <w:pStyle w:val="373"/>
              <w:widowControl/>
              <w:rPr>
                <w:color w:val="auto"/>
              </w:rPr>
            </w:pPr>
            <w:r>
              <w:rPr>
                <w:rFonts w:hint="eastAsia"/>
                <w:color w:val="auto"/>
              </w:rPr>
              <w:t>环境空气</w:t>
            </w:r>
          </w:p>
        </w:tc>
        <w:tc>
          <w:tcPr>
            <w:tcW w:w="872" w:type="pct"/>
            <w:tcBorders>
              <w:tl2br w:val="nil"/>
              <w:tr2bl w:val="nil"/>
            </w:tcBorders>
            <w:vAlign w:val="center"/>
          </w:tcPr>
          <w:p>
            <w:pPr>
              <w:pStyle w:val="373"/>
              <w:widowControl/>
              <w:rPr>
                <w:color w:val="auto"/>
              </w:rPr>
            </w:pPr>
            <w:r>
              <w:rPr>
                <w:color w:val="auto"/>
              </w:rPr>
              <w:t>厂界</w:t>
            </w:r>
            <w:r>
              <w:rPr>
                <w:rFonts w:hint="eastAsia"/>
                <w:color w:val="auto"/>
              </w:rPr>
              <w:t>外浓度最高点</w:t>
            </w:r>
          </w:p>
        </w:tc>
        <w:tc>
          <w:tcPr>
            <w:tcW w:w="609" w:type="pct"/>
            <w:tcBorders>
              <w:tl2br w:val="nil"/>
              <w:tr2bl w:val="nil"/>
            </w:tcBorders>
            <w:vAlign w:val="center"/>
          </w:tcPr>
          <w:p>
            <w:pPr>
              <w:pStyle w:val="373"/>
              <w:widowControl/>
              <w:rPr>
                <w:color w:val="auto"/>
              </w:rPr>
            </w:pPr>
            <w:r>
              <w:rPr>
                <w:rFonts w:hint="eastAsia"/>
                <w:color w:val="auto"/>
              </w:rPr>
              <w:t>-</w:t>
            </w:r>
          </w:p>
        </w:tc>
        <w:tc>
          <w:tcPr>
            <w:tcW w:w="1236" w:type="pct"/>
            <w:tcBorders>
              <w:tl2br w:val="nil"/>
              <w:tr2bl w:val="nil"/>
            </w:tcBorders>
            <w:vAlign w:val="center"/>
          </w:tcPr>
          <w:p>
            <w:pPr>
              <w:pStyle w:val="373"/>
              <w:widowControl/>
              <w:rPr>
                <w:color w:val="auto"/>
              </w:rPr>
            </w:pPr>
            <w:r>
              <w:rPr>
                <w:color w:val="auto"/>
              </w:rPr>
              <w:t>1次/年</w:t>
            </w:r>
          </w:p>
        </w:tc>
        <w:tc>
          <w:tcPr>
            <w:tcW w:w="1617" w:type="pct"/>
            <w:tcBorders>
              <w:tl2br w:val="nil"/>
              <w:tr2bl w:val="nil"/>
            </w:tcBorders>
            <w:vAlign w:val="center"/>
          </w:tcPr>
          <w:p>
            <w:pPr>
              <w:pStyle w:val="373"/>
              <w:widowControl/>
              <w:rPr>
                <w:color w:val="auto"/>
              </w:rPr>
            </w:pPr>
            <w:r>
              <w:rPr>
                <w:color w:val="auto"/>
              </w:rPr>
              <w:t>H</w:t>
            </w:r>
            <w:r>
              <w:rPr>
                <w:color w:val="auto"/>
                <w:vertAlign w:val="subscript"/>
              </w:rPr>
              <w:t>2</w:t>
            </w:r>
            <w:r>
              <w:rPr>
                <w:color w:val="auto"/>
              </w:rPr>
              <w:t>S、NH</w:t>
            </w:r>
            <w:r>
              <w:rPr>
                <w:color w:val="auto"/>
                <w:vertAlign w:val="subscript"/>
              </w:rPr>
              <w:t>3</w:t>
            </w:r>
            <w:r>
              <w:rPr>
                <w:color w:val="auto"/>
              </w:rPr>
              <w:t>、臭气浓度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63" w:type="pct"/>
            <w:tcBorders>
              <w:tl2br w:val="nil"/>
              <w:tr2bl w:val="nil"/>
            </w:tcBorders>
            <w:vAlign w:val="center"/>
          </w:tcPr>
          <w:p>
            <w:pPr>
              <w:pStyle w:val="373"/>
              <w:widowControl/>
              <w:rPr>
                <w:color w:val="auto"/>
              </w:rPr>
            </w:pPr>
            <w:r>
              <w:rPr>
                <w:rFonts w:hint="eastAsia"/>
                <w:color w:val="auto"/>
              </w:rPr>
              <w:t>地下水</w:t>
            </w:r>
          </w:p>
        </w:tc>
        <w:tc>
          <w:tcPr>
            <w:tcW w:w="872" w:type="pct"/>
            <w:tcBorders>
              <w:tl2br w:val="nil"/>
              <w:tr2bl w:val="nil"/>
            </w:tcBorders>
            <w:vAlign w:val="center"/>
          </w:tcPr>
          <w:p>
            <w:pPr>
              <w:pStyle w:val="373"/>
              <w:widowControl/>
              <w:rPr>
                <w:color w:val="auto"/>
              </w:rPr>
            </w:pPr>
            <w:r>
              <w:rPr>
                <w:color w:val="auto"/>
              </w:rPr>
              <w:t>厂区水井、周边居民水井</w:t>
            </w:r>
          </w:p>
        </w:tc>
        <w:tc>
          <w:tcPr>
            <w:tcW w:w="609" w:type="pct"/>
            <w:tcBorders>
              <w:tl2br w:val="nil"/>
              <w:tr2bl w:val="nil"/>
            </w:tcBorders>
            <w:vAlign w:val="center"/>
          </w:tcPr>
          <w:p>
            <w:pPr>
              <w:pStyle w:val="373"/>
              <w:widowControl/>
              <w:rPr>
                <w:color w:val="auto"/>
              </w:rPr>
            </w:pPr>
            <w:r>
              <w:rPr>
                <w:color w:val="auto"/>
              </w:rPr>
              <w:t>潜水</w:t>
            </w:r>
          </w:p>
        </w:tc>
        <w:tc>
          <w:tcPr>
            <w:tcW w:w="1236" w:type="pct"/>
            <w:tcBorders>
              <w:tl2br w:val="nil"/>
              <w:tr2bl w:val="nil"/>
            </w:tcBorders>
            <w:vAlign w:val="center"/>
          </w:tcPr>
          <w:p>
            <w:pPr>
              <w:pStyle w:val="373"/>
              <w:widowControl/>
              <w:rPr>
                <w:color w:val="auto"/>
              </w:rPr>
            </w:pPr>
            <w:r>
              <w:rPr>
                <w:color w:val="auto"/>
              </w:rPr>
              <w:t>1次/</w:t>
            </w:r>
            <w:r>
              <w:rPr>
                <w:rFonts w:hint="eastAsia"/>
                <w:color w:val="auto"/>
              </w:rPr>
              <w:t>年</w:t>
            </w:r>
            <w:r>
              <w:rPr>
                <w:color w:val="auto"/>
              </w:rPr>
              <w:t>；</w:t>
            </w:r>
          </w:p>
          <w:p>
            <w:pPr>
              <w:pStyle w:val="373"/>
              <w:widowControl/>
              <w:rPr>
                <w:color w:val="auto"/>
              </w:rPr>
            </w:pPr>
            <w:r>
              <w:rPr>
                <w:color w:val="auto"/>
              </w:rPr>
              <w:t>如发现异常或发生事故，加密监测频次</w:t>
            </w:r>
          </w:p>
        </w:tc>
        <w:tc>
          <w:tcPr>
            <w:tcW w:w="1617" w:type="pct"/>
            <w:tcBorders>
              <w:tl2br w:val="nil"/>
              <w:tr2bl w:val="nil"/>
            </w:tcBorders>
            <w:vAlign w:val="center"/>
          </w:tcPr>
          <w:p>
            <w:pPr>
              <w:pStyle w:val="373"/>
              <w:widowControl/>
              <w:rPr>
                <w:color w:val="auto"/>
              </w:rPr>
            </w:pPr>
            <w:r>
              <w:rPr>
                <w:rFonts w:hint="eastAsia"/>
                <w:color w:val="auto"/>
              </w:rPr>
              <w:t>p</w:t>
            </w:r>
            <w:r>
              <w:rPr>
                <w:color w:val="auto"/>
              </w:rPr>
              <w:t>H、总硬度、高锰酸盐指数、氨氮、硝酸盐氮、亚硝酸盐氮、总磷、总大肠菌群</w:t>
            </w:r>
          </w:p>
        </w:tc>
      </w:tr>
    </w:tbl>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71" w:name="_Toc12946"/>
      <w:bookmarkStart w:id="572" w:name="_Toc1871"/>
      <w:bookmarkStart w:id="573" w:name="_Toc22094"/>
      <w:r>
        <w:rPr>
          <w:rFonts w:hint="eastAsia" w:ascii="Times New Roman" w:hAnsi="Times New Roman" w:eastAsia="宋体"/>
          <w:color w:val="auto"/>
          <w:kern w:val="2"/>
          <w:sz w:val="28"/>
          <w:szCs w:val="28"/>
        </w:rPr>
        <w:t>8</w:t>
      </w:r>
      <w:r>
        <w:rPr>
          <w:rFonts w:ascii="Times New Roman" w:hAnsi="Times New Roman" w:eastAsia="宋体"/>
          <w:color w:val="auto"/>
          <w:kern w:val="2"/>
          <w:sz w:val="28"/>
          <w:szCs w:val="28"/>
        </w:rPr>
        <w:t>.3“三同时”验收内容</w:t>
      </w:r>
      <w:bookmarkEnd w:id="571"/>
      <w:bookmarkEnd w:id="572"/>
      <w:bookmarkEnd w:id="573"/>
    </w:p>
    <w:p>
      <w:pPr>
        <w:spacing w:line="360" w:lineRule="auto"/>
        <w:ind w:firstLine="496" w:firstLineChars="200"/>
        <w:rPr>
          <w:rFonts w:ascii="Times New Roman" w:eastAsia="宋体"/>
          <w:color w:val="auto"/>
          <w:szCs w:val="24"/>
        </w:rPr>
      </w:pPr>
      <w:r>
        <w:rPr>
          <w:rFonts w:ascii="Times New Roman" w:eastAsia="宋体"/>
          <w:color w:val="auto"/>
          <w:szCs w:val="24"/>
        </w:rPr>
        <w:t>（1）建设前期环境保护审查、审批手续完备，技术资料与环境保护档案资料齐全；</w:t>
      </w:r>
    </w:p>
    <w:p>
      <w:pPr>
        <w:spacing w:line="360" w:lineRule="auto"/>
        <w:ind w:firstLine="496" w:firstLineChars="200"/>
        <w:rPr>
          <w:rFonts w:ascii="Times New Roman" w:eastAsia="宋体"/>
          <w:color w:val="auto"/>
          <w:szCs w:val="24"/>
        </w:rPr>
      </w:pPr>
      <w:r>
        <w:rPr>
          <w:rFonts w:ascii="Times New Roman" w:eastAsia="宋体"/>
          <w:color w:val="auto"/>
          <w:szCs w:val="24"/>
        </w:rPr>
        <w:t>（2）环境保护设施</w:t>
      </w:r>
      <w:r>
        <w:rPr>
          <w:rFonts w:hint="eastAsia" w:ascii="Times New Roman" w:eastAsia="宋体"/>
          <w:color w:val="auto"/>
          <w:szCs w:val="24"/>
        </w:rPr>
        <w:t>及其他</w:t>
      </w:r>
      <w:r>
        <w:rPr>
          <w:rFonts w:ascii="Times New Roman" w:eastAsia="宋体"/>
          <w:color w:val="auto"/>
          <w:szCs w:val="24"/>
        </w:rPr>
        <w:t>措施等已按批准的环境影响报告书的要求建成或者落实，环境保护设施经负荷试车检测合格，其防治污染能力适应主体工程的需要；</w:t>
      </w:r>
    </w:p>
    <w:p>
      <w:pPr>
        <w:spacing w:line="360" w:lineRule="auto"/>
        <w:ind w:firstLine="496" w:firstLineChars="200"/>
        <w:rPr>
          <w:rFonts w:ascii="Times New Roman" w:eastAsia="宋体"/>
          <w:color w:val="auto"/>
          <w:szCs w:val="24"/>
        </w:rPr>
      </w:pPr>
      <w:r>
        <w:rPr>
          <w:rFonts w:ascii="Times New Roman" w:eastAsia="宋体"/>
          <w:color w:val="auto"/>
          <w:szCs w:val="24"/>
        </w:rPr>
        <w:t>（3）环境保护设施安装质量符合国家和有关部门颁发的专业工程验收规范、规程和检验评定标准：</w:t>
      </w:r>
    </w:p>
    <w:p>
      <w:pPr>
        <w:spacing w:line="360" w:lineRule="auto"/>
        <w:ind w:firstLine="496" w:firstLineChars="200"/>
        <w:rPr>
          <w:rFonts w:ascii="Times New Roman" w:eastAsia="宋体"/>
          <w:color w:val="auto"/>
          <w:szCs w:val="24"/>
        </w:rPr>
      </w:pPr>
      <w:r>
        <w:rPr>
          <w:rFonts w:ascii="Times New Roman" w:eastAsia="宋体"/>
          <w:color w:val="auto"/>
          <w:szCs w:val="24"/>
        </w:rPr>
        <w:t>（4）具备环境保护设施正常运转的条件，包括：经培训合格的操作人员、健全的岗位操作规程及相应的规章制度，原利、动力供应落实，符合交付使用的其他要求；</w:t>
      </w:r>
    </w:p>
    <w:p>
      <w:pPr>
        <w:spacing w:line="360" w:lineRule="auto"/>
        <w:ind w:firstLine="496" w:firstLineChars="200"/>
        <w:rPr>
          <w:rFonts w:ascii="Times New Roman" w:eastAsia="宋体"/>
          <w:color w:val="auto"/>
          <w:szCs w:val="24"/>
        </w:rPr>
      </w:pPr>
      <w:r>
        <w:rPr>
          <w:rFonts w:ascii="Times New Roman" w:eastAsia="宋体"/>
          <w:color w:val="auto"/>
          <w:szCs w:val="24"/>
        </w:rPr>
        <w:t>（5）污染物排放符合环境影响报告书</w:t>
      </w:r>
      <w:r>
        <w:rPr>
          <w:rFonts w:hint="eastAsia" w:ascii="Times New Roman" w:eastAsia="宋体"/>
          <w:color w:val="auto"/>
          <w:szCs w:val="24"/>
        </w:rPr>
        <w:t>和</w:t>
      </w:r>
      <w:r>
        <w:rPr>
          <w:rFonts w:ascii="Times New Roman" w:eastAsia="宋体"/>
          <w:color w:val="auto"/>
          <w:szCs w:val="24"/>
        </w:rPr>
        <w:t>设计文件中提出的标准及核定的污染物排放总量控制指标的要求；</w:t>
      </w:r>
    </w:p>
    <w:p>
      <w:pPr>
        <w:spacing w:line="360" w:lineRule="auto"/>
        <w:ind w:firstLine="496" w:firstLineChars="200"/>
        <w:rPr>
          <w:rFonts w:ascii="Times New Roman" w:eastAsia="宋体"/>
          <w:color w:val="auto"/>
          <w:szCs w:val="24"/>
        </w:rPr>
      </w:pPr>
      <w:r>
        <w:rPr>
          <w:rFonts w:ascii="Times New Roman" w:eastAsia="宋体"/>
          <w:color w:val="auto"/>
          <w:szCs w:val="24"/>
        </w:rPr>
        <w:t>（6）环境监测项目、点位、机构设置及人员配备，符合环境影响报告书和有关规定的要求。</w:t>
      </w:r>
    </w:p>
    <w:p>
      <w:pPr>
        <w:spacing w:line="360" w:lineRule="auto"/>
        <w:ind w:firstLine="496" w:firstLineChars="200"/>
        <w:rPr>
          <w:rFonts w:ascii="Times New Roman" w:eastAsia="宋体"/>
          <w:color w:val="auto"/>
          <w:szCs w:val="24"/>
        </w:rPr>
        <w:sectPr>
          <w:headerReference r:id="rId9" w:type="default"/>
          <w:footerReference r:id="rId10" w:type="default"/>
          <w:footerReference r:id="rId11" w:type="even"/>
          <w:pgSz w:w="11906" w:h="16838"/>
          <w:pgMar w:top="1440" w:right="1803" w:bottom="1440" w:left="1803" w:header="850" w:footer="992" w:gutter="0"/>
          <w:pgNumType w:fmt="decimal"/>
          <w:cols w:space="720" w:num="1"/>
          <w:docGrid w:type="linesAndChars" w:linePitch="319" w:charSpace="1724"/>
        </w:sectPr>
      </w:pPr>
      <w:r>
        <w:rPr>
          <w:rFonts w:ascii="Times New Roman" w:eastAsia="宋体"/>
          <w:color w:val="auto"/>
          <w:szCs w:val="24"/>
        </w:rPr>
        <w:t>本项目建成后在试运行三个月内，建设单位应根据《建设项目竣工环境保护验收暂行办法》（国环规环评[2017]4号）中的相关规定，自主开展环境保护验收工作。本项目“三同时”环保工程验收一览表见</w:t>
      </w:r>
      <w:r>
        <w:rPr>
          <w:rFonts w:hint="eastAsia" w:ascii="Times New Roman" w:eastAsia="宋体"/>
          <w:color w:val="auto"/>
          <w:szCs w:val="24"/>
        </w:rPr>
        <w:t>8</w:t>
      </w:r>
      <w:r>
        <w:rPr>
          <w:rFonts w:ascii="Times New Roman" w:eastAsia="宋体"/>
          <w:color w:val="auto"/>
          <w:szCs w:val="24"/>
        </w:rPr>
        <w:t>.3-</w:t>
      </w:r>
      <w:r>
        <w:rPr>
          <w:rFonts w:hint="eastAsia" w:ascii="Times New Roman" w:eastAsia="宋体"/>
          <w:color w:val="auto"/>
          <w:szCs w:val="24"/>
        </w:rPr>
        <w:t>1。</w:t>
      </w:r>
    </w:p>
    <w:p>
      <w:pPr>
        <w:pStyle w:val="358"/>
        <w:jc w:val="center"/>
        <w:rPr>
          <w:rFonts w:ascii="Times New Roman" w:hAnsi="Times New Roman" w:eastAsia="宋体" w:cs="Times New Roman"/>
          <w:color w:val="auto"/>
        </w:rPr>
      </w:pPr>
      <w:r>
        <w:rPr>
          <w:rFonts w:ascii="Times New Roman" w:hAnsi="Times New Roman" w:eastAsia="宋体" w:cs="Times New Roman"/>
          <w:b/>
          <w:bCs/>
          <w:color w:val="auto"/>
        </w:rPr>
        <w:t>表</w:t>
      </w:r>
      <w:r>
        <w:rPr>
          <w:rFonts w:hint="eastAsia" w:ascii="Times New Roman" w:hAnsi="Times New Roman" w:eastAsia="宋体" w:cs="Times New Roman"/>
          <w:b/>
          <w:bCs/>
          <w:color w:val="auto"/>
        </w:rPr>
        <w:t>8.3</w:t>
      </w:r>
      <w:r>
        <w:rPr>
          <w:rFonts w:ascii="Times New Roman" w:hAnsi="Times New Roman" w:eastAsia="宋体" w:cs="Times New Roman"/>
          <w:b/>
          <w:bCs/>
          <w:color w:val="auto"/>
        </w:rPr>
        <w:t>-1本项目主要环境保护“三同时”竣工验收</w:t>
      </w:r>
      <w:r>
        <w:rPr>
          <w:rFonts w:hint="eastAsia" w:ascii="Times New Roman" w:hAnsi="Times New Roman" w:eastAsia="宋体" w:cs="Times New Roman"/>
          <w:b/>
          <w:bCs/>
          <w:color w:val="auto"/>
        </w:rPr>
        <w:t>表</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27"/>
        <w:gridCol w:w="1752"/>
        <w:gridCol w:w="1980"/>
        <w:gridCol w:w="3328"/>
        <w:gridCol w:w="3199"/>
        <w:gridCol w:w="10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276"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项目</w:t>
            </w:r>
          </w:p>
        </w:tc>
        <w:tc>
          <w:tcPr>
            <w:tcW w:w="1527"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类别</w:t>
            </w:r>
          </w:p>
        </w:tc>
        <w:tc>
          <w:tcPr>
            <w:tcW w:w="1752"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污染源</w:t>
            </w:r>
          </w:p>
        </w:tc>
        <w:tc>
          <w:tcPr>
            <w:tcW w:w="1980"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污染物</w:t>
            </w:r>
          </w:p>
        </w:tc>
        <w:tc>
          <w:tcPr>
            <w:tcW w:w="3328"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建设内容</w:t>
            </w:r>
          </w:p>
        </w:tc>
        <w:tc>
          <w:tcPr>
            <w:tcW w:w="3199"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验收标准</w:t>
            </w:r>
          </w:p>
        </w:tc>
        <w:tc>
          <w:tcPr>
            <w:tcW w:w="1076" w:type="dxa"/>
            <w:tcBorders>
              <w:tl2br w:val="nil"/>
              <w:tr2bl w:val="nil"/>
            </w:tcBorders>
            <w:vAlign w:val="center"/>
          </w:tcPr>
          <w:p>
            <w:pPr>
              <w:jc w:val="center"/>
              <w:rPr>
                <w:rFonts w:ascii="Times New Roman" w:eastAsia="宋体"/>
                <w:b/>
                <w:bCs/>
                <w:color w:val="auto"/>
                <w:sz w:val="21"/>
                <w:szCs w:val="21"/>
              </w:rPr>
            </w:pPr>
            <w:r>
              <w:rPr>
                <w:rFonts w:ascii="Times New Roman" w:eastAsia="宋体"/>
                <w:b/>
                <w:bCs/>
                <w:color w:val="auto"/>
                <w:sz w:val="21"/>
                <w:szCs w:val="21"/>
              </w:rPr>
              <w:t>完成时间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废水</w:t>
            </w:r>
          </w:p>
        </w:tc>
        <w:tc>
          <w:tcPr>
            <w:tcW w:w="152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鸡舍冲洗废水</w:t>
            </w:r>
          </w:p>
        </w:tc>
        <w:tc>
          <w:tcPr>
            <w:tcW w:w="1752" w:type="dxa"/>
            <w:tcBorders>
              <w:tl2br w:val="nil"/>
              <w:tr2bl w:val="nil"/>
            </w:tcBorders>
            <w:vAlign w:val="center"/>
          </w:tcPr>
          <w:p>
            <w:pPr>
              <w:jc w:val="center"/>
              <w:rPr>
                <w:rFonts w:ascii="Times New Roman" w:eastAsia="宋体"/>
                <w:color w:val="auto"/>
                <w:sz w:val="21"/>
                <w:szCs w:val="21"/>
                <w:vertAlign w:val="superscript"/>
              </w:rPr>
            </w:pPr>
            <w:r>
              <w:rPr>
                <w:rFonts w:ascii="Times New Roman" w:eastAsia="宋体"/>
                <w:color w:val="auto"/>
                <w:sz w:val="21"/>
                <w:szCs w:val="21"/>
              </w:rPr>
              <w:t>鸡舍</w:t>
            </w:r>
          </w:p>
        </w:tc>
        <w:tc>
          <w:tcPr>
            <w:tcW w:w="1980" w:type="dxa"/>
            <w:tcBorders>
              <w:tl2br w:val="nil"/>
              <w:tr2bl w:val="nil"/>
            </w:tcBorders>
            <w:vAlign w:val="center"/>
          </w:tcPr>
          <w:p>
            <w:pPr>
              <w:pStyle w:val="185"/>
              <w:rPr>
                <w:rFonts w:ascii="Times New Roman" w:eastAsia="宋体"/>
                <w:color w:val="auto"/>
                <w:spacing w:val="-2"/>
                <w:sz w:val="21"/>
              </w:rPr>
            </w:pPr>
            <w:r>
              <w:rPr>
                <w:rFonts w:ascii="Times New Roman" w:eastAsia="宋体"/>
                <w:color w:val="auto"/>
                <w:spacing w:val="-2"/>
                <w:sz w:val="21"/>
              </w:rPr>
              <w:t>CODcr、BOD</w:t>
            </w:r>
            <w:r>
              <w:rPr>
                <w:rFonts w:hint="eastAsia" w:ascii="Times New Roman" w:eastAsia="宋体"/>
                <w:color w:val="auto"/>
                <w:spacing w:val="-2"/>
                <w:sz w:val="21"/>
                <w:vertAlign w:val="subscript"/>
                <w:lang w:val="en-US" w:eastAsia="zh-CN"/>
              </w:rPr>
              <w:t>5</w:t>
            </w:r>
            <w:r>
              <w:rPr>
                <w:rFonts w:ascii="Times New Roman" w:eastAsia="宋体"/>
                <w:color w:val="auto"/>
                <w:spacing w:val="-2"/>
                <w:sz w:val="21"/>
              </w:rPr>
              <w:t>、</w:t>
            </w:r>
          </w:p>
          <w:p>
            <w:pPr>
              <w:jc w:val="center"/>
              <w:rPr>
                <w:rFonts w:ascii="Times New Roman" w:eastAsia="宋体"/>
                <w:color w:val="auto"/>
                <w:sz w:val="21"/>
                <w:szCs w:val="21"/>
              </w:rPr>
            </w:pPr>
            <w:r>
              <w:rPr>
                <w:rFonts w:ascii="Times New Roman" w:eastAsia="宋体"/>
                <w:color w:val="auto"/>
                <w:spacing w:val="-2"/>
                <w:sz w:val="21"/>
                <w:szCs w:val="21"/>
              </w:rPr>
              <w:t xml:space="preserve">氨氮、SS </w:t>
            </w:r>
          </w:p>
        </w:tc>
        <w:tc>
          <w:tcPr>
            <w:tcW w:w="3328"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鸡舍冲洗废水进入</w:t>
            </w:r>
            <w:r>
              <w:rPr>
                <w:rFonts w:hint="eastAsia" w:ascii="Times New Roman" w:eastAsia="宋体"/>
                <w:color w:val="auto"/>
                <w:sz w:val="21"/>
                <w:szCs w:val="21"/>
              </w:rPr>
              <w:t>场</w:t>
            </w:r>
            <w:r>
              <w:rPr>
                <w:rFonts w:ascii="Times New Roman" w:eastAsia="宋体"/>
                <w:color w:val="auto"/>
                <w:sz w:val="21"/>
                <w:szCs w:val="21"/>
              </w:rPr>
              <w:t>区</w:t>
            </w:r>
            <w:r>
              <w:rPr>
                <w:rFonts w:hint="eastAsia" w:ascii="Times New Roman" w:eastAsia="宋体"/>
                <w:color w:val="auto"/>
                <w:sz w:val="21"/>
                <w:szCs w:val="21"/>
              </w:rPr>
              <w:t>污水沉淀池，后运往新华养殖场污水处理中处理后</w:t>
            </w:r>
            <w:r>
              <w:rPr>
                <w:rFonts w:hint="eastAsia" w:ascii="Times New Roman" w:eastAsia="宋体"/>
                <w:color w:val="auto"/>
                <w:sz w:val="21"/>
                <w:szCs w:val="21"/>
                <w:lang w:val="en-US" w:eastAsia="zh-CN"/>
              </w:rPr>
              <w:t>用于</w:t>
            </w:r>
            <w:r>
              <w:rPr>
                <w:rFonts w:hint="eastAsia" w:ascii="Times New Roman" w:eastAsia="宋体"/>
                <w:color w:val="auto"/>
                <w:sz w:val="21"/>
                <w:szCs w:val="21"/>
              </w:rPr>
              <w:t>周边农林地</w:t>
            </w:r>
            <w:r>
              <w:rPr>
                <w:rFonts w:hint="eastAsia" w:ascii="Times New Roman" w:eastAsia="宋体"/>
                <w:color w:val="auto"/>
                <w:sz w:val="21"/>
                <w:szCs w:val="21"/>
                <w:lang w:val="en-US" w:eastAsia="zh-CN"/>
              </w:rPr>
              <w:t>施肥</w:t>
            </w:r>
            <w:r>
              <w:rPr>
                <w:rFonts w:hint="eastAsia" w:ascii="Times New Roman" w:eastAsia="宋体"/>
                <w:color w:val="auto"/>
                <w:sz w:val="21"/>
                <w:szCs w:val="21"/>
              </w:rPr>
              <w:t>；鸡舍和污水沉淀池</w:t>
            </w:r>
            <w:r>
              <w:rPr>
                <w:rFonts w:ascii="Times New Roman" w:eastAsia="宋体"/>
                <w:color w:val="auto"/>
                <w:sz w:val="21"/>
                <w:szCs w:val="21"/>
              </w:rPr>
              <w:t>等做好防渗</w:t>
            </w:r>
          </w:p>
        </w:tc>
        <w:tc>
          <w:tcPr>
            <w:tcW w:w="3199"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不外排</w:t>
            </w:r>
          </w:p>
        </w:tc>
        <w:tc>
          <w:tcPr>
            <w:tcW w:w="1076"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与主体工程同时设计、同时施工、同时运行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jc w:val="center"/>
              <w:rPr>
                <w:rFonts w:ascii="Times New Roman" w:eastAsia="宋体"/>
                <w:color w:val="auto"/>
                <w:sz w:val="21"/>
                <w:szCs w:val="21"/>
              </w:rPr>
            </w:pPr>
          </w:p>
        </w:tc>
        <w:tc>
          <w:tcPr>
            <w:tcW w:w="1527" w:type="dxa"/>
            <w:tcBorders>
              <w:tl2br w:val="nil"/>
              <w:tr2bl w:val="nil"/>
            </w:tcBorders>
            <w:vAlign w:val="center"/>
          </w:tcPr>
          <w:p>
            <w:pPr>
              <w:jc w:val="center"/>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除臭废水</w:t>
            </w:r>
          </w:p>
        </w:tc>
        <w:tc>
          <w:tcPr>
            <w:tcW w:w="1752" w:type="dxa"/>
            <w:tcBorders>
              <w:tl2br w:val="nil"/>
              <w:tr2bl w:val="nil"/>
            </w:tcBorders>
            <w:vAlign w:val="center"/>
          </w:tcPr>
          <w:p>
            <w:pPr>
              <w:jc w:val="center"/>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鸡舍</w:t>
            </w:r>
          </w:p>
        </w:tc>
        <w:tc>
          <w:tcPr>
            <w:tcW w:w="1980" w:type="dxa"/>
            <w:tcBorders>
              <w:tl2br w:val="nil"/>
              <w:tr2bl w:val="nil"/>
            </w:tcBorders>
            <w:vAlign w:val="center"/>
          </w:tcPr>
          <w:p>
            <w:pPr>
              <w:pStyle w:val="185"/>
              <w:rPr>
                <w:rFonts w:ascii="Times New Roman" w:eastAsia="宋体"/>
                <w:color w:val="auto"/>
                <w:spacing w:val="-2"/>
                <w:sz w:val="21"/>
                <w:szCs w:val="21"/>
              </w:rPr>
            </w:pPr>
            <w:r>
              <w:rPr>
                <w:rFonts w:ascii="Times New Roman" w:eastAsia="宋体"/>
                <w:color w:val="auto"/>
                <w:spacing w:val="-2"/>
                <w:sz w:val="21"/>
              </w:rPr>
              <w:t>CODcr、</w:t>
            </w:r>
            <w:r>
              <w:rPr>
                <w:rFonts w:hint="eastAsia" w:ascii="Times New Roman" w:eastAsia="宋体"/>
                <w:color w:val="auto"/>
                <w:spacing w:val="-2"/>
                <w:sz w:val="21"/>
                <w:lang w:val="en-US" w:eastAsia="zh-CN"/>
              </w:rPr>
              <w:t>TP</w:t>
            </w:r>
            <w:r>
              <w:rPr>
                <w:rFonts w:ascii="Times New Roman" w:eastAsia="宋体"/>
                <w:color w:val="auto"/>
                <w:spacing w:val="-2"/>
                <w:sz w:val="21"/>
              </w:rPr>
              <w:t>、</w:t>
            </w:r>
            <w:r>
              <w:rPr>
                <w:rFonts w:ascii="Times New Roman" w:eastAsia="宋体"/>
                <w:color w:val="auto"/>
                <w:spacing w:val="-2"/>
                <w:sz w:val="21"/>
                <w:szCs w:val="21"/>
              </w:rPr>
              <w:t>氨氮</w:t>
            </w:r>
          </w:p>
        </w:tc>
        <w:tc>
          <w:tcPr>
            <w:tcW w:w="3328" w:type="dxa"/>
            <w:vMerge w:val="continue"/>
            <w:tcBorders>
              <w:tl2br w:val="nil"/>
              <w:tr2bl w:val="nil"/>
            </w:tcBorders>
            <w:vAlign w:val="center"/>
          </w:tcPr>
          <w:p>
            <w:pPr>
              <w:jc w:val="center"/>
              <w:rPr>
                <w:rFonts w:ascii="Times New Roman" w:eastAsia="宋体"/>
                <w:color w:val="auto"/>
                <w:sz w:val="21"/>
                <w:szCs w:val="21"/>
              </w:rPr>
            </w:pPr>
          </w:p>
        </w:tc>
        <w:tc>
          <w:tcPr>
            <w:tcW w:w="3199" w:type="dxa"/>
            <w:vMerge w:val="continue"/>
            <w:tcBorders>
              <w:tl2br w:val="nil"/>
              <w:tr2bl w:val="nil"/>
            </w:tcBorders>
            <w:vAlign w:val="center"/>
          </w:tcPr>
          <w:p>
            <w:pPr>
              <w:jc w:val="center"/>
              <w:rPr>
                <w:rFonts w:ascii="Times New Roman" w:eastAsia="宋体"/>
                <w:color w:val="auto"/>
                <w:sz w:val="21"/>
                <w:szCs w:val="21"/>
              </w:rPr>
            </w:pPr>
          </w:p>
        </w:tc>
        <w:tc>
          <w:tcPr>
            <w:tcW w:w="1076"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jc w:val="center"/>
              <w:rPr>
                <w:rFonts w:ascii="Times New Roman" w:eastAsia="宋体"/>
                <w:color w:val="auto"/>
                <w:sz w:val="21"/>
                <w:szCs w:val="21"/>
              </w:rPr>
            </w:pPr>
          </w:p>
        </w:tc>
        <w:tc>
          <w:tcPr>
            <w:tcW w:w="152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锅炉排水</w:t>
            </w:r>
          </w:p>
        </w:tc>
        <w:tc>
          <w:tcPr>
            <w:tcW w:w="175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锅炉房</w:t>
            </w:r>
          </w:p>
        </w:tc>
        <w:tc>
          <w:tcPr>
            <w:tcW w:w="198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pacing w:val="-2"/>
                <w:sz w:val="21"/>
                <w:szCs w:val="21"/>
              </w:rPr>
              <w:t>SS</w:t>
            </w:r>
          </w:p>
        </w:tc>
        <w:tc>
          <w:tcPr>
            <w:tcW w:w="3328"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用于</w:t>
            </w:r>
            <w:r>
              <w:rPr>
                <w:rFonts w:hint="eastAsia" w:ascii="Times New Roman" w:eastAsia="宋体"/>
                <w:color w:val="auto"/>
                <w:sz w:val="21"/>
                <w:szCs w:val="21"/>
              </w:rPr>
              <w:t>场区</w:t>
            </w:r>
            <w:r>
              <w:rPr>
                <w:rFonts w:ascii="Times New Roman" w:eastAsia="宋体"/>
                <w:color w:val="auto"/>
                <w:sz w:val="21"/>
                <w:szCs w:val="21"/>
              </w:rPr>
              <w:t>，不外排</w:t>
            </w:r>
          </w:p>
        </w:tc>
        <w:tc>
          <w:tcPr>
            <w:tcW w:w="319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不外排</w:t>
            </w:r>
          </w:p>
        </w:tc>
        <w:tc>
          <w:tcPr>
            <w:tcW w:w="1076"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jc w:val="center"/>
              <w:rPr>
                <w:rFonts w:ascii="Times New Roman" w:eastAsia="宋体"/>
                <w:color w:val="auto"/>
                <w:sz w:val="21"/>
                <w:szCs w:val="21"/>
              </w:rPr>
            </w:pPr>
          </w:p>
        </w:tc>
        <w:tc>
          <w:tcPr>
            <w:tcW w:w="1527"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生活污水</w:t>
            </w:r>
          </w:p>
        </w:tc>
        <w:tc>
          <w:tcPr>
            <w:tcW w:w="175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办公室及生活区</w:t>
            </w:r>
          </w:p>
        </w:tc>
        <w:tc>
          <w:tcPr>
            <w:tcW w:w="198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CODcr、BOD、</w:t>
            </w:r>
          </w:p>
          <w:p>
            <w:pPr>
              <w:jc w:val="center"/>
              <w:rPr>
                <w:rFonts w:ascii="Times New Roman" w:eastAsia="宋体"/>
                <w:color w:val="auto"/>
                <w:sz w:val="21"/>
                <w:szCs w:val="21"/>
              </w:rPr>
            </w:pPr>
            <w:r>
              <w:rPr>
                <w:rFonts w:ascii="Times New Roman" w:eastAsia="宋体"/>
                <w:color w:val="auto"/>
                <w:sz w:val="21"/>
                <w:szCs w:val="21"/>
              </w:rPr>
              <w:t xml:space="preserve">氨氮、SS </w:t>
            </w:r>
          </w:p>
        </w:tc>
        <w:tc>
          <w:tcPr>
            <w:tcW w:w="3328"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生活污</w:t>
            </w:r>
            <w:r>
              <w:rPr>
                <w:rFonts w:hint="eastAsia" w:ascii="Times New Roman" w:eastAsia="宋体"/>
                <w:color w:val="auto"/>
                <w:sz w:val="21"/>
                <w:szCs w:val="21"/>
              </w:rPr>
              <w:t>水经化粪池处理后排入污水沉淀池，后运往新华养殖场污水处理中处理后</w:t>
            </w:r>
            <w:r>
              <w:rPr>
                <w:rFonts w:hint="eastAsia" w:ascii="Times New Roman" w:eastAsia="宋体"/>
                <w:color w:val="auto"/>
                <w:sz w:val="21"/>
                <w:szCs w:val="21"/>
                <w:lang w:val="en-US" w:eastAsia="zh-CN"/>
              </w:rPr>
              <w:t>用户</w:t>
            </w:r>
            <w:r>
              <w:rPr>
                <w:rFonts w:hint="eastAsia" w:ascii="Times New Roman" w:eastAsia="宋体"/>
                <w:color w:val="auto"/>
                <w:sz w:val="21"/>
                <w:szCs w:val="21"/>
              </w:rPr>
              <w:t>周边农林地</w:t>
            </w:r>
            <w:r>
              <w:rPr>
                <w:rFonts w:hint="eastAsia" w:ascii="Times New Roman" w:eastAsia="宋体"/>
                <w:color w:val="auto"/>
                <w:sz w:val="21"/>
                <w:szCs w:val="21"/>
                <w:lang w:val="en-US" w:eastAsia="zh-CN"/>
              </w:rPr>
              <w:t>施肥</w:t>
            </w:r>
            <w:r>
              <w:rPr>
                <w:rFonts w:ascii="Times New Roman" w:eastAsia="宋体"/>
                <w:color w:val="auto"/>
                <w:sz w:val="21"/>
                <w:szCs w:val="21"/>
              </w:rPr>
              <w:t>。</w:t>
            </w:r>
          </w:p>
        </w:tc>
        <w:tc>
          <w:tcPr>
            <w:tcW w:w="319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不外排</w:t>
            </w:r>
          </w:p>
        </w:tc>
        <w:tc>
          <w:tcPr>
            <w:tcW w:w="1076"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jc w:val="center"/>
              <w:rPr>
                <w:rFonts w:ascii="Times New Roman" w:eastAsia="宋体"/>
                <w:color w:val="auto"/>
                <w:sz w:val="21"/>
                <w:szCs w:val="21"/>
              </w:rPr>
            </w:pPr>
          </w:p>
        </w:tc>
        <w:tc>
          <w:tcPr>
            <w:tcW w:w="1527"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地下水污染防治</w:t>
            </w:r>
          </w:p>
        </w:tc>
        <w:tc>
          <w:tcPr>
            <w:tcW w:w="1752"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污水沉淀池、</w:t>
            </w:r>
            <w:r>
              <w:rPr>
                <w:rFonts w:ascii="Times New Roman" w:eastAsia="宋体"/>
                <w:color w:val="auto"/>
                <w:sz w:val="21"/>
                <w:szCs w:val="21"/>
              </w:rPr>
              <w:t>鸡舍</w:t>
            </w:r>
            <w:r>
              <w:rPr>
                <w:rFonts w:hint="eastAsia" w:ascii="Times New Roman" w:eastAsia="宋体"/>
                <w:color w:val="auto"/>
                <w:sz w:val="21"/>
                <w:szCs w:val="21"/>
              </w:rPr>
              <w:t>、危废间</w:t>
            </w:r>
          </w:p>
        </w:tc>
        <w:tc>
          <w:tcPr>
            <w:tcW w:w="1980"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CODcr、</w:t>
            </w:r>
          </w:p>
          <w:p>
            <w:pPr>
              <w:jc w:val="center"/>
              <w:rPr>
                <w:rFonts w:ascii="Times New Roman" w:eastAsia="宋体"/>
                <w:color w:val="auto"/>
                <w:sz w:val="21"/>
                <w:szCs w:val="21"/>
              </w:rPr>
            </w:pPr>
            <w:r>
              <w:rPr>
                <w:rFonts w:ascii="Times New Roman" w:eastAsia="宋体"/>
                <w:color w:val="auto"/>
                <w:sz w:val="21"/>
                <w:szCs w:val="21"/>
              </w:rPr>
              <w:t>氨氮、动植物油、SS、总磷和粪大肠菌群</w:t>
            </w:r>
          </w:p>
        </w:tc>
        <w:tc>
          <w:tcPr>
            <w:tcW w:w="3328" w:type="dxa"/>
            <w:vMerge w:val="restart"/>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污水暂存池池底防渗；并在</w:t>
            </w:r>
            <w:r>
              <w:rPr>
                <w:rFonts w:hint="eastAsia" w:ascii="Times New Roman" w:eastAsia="宋体"/>
                <w:color w:val="auto"/>
                <w:sz w:val="21"/>
                <w:szCs w:val="21"/>
              </w:rPr>
              <w:t>场区</w:t>
            </w:r>
            <w:r>
              <w:rPr>
                <w:rFonts w:ascii="Times New Roman" w:eastAsia="宋体"/>
                <w:color w:val="auto"/>
                <w:sz w:val="21"/>
                <w:szCs w:val="21"/>
              </w:rPr>
              <w:t>设置1个地下水跟踪监测井，定期对地下水环境进行监测</w:t>
            </w:r>
          </w:p>
        </w:tc>
        <w:tc>
          <w:tcPr>
            <w:tcW w:w="319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底部铺设300mm黏土层（保护层，同时作为辅助防渗层）压实平整，黏土层上铺设HDPE-GCL复合防渗系统（2mm厚的高密度聚乙烯膜、300g/m2土工织物膨润土垫），上部外加耐腐蚀混凝土15cm（保护层）等防渗，侧壁均设防渗墙</w:t>
            </w:r>
          </w:p>
        </w:tc>
        <w:tc>
          <w:tcPr>
            <w:tcW w:w="1076"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jc w:val="center"/>
              <w:rPr>
                <w:rFonts w:ascii="Times New Roman" w:eastAsia="宋体"/>
                <w:color w:val="auto"/>
                <w:sz w:val="21"/>
                <w:szCs w:val="21"/>
              </w:rPr>
            </w:pPr>
          </w:p>
        </w:tc>
        <w:tc>
          <w:tcPr>
            <w:tcW w:w="1527" w:type="dxa"/>
            <w:vMerge w:val="continue"/>
            <w:tcBorders>
              <w:tl2br w:val="nil"/>
              <w:tr2bl w:val="nil"/>
            </w:tcBorders>
            <w:vAlign w:val="center"/>
          </w:tcPr>
          <w:p>
            <w:pPr>
              <w:jc w:val="center"/>
              <w:rPr>
                <w:rFonts w:ascii="Times New Roman" w:eastAsia="宋体"/>
                <w:color w:val="auto"/>
                <w:sz w:val="21"/>
                <w:szCs w:val="21"/>
              </w:rPr>
            </w:pPr>
          </w:p>
        </w:tc>
        <w:tc>
          <w:tcPr>
            <w:tcW w:w="175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锅炉房</w:t>
            </w:r>
            <w:r>
              <w:rPr>
                <w:rFonts w:hint="eastAsia" w:ascii="Times New Roman" w:eastAsia="宋体"/>
                <w:color w:val="auto"/>
                <w:sz w:val="21"/>
                <w:szCs w:val="21"/>
              </w:rPr>
              <w:t>、饲料间</w:t>
            </w:r>
          </w:p>
        </w:tc>
        <w:tc>
          <w:tcPr>
            <w:tcW w:w="1980" w:type="dxa"/>
            <w:vMerge w:val="continue"/>
            <w:tcBorders>
              <w:tl2br w:val="nil"/>
              <w:tr2bl w:val="nil"/>
            </w:tcBorders>
            <w:vAlign w:val="center"/>
          </w:tcPr>
          <w:p>
            <w:pPr>
              <w:jc w:val="center"/>
              <w:rPr>
                <w:rFonts w:ascii="Times New Roman" w:eastAsia="宋体"/>
                <w:color w:val="auto"/>
                <w:sz w:val="21"/>
                <w:szCs w:val="21"/>
              </w:rPr>
            </w:pPr>
          </w:p>
        </w:tc>
        <w:tc>
          <w:tcPr>
            <w:tcW w:w="3328" w:type="dxa"/>
            <w:vMerge w:val="continue"/>
            <w:tcBorders>
              <w:tl2br w:val="nil"/>
              <w:tr2bl w:val="nil"/>
            </w:tcBorders>
            <w:vAlign w:val="center"/>
          </w:tcPr>
          <w:p>
            <w:pPr>
              <w:jc w:val="center"/>
              <w:rPr>
                <w:rFonts w:ascii="Times New Roman" w:eastAsia="宋体"/>
                <w:color w:val="auto"/>
                <w:sz w:val="21"/>
                <w:szCs w:val="21"/>
              </w:rPr>
            </w:pPr>
          </w:p>
        </w:tc>
        <w:tc>
          <w:tcPr>
            <w:tcW w:w="319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底部做基础防渗，铺设1m厚黏土层，再用耐腐蚀混凝土15cm浇铸，上部铺设耐腐蚀砖</w:t>
            </w:r>
          </w:p>
        </w:tc>
        <w:tc>
          <w:tcPr>
            <w:tcW w:w="1076"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jc w:val="center"/>
              <w:rPr>
                <w:rFonts w:ascii="Times New Roman" w:eastAsia="宋体"/>
                <w:color w:val="auto"/>
                <w:sz w:val="21"/>
                <w:szCs w:val="21"/>
              </w:rPr>
            </w:pPr>
          </w:p>
        </w:tc>
        <w:tc>
          <w:tcPr>
            <w:tcW w:w="1527" w:type="dxa"/>
            <w:vMerge w:val="continue"/>
            <w:tcBorders>
              <w:tl2br w:val="nil"/>
              <w:tr2bl w:val="nil"/>
            </w:tcBorders>
            <w:vAlign w:val="center"/>
          </w:tcPr>
          <w:p>
            <w:pPr>
              <w:jc w:val="center"/>
              <w:rPr>
                <w:rFonts w:ascii="Times New Roman" w:eastAsia="宋体"/>
                <w:color w:val="auto"/>
                <w:sz w:val="21"/>
                <w:szCs w:val="21"/>
              </w:rPr>
            </w:pPr>
          </w:p>
        </w:tc>
        <w:tc>
          <w:tcPr>
            <w:tcW w:w="175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办公室</w:t>
            </w:r>
          </w:p>
        </w:tc>
        <w:tc>
          <w:tcPr>
            <w:tcW w:w="1980" w:type="dxa"/>
            <w:vMerge w:val="continue"/>
            <w:tcBorders>
              <w:tl2br w:val="nil"/>
              <w:tr2bl w:val="nil"/>
            </w:tcBorders>
            <w:vAlign w:val="center"/>
          </w:tcPr>
          <w:p>
            <w:pPr>
              <w:jc w:val="center"/>
              <w:rPr>
                <w:rFonts w:ascii="Times New Roman" w:eastAsia="宋体"/>
                <w:color w:val="auto"/>
                <w:sz w:val="21"/>
                <w:szCs w:val="21"/>
              </w:rPr>
            </w:pPr>
          </w:p>
        </w:tc>
        <w:tc>
          <w:tcPr>
            <w:tcW w:w="3328" w:type="dxa"/>
            <w:vMerge w:val="continue"/>
            <w:tcBorders>
              <w:tl2br w:val="nil"/>
              <w:tr2bl w:val="nil"/>
            </w:tcBorders>
            <w:vAlign w:val="center"/>
          </w:tcPr>
          <w:p>
            <w:pPr>
              <w:jc w:val="center"/>
              <w:rPr>
                <w:rFonts w:ascii="Times New Roman" w:eastAsia="宋体"/>
                <w:color w:val="auto"/>
                <w:sz w:val="21"/>
                <w:szCs w:val="21"/>
              </w:rPr>
            </w:pPr>
          </w:p>
        </w:tc>
        <w:tc>
          <w:tcPr>
            <w:tcW w:w="3199" w:type="dxa"/>
            <w:tcBorders>
              <w:tl2br w:val="nil"/>
              <w:tr2bl w:val="nil"/>
            </w:tcBorders>
            <w:vAlign w:val="center"/>
          </w:tcPr>
          <w:p>
            <w:pPr>
              <w:jc w:val="center"/>
              <w:rPr>
                <w:rFonts w:ascii="Times New Roman" w:eastAsia="宋体"/>
                <w:color w:val="auto"/>
                <w:sz w:val="21"/>
                <w:szCs w:val="21"/>
              </w:rPr>
            </w:pPr>
          </w:p>
        </w:tc>
        <w:tc>
          <w:tcPr>
            <w:tcW w:w="1076" w:type="dxa"/>
            <w:vMerge w:val="continue"/>
            <w:tcBorders>
              <w:tl2br w:val="nil"/>
              <w:tr2bl w:val="nil"/>
            </w:tcBorders>
            <w:vAlign w:val="center"/>
          </w:tcPr>
          <w:p>
            <w:pPr>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restart"/>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废气</w:t>
            </w:r>
          </w:p>
        </w:tc>
        <w:tc>
          <w:tcPr>
            <w:tcW w:w="1527" w:type="dxa"/>
            <w:vMerge w:val="restart"/>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烟气治理</w:t>
            </w:r>
          </w:p>
        </w:tc>
        <w:tc>
          <w:tcPr>
            <w:tcW w:w="175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锅炉房</w:t>
            </w:r>
          </w:p>
        </w:tc>
        <w:tc>
          <w:tcPr>
            <w:tcW w:w="198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颗粒物、SO</w:t>
            </w:r>
            <w:r>
              <w:rPr>
                <w:rFonts w:ascii="Times New Roman" w:eastAsia="宋体"/>
                <w:color w:val="auto"/>
                <w:sz w:val="21"/>
                <w:szCs w:val="21"/>
                <w:vertAlign w:val="subscript"/>
              </w:rPr>
              <w:t>2</w:t>
            </w:r>
            <w:r>
              <w:rPr>
                <w:rFonts w:ascii="Times New Roman" w:eastAsia="宋体"/>
                <w:color w:val="auto"/>
                <w:sz w:val="21"/>
                <w:szCs w:val="21"/>
              </w:rPr>
              <w:t>、NO</w:t>
            </w:r>
            <w:r>
              <w:rPr>
                <w:rFonts w:ascii="Times New Roman" w:eastAsia="宋体"/>
                <w:color w:val="auto"/>
                <w:sz w:val="21"/>
                <w:szCs w:val="21"/>
                <w:vertAlign w:val="subscript"/>
              </w:rPr>
              <w:t>X</w:t>
            </w:r>
          </w:p>
        </w:tc>
        <w:tc>
          <w:tcPr>
            <w:tcW w:w="3328" w:type="dxa"/>
            <w:tcBorders>
              <w:tl2br w:val="nil"/>
              <w:tr2bl w:val="nil"/>
            </w:tcBorders>
            <w:vAlign w:val="center"/>
          </w:tcPr>
          <w:p>
            <w:pPr>
              <w:jc w:val="center"/>
              <w:rPr>
                <w:rFonts w:ascii="Times New Roman" w:eastAsia="宋体"/>
                <w:color w:val="auto"/>
                <w:sz w:val="21"/>
                <w:szCs w:val="21"/>
              </w:rPr>
            </w:pPr>
            <w:r>
              <w:rPr>
                <w:rFonts w:hint="eastAsia" w:ascii="Times New Roman" w:eastAsia="宋体"/>
                <w:color w:val="auto"/>
                <w:sz w:val="21"/>
                <w:szCs w:val="21"/>
              </w:rPr>
              <w:t>共配有2台1t/h生物质锅炉，每台锅炉</w:t>
            </w:r>
            <w:r>
              <w:rPr>
                <w:rFonts w:ascii="Times New Roman" w:eastAsia="宋体"/>
                <w:color w:val="auto"/>
                <w:sz w:val="21"/>
                <w:szCs w:val="21"/>
              </w:rPr>
              <w:t>安装1</w:t>
            </w:r>
            <w:r>
              <w:rPr>
                <w:rFonts w:hint="eastAsia" w:ascii="Times New Roman" w:eastAsia="宋体"/>
                <w:color w:val="auto"/>
                <w:sz w:val="21"/>
                <w:szCs w:val="21"/>
              </w:rPr>
              <w:t>套布袋除尘器，后经过1</w:t>
            </w:r>
            <w:r>
              <w:rPr>
                <w:rFonts w:ascii="Times New Roman" w:eastAsia="宋体"/>
                <w:color w:val="auto"/>
                <w:sz w:val="21"/>
                <w:szCs w:val="21"/>
              </w:rPr>
              <w:t>根</w:t>
            </w:r>
            <w:r>
              <w:rPr>
                <w:rFonts w:hint="eastAsia" w:ascii="Times New Roman" w:eastAsia="宋体"/>
                <w:color w:val="auto"/>
                <w:sz w:val="21"/>
                <w:szCs w:val="21"/>
              </w:rPr>
              <w:t>30</w:t>
            </w:r>
            <w:r>
              <w:rPr>
                <w:rFonts w:ascii="Times New Roman" w:eastAsia="宋体"/>
                <w:color w:val="auto"/>
                <w:sz w:val="21"/>
                <w:szCs w:val="21"/>
              </w:rPr>
              <w:t>m高排气筒排放</w:t>
            </w:r>
          </w:p>
        </w:tc>
        <w:tc>
          <w:tcPr>
            <w:tcW w:w="319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《锅炉大气污染物排放标准》（GB13271-2014）表</w:t>
            </w:r>
            <w:r>
              <w:rPr>
                <w:rFonts w:hint="eastAsia" w:ascii="Times New Roman" w:eastAsia="宋体"/>
                <w:color w:val="auto"/>
                <w:sz w:val="21"/>
                <w:szCs w:val="21"/>
              </w:rPr>
              <w:t>3</w:t>
            </w:r>
            <w:r>
              <w:rPr>
                <w:rFonts w:ascii="Times New Roman" w:eastAsia="宋体"/>
                <w:color w:val="auto"/>
                <w:sz w:val="21"/>
                <w:szCs w:val="21"/>
              </w:rPr>
              <w:t>中新建锅炉大气污染物</w:t>
            </w:r>
            <w:r>
              <w:rPr>
                <w:rFonts w:hint="eastAsia" w:ascii="Times New Roman" w:eastAsia="宋体"/>
                <w:color w:val="auto"/>
                <w:sz w:val="21"/>
                <w:szCs w:val="21"/>
              </w:rPr>
              <w:t>特别</w:t>
            </w:r>
            <w:r>
              <w:rPr>
                <w:rFonts w:ascii="Times New Roman" w:eastAsia="宋体"/>
                <w:color w:val="auto"/>
                <w:sz w:val="21"/>
                <w:szCs w:val="21"/>
              </w:rPr>
              <w:t>排放浓度限值中燃煤锅炉的标准</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752"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食堂</w:t>
            </w: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食堂油烟</w:t>
            </w:r>
          </w:p>
        </w:tc>
        <w:tc>
          <w:tcPr>
            <w:tcW w:w="3328" w:type="dxa"/>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经过处理效率≥65%的油烟净化装置处理后通过内置烟道排放</w:t>
            </w:r>
          </w:p>
        </w:tc>
        <w:tc>
          <w:tcPr>
            <w:tcW w:w="3199"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《饮食业油烟排放标准（试行）》（GB18483-2001）中规定的油烟最高允许排放浓度2.0mg/m</w:t>
            </w:r>
            <w:r>
              <w:rPr>
                <w:rFonts w:ascii="Times New Roman" w:eastAsia="宋体"/>
                <w:color w:val="auto"/>
                <w:sz w:val="21"/>
                <w:szCs w:val="21"/>
                <w:vertAlign w:val="superscript"/>
              </w:rPr>
              <w:t>3</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恶臭治理</w:t>
            </w:r>
          </w:p>
        </w:tc>
        <w:tc>
          <w:tcPr>
            <w:tcW w:w="1752"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鸡舍、</w:t>
            </w:r>
            <w:r>
              <w:rPr>
                <w:rFonts w:hint="eastAsia" w:ascii="Times New Roman" w:eastAsia="宋体"/>
                <w:color w:val="auto"/>
                <w:sz w:val="21"/>
                <w:szCs w:val="21"/>
              </w:rPr>
              <w:t>污水沉淀池</w:t>
            </w: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NH</w:t>
            </w:r>
            <w:r>
              <w:rPr>
                <w:rFonts w:ascii="Times New Roman" w:eastAsia="宋体"/>
                <w:color w:val="auto"/>
                <w:sz w:val="21"/>
                <w:szCs w:val="21"/>
                <w:vertAlign w:val="subscript"/>
              </w:rPr>
              <w:t>3</w:t>
            </w:r>
            <w:r>
              <w:rPr>
                <w:rFonts w:ascii="Times New Roman" w:eastAsia="宋体"/>
                <w:color w:val="auto"/>
                <w:sz w:val="21"/>
                <w:szCs w:val="21"/>
              </w:rPr>
              <w:t>、H</w:t>
            </w:r>
            <w:r>
              <w:rPr>
                <w:rFonts w:ascii="Times New Roman" w:eastAsia="宋体"/>
                <w:color w:val="auto"/>
                <w:sz w:val="21"/>
                <w:szCs w:val="21"/>
                <w:vertAlign w:val="subscript"/>
              </w:rPr>
              <w:t>2</w:t>
            </w:r>
            <w:r>
              <w:rPr>
                <w:rFonts w:ascii="Times New Roman" w:eastAsia="宋体"/>
                <w:color w:val="auto"/>
                <w:sz w:val="21"/>
                <w:szCs w:val="21"/>
              </w:rPr>
              <w:t>S</w:t>
            </w:r>
          </w:p>
        </w:tc>
        <w:tc>
          <w:tcPr>
            <w:tcW w:w="3328" w:type="dxa"/>
            <w:tcBorders>
              <w:tl2br w:val="nil"/>
              <w:tr2bl w:val="nil"/>
            </w:tcBorders>
            <w:vAlign w:val="center"/>
          </w:tcPr>
          <w:p>
            <w:pPr>
              <w:spacing w:beforeLines="25"/>
              <w:jc w:val="center"/>
              <w:rPr>
                <w:rFonts w:ascii="Times New Roman" w:eastAsia="宋体"/>
                <w:color w:val="auto"/>
                <w:sz w:val="21"/>
                <w:szCs w:val="21"/>
              </w:rPr>
            </w:pPr>
            <w:r>
              <w:rPr>
                <w:rFonts w:hint="eastAsia" w:ascii="Times New Roman" w:eastAsia="宋体"/>
                <w:color w:val="auto"/>
                <w:spacing w:val="-2"/>
                <w:sz w:val="21"/>
                <w:szCs w:val="21"/>
              </w:rPr>
              <w:t>鸡舍密闭，单侧</w:t>
            </w:r>
            <w:r>
              <w:rPr>
                <w:rFonts w:ascii="Times New Roman" w:eastAsia="宋体"/>
                <w:color w:val="auto"/>
                <w:spacing w:val="-2"/>
                <w:sz w:val="21"/>
                <w:szCs w:val="21"/>
              </w:rPr>
              <w:t>换气</w:t>
            </w:r>
            <w:r>
              <w:rPr>
                <w:rFonts w:hint="eastAsia" w:ascii="Times New Roman" w:eastAsia="宋体"/>
                <w:color w:val="auto"/>
                <w:spacing w:val="-2"/>
                <w:sz w:val="21"/>
                <w:szCs w:val="21"/>
              </w:rPr>
              <w:t>通风</w:t>
            </w:r>
            <w:r>
              <w:rPr>
                <w:rFonts w:ascii="Times New Roman" w:eastAsia="宋体"/>
                <w:color w:val="auto"/>
                <w:spacing w:val="-2"/>
                <w:sz w:val="21"/>
                <w:szCs w:val="21"/>
              </w:rPr>
              <w:t>装置，</w:t>
            </w:r>
            <w:r>
              <w:rPr>
                <w:rFonts w:hint="eastAsia" w:ascii="Times New Roman" w:eastAsia="宋体"/>
                <w:color w:val="auto"/>
                <w:spacing w:val="-2"/>
                <w:sz w:val="21"/>
                <w:szCs w:val="21"/>
              </w:rPr>
              <w:t>水帘除臭，并</w:t>
            </w:r>
            <w:r>
              <w:rPr>
                <w:rFonts w:ascii="Times New Roman" w:eastAsia="宋体"/>
                <w:color w:val="auto"/>
                <w:sz w:val="21"/>
                <w:szCs w:val="21"/>
              </w:rPr>
              <w:t>定期喷洒除臭剂</w:t>
            </w:r>
          </w:p>
        </w:tc>
        <w:tc>
          <w:tcPr>
            <w:tcW w:w="3199"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pacing w:val="-2"/>
                <w:sz w:val="21"/>
                <w:szCs w:val="21"/>
              </w:rPr>
              <w:t>达到《畜禽养殖业污染物排放标准》（GB18596-2001）及《恶臭污染物排放标准》GB14554-1993）要求</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噪声</w:t>
            </w:r>
          </w:p>
        </w:tc>
        <w:tc>
          <w:tcPr>
            <w:tcW w:w="1527"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噪声</w:t>
            </w:r>
          </w:p>
        </w:tc>
        <w:tc>
          <w:tcPr>
            <w:tcW w:w="1752"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鸡舍及锅炉房</w:t>
            </w: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w:t>
            </w:r>
          </w:p>
        </w:tc>
        <w:tc>
          <w:tcPr>
            <w:tcW w:w="3328"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通过合理布局、广种植物等加强场区绿化及配备低噪声设备、减振等措施</w:t>
            </w:r>
          </w:p>
        </w:tc>
        <w:tc>
          <w:tcPr>
            <w:tcW w:w="3199"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《工业企业厂界环境噪声排放标准》（GB12348-2008）中</w:t>
            </w:r>
            <w:r>
              <w:rPr>
                <w:rFonts w:hint="eastAsia" w:ascii="Times New Roman" w:eastAsia="宋体"/>
                <w:color w:val="auto"/>
                <w:sz w:val="21"/>
                <w:szCs w:val="21"/>
              </w:rPr>
              <w:t>2</w:t>
            </w:r>
            <w:r>
              <w:rPr>
                <w:rFonts w:ascii="Times New Roman" w:eastAsia="宋体"/>
                <w:color w:val="auto"/>
                <w:sz w:val="21"/>
                <w:szCs w:val="21"/>
              </w:rPr>
              <w:t>类标准</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restart"/>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固体</w:t>
            </w:r>
          </w:p>
          <w:p>
            <w:pPr>
              <w:spacing w:beforeLines="25" w:afterLines="25"/>
              <w:jc w:val="center"/>
              <w:rPr>
                <w:rFonts w:ascii="Times New Roman" w:eastAsia="宋体"/>
                <w:color w:val="auto"/>
                <w:sz w:val="21"/>
                <w:szCs w:val="21"/>
              </w:rPr>
            </w:pPr>
            <w:r>
              <w:rPr>
                <w:rFonts w:ascii="Times New Roman" w:eastAsia="宋体"/>
                <w:color w:val="auto"/>
                <w:sz w:val="21"/>
                <w:szCs w:val="21"/>
              </w:rPr>
              <w:t>废物</w:t>
            </w:r>
          </w:p>
        </w:tc>
        <w:tc>
          <w:tcPr>
            <w:tcW w:w="1527" w:type="dxa"/>
            <w:vMerge w:val="restart"/>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一般工业固体废物</w:t>
            </w:r>
          </w:p>
        </w:tc>
        <w:tc>
          <w:tcPr>
            <w:tcW w:w="1752" w:type="dxa"/>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鸡舍</w:t>
            </w:r>
          </w:p>
        </w:tc>
        <w:tc>
          <w:tcPr>
            <w:tcW w:w="1980" w:type="dxa"/>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鸡粪</w:t>
            </w:r>
          </w:p>
        </w:tc>
        <w:tc>
          <w:tcPr>
            <w:tcW w:w="3328" w:type="dxa"/>
            <w:tcBorders>
              <w:tl2br w:val="nil"/>
              <w:tr2bl w:val="nil"/>
            </w:tcBorders>
            <w:vAlign w:val="center"/>
          </w:tcPr>
          <w:p>
            <w:pPr>
              <w:spacing w:beforeLines="25"/>
              <w:jc w:val="center"/>
              <w:rPr>
                <w:rFonts w:hint="default" w:ascii="Times New Roman" w:eastAsia="宋体"/>
                <w:color w:val="auto"/>
                <w:sz w:val="21"/>
                <w:szCs w:val="21"/>
                <w:lang w:val="en-US" w:eastAsia="zh-CN"/>
              </w:rPr>
            </w:pPr>
            <w:r>
              <w:rPr>
                <w:rFonts w:ascii="Times New Roman" w:eastAsia="宋体"/>
                <w:color w:val="auto"/>
                <w:sz w:val="21"/>
                <w:szCs w:val="21"/>
              </w:rPr>
              <w:t>定期喷洒除臭剂并做好防渗措施</w:t>
            </w:r>
            <w:r>
              <w:rPr>
                <w:rFonts w:hint="eastAsia" w:ascii="Times New Roman" w:eastAsia="宋体"/>
                <w:color w:val="auto"/>
                <w:sz w:val="21"/>
                <w:szCs w:val="21"/>
              </w:rPr>
              <w:t>，日清日售</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暂存鸡舍内鸡粪暂存区，定期外售</w:t>
            </w:r>
          </w:p>
        </w:tc>
        <w:tc>
          <w:tcPr>
            <w:tcW w:w="3199" w:type="dxa"/>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w:t>
            </w:r>
          </w:p>
        </w:tc>
        <w:tc>
          <w:tcPr>
            <w:tcW w:w="1076" w:type="dxa"/>
            <w:vMerge w:val="continue"/>
            <w:tcBorders>
              <w:tl2br w:val="nil"/>
              <w:tr2bl w:val="nil"/>
            </w:tcBorders>
            <w:vAlign w:val="center"/>
          </w:tcPr>
          <w:p>
            <w:pPr>
              <w:spacing w:before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vMerge w:val="continue"/>
            <w:tcBorders>
              <w:tl2br w:val="nil"/>
              <w:tr2bl w:val="nil"/>
            </w:tcBorders>
            <w:vAlign w:val="center"/>
          </w:tcPr>
          <w:p>
            <w:pPr>
              <w:jc w:val="center"/>
              <w:rPr>
                <w:rFonts w:ascii="Times New Roman" w:eastAsia="宋体"/>
                <w:color w:val="auto"/>
                <w:sz w:val="21"/>
                <w:szCs w:val="21"/>
              </w:rPr>
            </w:pPr>
          </w:p>
        </w:tc>
        <w:tc>
          <w:tcPr>
            <w:tcW w:w="1752"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生活、办公区</w:t>
            </w:r>
          </w:p>
        </w:tc>
        <w:tc>
          <w:tcPr>
            <w:tcW w:w="1980"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生活垃圾</w:t>
            </w:r>
          </w:p>
        </w:tc>
        <w:tc>
          <w:tcPr>
            <w:tcW w:w="3328"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集中收集</w:t>
            </w:r>
          </w:p>
        </w:tc>
        <w:tc>
          <w:tcPr>
            <w:tcW w:w="3199" w:type="dxa"/>
            <w:tcBorders>
              <w:tl2br w:val="nil"/>
              <w:tr2bl w:val="nil"/>
            </w:tcBorders>
            <w:vAlign w:val="center"/>
          </w:tcPr>
          <w:p>
            <w:pPr>
              <w:jc w:val="center"/>
              <w:rPr>
                <w:rFonts w:ascii="Times New Roman" w:eastAsia="宋体"/>
                <w:color w:val="auto"/>
                <w:sz w:val="21"/>
                <w:szCs w:val="21"/>
              </w:rPr>
            </w:pPr>
            <w:r>
              <w:rPr>
                <w:rFonts w:ascii="Times New Roman" w:eastAsia="宋体"/>
                <w:color w:val="auto"/>
                <w:sz w:val="21"/>
                <w:szCs w:val="21"/>
              </w:rPr>
              <w:t>交由环卫人员统一处理</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752" w:type="dxa"/>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鸡舍</w:t>
            </w: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病死鸡</w:t>
            </w:r>
          </w:p>
        </w:tc>
        <w:tc>
          <w:tcPr>
            <w:tcW w:w="3328" w:type="dxa"/>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暂存冷柜</w:t>
            </w:r>
          </w:p>
        </w:tc>
        <w:tc>
          <w:tcPr>
            <w:tcW w:w="3199"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定期</w:t>
            </w:r>
            <w:r>
              <w:rPr>
                <w:rFonts w:hint="eastAsia" w:ascii="Times New Roman" w:eastAsia="宋体"/>
                <w:color w:val="auto"/>
                <w:sz w:val="21"/>
                <w:szCs w:val="21"/>
                <w:lang w:val="en-US" w:eastAsia="zh-CN"/>
              </w:rPr>
              <w:t>交</w:t>
            </w:r>
            <w:r>
              <w:rPr>
                <w:rFonts w:ascii="Times New Roman" w:eastAsia="宋体"/>
                <w:color w:val="auto"/>
                <w:sz w:val="21"/>
                <w:szCs w:val="21"/>
              </w:rPr>
              <w:t>由岳阳县病死禽无害处理厂无害化处理</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752" w:type="dxa"/>
            <w:tcBorders>
              <w:tl2br w:val="nil"/>
              <w:tr2bl w:val="nil"/>
            </w:tcBorders>
            <w:vAlign w:val="center"/>
          </w:tcPr>
          <w:p>
            <w:pPr>
              <w:spacing w:beforeLines="25"/>
              <w:jc w:val="center"/>
              <w:rPr>
                <w:rFonts w:ascii="Times New Roman" w:eastAsia="宋体"/>
                <w:color w:val="auto"/>
                <w:sz w:val="21"/>
                <w:szCs w:val="21"/>
              </w:rPr>
            </w:pPr>
            <w:r>
              <w:rPr>
                <w:rFonts w:hint="eastAsia" w:ascii="Times New Roman" w:eastAsia="宋体"/>
                <w:color w:val="auto"/>
                <w:sz w:val="21"/>
                <w:szCs w:val="21"/>
              </w:rPr>
              <w:t>饲料间</w:t>
            </w: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物料废包装物</w:t>
            </w:r>
          </w:p>
        </w:tc>
        <w:tc>
          <w:tcPr>
            <w:tcW w:w="3328" w:type="dxa"/>
            <w:vMerge w:val="restart"/>
            <w:tcBorders>
              <w:tl2br w:val="nil"/>
              <w:tr2bl w:val="nil"/>
            </w:tcBorders>
            <w:vAlign w:val="center"/>
          </w:tcPr>
          <w:p>
            <w:pPr>
              <w:spacing w:beforeLines="25"/>
              <w:jc w:val="center"/>
              <w:rPr>
                <w:rFonts w:ascii="Times New Roman" w:eastAsia="宋体"/>
                <w:color w:val="auto"/>
                <w:spacing w:val="-2"/>
                <w:sz w:val="21"/>
                <w:szCs w:val="21"/>
              </w:rPr>
            </w:pPr>
            <w:r>
              <w:rPr>
                <w:rFonts w:ascii="Times New Roman" w:eastAsia="宋体"/>
                <w:color w:val="auto"/>
                <w:spacing w:val="-2"/>
                <w:sz w:val="21"/>
                <w:szCs w:val="21"/>
              </w:rPr>
              <w:t>5</w:t>
            </w:r>
            <w:r>
              <w:rPr>
                <w:rFonts w:hint="eastAsia" w:ascii="Times New Roman" w:eastAsia="宋体"/>
                <w:color w:val="auto"/>
                <w:spacing w:val="-2"/>
                <w:sz w:val="21"/>
                <w:szCs w:val="21"/>
              </w:rPr>
              <w:t>0</w:t>
            </w:r>
            <w:r>
              <w:rPr>
                <w:rFonts w:ascii="Times New Roman" w:eastAsia="宋体"/>
                <w:color w:val="auto"/>
                <w:spacing w:val="-2"/>
                <w:sz w:val="21"/>
                <w:szCs w:val="21"/>
              </w:rPr>
              <w:t>m</w:t>
            </w:r>
            <w:r>
              <w:rPr>
                <w:rFonts w:hint="eastAsia" w:ascii="Times New Roman" w:eastAsia="宋体"/>
                <w:color w:val="auto"/>
                <w:spacing w:val="-2"/>
                <w:sz w:val="21"/>
                <w:szCs w:val="21"/>
                <w:vertAlign w:val="superscript"/>
              </w:rPr>
              <w:t>2</w:t>
            </w:r>
            <w:r>
              <w:rPr>
                <w:rFonts w:hint="eastAsia" w:ascii="Times New Roman" w:eastAsia="宋体"/>
                <w:color w:val="auto"/>
                <w:sz w:val="21"/>
                <w:szCs w:val="21"/>
              </w:rPr>
              <w:t>一般工业固废暂存间</w:t>
            </w:r>
          </w:p>
        </w:tc>
        <w:tc>
          <w:tcPr>
            <w:tcW w:w="3199" w:type="dxa"/>
            <w:vMerge w:val="restart"/>
            <w:tcBorders>
              <w:tl2br w:val="nil"/>
              <w:tr2bl w:val="nil"/>
            </w:tcBorders>
            <w:vAlign w:val="center"/>
          </w:tcPr>
          <w:p>
            <w:pPr>
              <w:spacing w:beforeLines="25" w:afterLines="25"/>
              <w:jc w:val="center"/>
              <w:rPr>
                <w:rFonts w:ascii="Times New Roman" w:eastAsia="宋体"/>
                <w:color w:val="auto"/>
                <w:sz w:val="21"/>
                <w:szCs w:val="21"/>
              </w:rPr>
            </w:pPr>
            <w:r>
              <w:rPr>
                <w:rFonts w:hint="eastAsia" w:ascii="Times New Roman" w:eastAsia="宋体" w:cs="宋体"/>
                <w:color w:val="auto"/>
                <w:sz w:val="21"/>
                <w:szCs w:val="21"/>
              </w:rPr>
              <w:t>由废品回收站回收处理</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752" w:type="dxa"/>
            <w:vMerge w:val="restart"/>
            <w:tcBorders>
              <w:tl2br w:val="nil"/>
              <w:tr2bl w:val="nil"/>
            </w:tcBorders>
            <w:vAlign w:val="center"/>
          </w:tcPr>
          <w:p>
            <w:pPr>
              <w:spacing w:beforeLines="25"/>
              <w:jc w:val="center"/>
              <w:rPr>
                <w:rFonts w:ascii="Times New Roman" w:eastAsia="宋体"/>
                <w:color w:val="auto"/>
                <w:sz w:val="21"/>
                <w:szCs w:val="21"/>
              </w:rPr>
            </w:pPr>
            <w:r>
              <w:rPr>
                <w:rFonts w:ascii="Times New Roman" w:eastAsia="宋体"/>
                <w:color w:val="auto"/>
                <w:sz w:val="21"/>
                <w:szCs w:val="21"/>
              </w:rPr>
              <w:t>锅炉房</w:t>
            </w: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hint="eastAsia" w:ascii="Times New Roman" w:eastAsia="宋体"/>
                <w:color w:val="auto"/>
                <w:sz w:val="21"/>
                <w:szCs w:val="21"/>
              </w:rPr>
              <w:t>废布袋</w:t>
            </w:r>
          </w:p>
        </w:tc>
        <w:tc>
          <w:tcPr>
            <w:tcW w:w="3328" w:type="dxa"/>
            <w:vMerge w:val="continue"/>
            <w:tcBorders>
              <w:tl2br w:val="nil"/>
              <w:tr2bl w:val="nil"/>
            </w:tcBorders>
            <w:vAlign w:val="center"/>
          </w:tcPr>
          <w:p>
            <w:pPr>
              <w:spacing w:beforeLines="25"/>
              <w:jc w:val="center"/>
              <w:rPr>
                <w:rFonts w:ascii="Times New Roman" w:eastAsia="宋体"/>
                <w:color w:val="auto"/>
                <w:sz w:val="21"/>
                <w:szCs w:val="21"/>
              </w:rPr>
            </w:pPr>
          </w:p>
        </w:tc>
        <w:tc>
          <w:tcPr>
            <w:tcW w:w="3199"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752" w:type="dxa"/>
            <w:vMerge w:val="continue"/>
            <w:tcBorders>
              <w:tl2br w:val="nil"/>
              <w:tr2bl w:val="nil"/>
            </w:tcBorders>
            <w:vAlign w:val="center"/>
          </w:tcPr>
          <w:p>
            <w:pPr>
              <w:spacing w:beforeLines="25"/>
              <w:jc w:val="center"/>
              <w:rPr>
                <w:rFonts w:ascii="Times New Roman" w:eastAsia="宋体"/>
                <w:color w:val="auto"/>
                <w:sz w:val="21"/>
                <w:szCs w:val="21"/>
              </w:rPr>
            </w:pP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灰渣</w:t>
            </w:r>
            <w:r>
              <w:rPr>
                <w:rFonts w:hint="eastAsia" w:ascii="Times New Roman" w:eastAsia="宋体"/>
                <w:color w:val="auto"/>
                <w:sz w:val="21"/>
                <w:szCs w:val="21"/>
              </w:rPr>
              <w:t>及除尘灰</w:t>
            </w:r>
          </w:p>
        </w:tc>
        <w:tc>
          <w:tcPr>
            <w:tcW w:w="3328" w:type="dxa"/>
            <w:tcBorders>
              <w:tl2br w:val="nil"/>
              <w:tr2bl w:val="nil"/>
            </w:tcBorders>
            <w:vAlign w:val="center"/>
          </w:tcPr>
          <w:p>
            <w:pPr>
              <w:spacing w:beforeLines="25"/>
              <w:jc w:val="center"/>
              <w:rPr>
                <w:rFonts w:ascii="Times New Roman" w:hAnsi="Times New Roman" w:eastAsia="宋体" w:cs="Times New Roman"/>
                <w:color w:val="auto"/>
                <w:sz w:val="21"/>
                <w:szCs w:val="21"/>
                <w:lang w:val="en-US" w:eastAsia="zh-CN" w:bidi="ar-SA"/>
              </w:rPr>
            </w:pPr>
            <w:r>
              <w:rPr>
                <w:rFonts w:ascii="Times New Roman" w:eastAsia="宋体"/>
                <w:color w:val="auto"/>
                <w:spacing w:val="-2"/>
                <w:sz w:val="21"/>
                <w:szCs w:val="21"/>
              </w:rPr>
              <w:t>集中收集</w:t>
            </w:r>
          </w:p>
        </w:tc>
        <w:tc>
          <w:tcPr>
            <w:tcW w:w="3199" w:type="dxa"/>
            <w:tcBorders>
              <w:tl2br w:val="nil"/>
              <w:tr2bl w:val="nil"/>
            </w:tcBorders>
            <w:vAlign w:val="center"/>
          </w:tcPr>
          <w:p>
            <w:pPr>
              <w:spacing w:beforeLines="25" w:afterLines="25"/>
              <w:jc w:val="center"/>
              <w:rPr>
                <w:rFonts w:hint="eastAsia" w:ascii="Times New Roman" w:hAnsi="Times New Roman" w:eastAsia="宋体" w:cs="Times New Roman"/>
                <w:color w:val="auto"/>
                <w:sz w:val="21"/>
                <w:szCs w:val="21"/>
                <w:lang w:val="en-US" w:eastAsia="zh-CN" w:bidi="ar-SA"/>
              </w:rPr>
            </w:pPr>
            <w:r>
              <w:rPr>
                <w:rFonts w:hint="eastAsia" w:ascii="Times New Roman" w:eastAsia="宋体" w:cs="宋体"/>
                <w:color w:val="auto"/>
                <w:sz w:val="21"/>
                <w:szCs w:val="21"/>
              </w:rPr>
              <w:t>用于周边农田追肥</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c>
          <w:tcPr>
            <w:tcW w:w="1527"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危险废物</w:t>
            </w:r>
          </w:p>
        </w:tc>
        <w:tc>
          <w:tcPr>
            <w:tcW w:w="1752"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鸡舍</w:t>
            </w:r>
          </w:p>
        </w:tc>
        <w:tc>
          <w:tcPr>
            <w:tcW w:w="1980"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医疗废物</w:t>
            </w:r>
          </w:p>
        </w:tc>
        <w:tc>
          <w:tcPr>
            <w:tcW w:w="3328" w:type="dxa"/>
            <w:tcBorders>
              <w:tl2br w:val="nil"/>
              <w:tr2bl w:val="nil"/>
            </w:tcBorders>
            <w:vAlign w:val="center"/>
          </w:tcPr>
          <w:p>
            <w:pPr>
              <w:jc w:val="center"/>
              <w:rPr>
                <w:rFonts w:ascii="Times New Roman" w:eastAsia="宋体"/>
                <w:color w:val="auto"/>
                <w:spacing w:val="-2"/>
                <w:sz w:val="21"/>
                <w:szCs w:val="21"/>
              </w:rPr>
            </w:pPr>
            <w:r>
              <w:rPr>
                <w:rFonts w:ascii="Times New Roman" w:eastAsia="宋体"/>
                <w:color w:val="auto"/>
                <w:spacing w:val="-2"/>
                <w:sz w:val="21"/>
                <w:szCs w:val="21"/>
              </w:rPr>
              <w:t>5m</w:t>
            </w:r>
            <w:r>
              <w:rPr>
                <w:rFonts w:hint="eastAsia" w:ascii="Times New Roman" w:eastAsia="宋体"/>
                <w:color w:val="auto"/>
                <w:spacing w:val="-2"/>
                <w:sz w:val="21"/>
                <w:szCs w:val="21"/>
                <w:vertAlign w:val="superscript"/>
              </w:rPr>
              <w:t>2</w:t>
            </w:r>
            <w:r>
              <w:rPr>
                <w:rFonts w:ascii="Times New Roman" w:eastAsia="宋体"/>
                <w:color w:val="auto"/>
                <w:spacing w:val="-2"/>
                <w:sz w:val="21"/>
                <w:szCs w:val="21"/>
              </w:rPr>
              <w:t>危废暂存间</w:t>
            </w:r>
          </w:p>
        </w:tc>
        <w:tc>
          <w:tcPr>
            <w:tcW w:w="3199" w:type="dxa"/>
            <w:tcBorders>
              <w:tl2br w:val="nil"/>
              <w:tr2bl w:val="nil"/>
            </w:tcBorders>
            <w:vAlign w:val="center"/>
          </w:tcPr>
          <w:p>
            <w:pPr>
              <w:ind w:firstLine="460" w:firstLineChars="200"/>
              <w:jc w:val="center"/>
              <w:rPr>
                <w:rFonts w:ascii="Times New Roman" w:eastAsia="宋体"/>
                <w:color w:val="auto"/>
                <w:sz w:val="21"/>
                <w:szCs w:val="21"/>
              </w:rPr>
            </w:pPr>
            <w:r>
              <w:rPr>
                <w:rFonts w:ascii="Times New Roman" w:eastAsia="宋体"/>
                <w:color w:val="auto"/>
                <w:spacing w:val="6"/>
                <w:sz w:val="21"/>
                <w:szCs w:val="21"/>
              </w:rPr>
              <w:t>交由有资质单位处置</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绿化</w:t>
            </w:r>
          </w:p>
        </w:tc>
        <w:tc>
          <w:tcPr>
            <w:tcW w:w="5259" w:type="dxa"/>
            <w:gridSpan w:val="3"/>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w:t>
            </w:r>
          </w:p>
        </w:tc>
        <w:tc>
          <w:tcPr>
            <w:tcW w:w="3328"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对场区各功能区及场界周围进行设置具有卫生防护和景观美化效果的绿化带</w:t>
            </w:r>
          </w:p>
        </w:tc>
        <w:tc>
          <w:tcPr>
            <w:tcW w:w="3199"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环境管理</w:t>
            </w:r>
          </w:p>
        </w:tc>
        <w:tc>
          <w:tcPr>
            <w:tcW w:w="8587" w:type="dxa"/>
            <w:gridSpan w:val="4"/>
            <w:tcBorders>
              <w:tl2br w:val="nil"/>
              <w:tr2bl w:val="nil"/>
            </w:tcBorders>
            <w:vAlign w:val="center"/>
          </w:tcPr>
          <w:p>
            <w:pPr>
              <w:spacing w:beforeLines="25" w:afterLines="25"/>
              <w:jc w:val="left"/>
              <w:rPr>
                <w:rFonts w:ascii="Times New Roman" w:eastAsia="宋体"/>
                <w:color w:val="auto"/>
                <w:sz w:val="21"/>
                <w:szCs w:val="21"/>
              </w:rPr>
            </w:pPr>
            <w:r>
              <w:rPr>
                <w:rFonts w:ascii="Times New Roman" w:eastAsia="宋体"/>
                <w:color w:val="auto"/>
                <w:sz w:val="21"/>
                <w:szCs w:val="21"/>
              </w:rPr>
              <w:t>对污染源于环境质量进行定期监测</w:t>
            </w:r>
          </w:p>
        </w:tc>
        <w:tc>
          <w:tcPr>
            <w:tcW w:w="3199"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清污分流、排污口规范设置</w:t>
            </w:r>
          </w:p>
        </w:tc>
        <w:tc>
          <w:tcPr>
            <w:tcW w:w="8587" w:type="dxa"/>
            <w:gridSpan w:val="4"/>
            <w:tcBorders>
              <w:tl2br w:val="nil"/>
              <w:tr2bl w:val="nil"/>
            </w:tcBorders>
            <w:vAlign w:val="center"/>
          </w:tcPr>
          <w:p>
            <w:pPr>
              <w:spacing w:beforeLines="25" w:afterLines="25"/>
              <w:jc w:val="left"/>
              <w:rPr>
                <w:rFonts w:ascii="Times New Roman" w:eastAsia="宋体"/>
                <w:color w:val="auto"/>
                <w:sz w:val="21"/>
                <w:szCs w:val="21"/>
              </w:rPr>
            </w:pPr>
            <w:r>
              <w:rPr>
                <w:rFonts w:ascii="Times New Roman" w:eastAsia="宋体"/>
                <w:color w:val="auto"/>
                <w:sz w:val="21"/>
                <w:szCs w:val="21"/>
              </w:rPr>
              <w:t>雨污分流，必须有防渗等措施，并设置标志牌。</w:t>
            </w:r>
          </w:p>
        </w:tc>
        <w:tc>
          <w:tcPr>
            <w:tcW w:w="3199"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实现有效监管</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总量控制</w:t>
            </w:r>
          </w:p>
        </w:tc>
        <w:tc>
          <w:tcPr>
            <w:tcW w:w="11786" w:type="dxa"/>
            <w:gridSpan w:val="5"/>
            <w:tcBorders>
              <w:tl2br w:val="nil"/>
              <w:tr2bl w:val="nil"/>
            </w:tcBorders>
            <w:vAlign w:val="center"/>
          </w:tcPr>
          <w:p>
            <w:pPr>
              <w:spacing w:beforeLines="25" w:afterLines="25"/>
              <w:jc w:val="center"/>
              <w:rPr>
                <w:rFonts w:hint="eastAsia" w:ascii="Times New Roman" w:eastAsia="仿宋"/>
                <w:color w:val="auto"/>
                <w:sz w:val="21"/>
                <w:szCs w:val="21"/>
                <w:lang w:val="en-US" w:eastAsia="zh-CN"/>
              </w:rPr>
            </w:pPr>
            <w:r>
              <w:rPr>
                <w:rFonts w:ascii="Times New Roman" w:eastAsia="宋体"/>
                <w:color w:val="auto"/>
                <w:sz w:val="21"/>
                <w:szCs w:val="21"/>
              </w:rPr>
              <w:t>NO</w:t>
            </w:r>
            <w:r>
              <w:rPr>
                <w:rFonts w:ascii="Times New Roman" w:eastAsia="宋体"/>
                <w:color w:val="auto"/>
                <w:sz w:val="21"/>
                <w:szCs w:val="21"/>
                <w:vertAlign w:val="subscript"/>
              </w:rPr>
              <w:t>X</w:t>
            </w:r>
            <w:r>
              <w:rPr>
                <w:rFonts w:hint="eastAsia" w:ascii="Times New Roman" w:eastAsia="宋体"/>
                <w:color w:val="auto"/>
                <w:sz w:val="21"/>
                <w:szCs w:val="21"/>
                <w:lang w:eastAsia="zh-CN"/>
              </w:rPr>
              <w:t>：</w:t>
            </w:r>
            <w:r>
              <w:rPr>
                <w:rFonts w:hint="eastAsia" w:ascii="Times New Roman" w:eastAsia="宋体"/>
                <w:color w:val="auto"/>
                <w:sz w:val="21"/>
                <w:szCs w:val="21"/>
              </w:rPr>
              <w:t>0.</w:t>
            </w:r>
            <w:r>
              <w:rPr>
                <w:rFonts w:hint="eastAsia" w:ascii="Times New Roman" w:eastAsia="宋体"/>
                <w:color w:val="auto"/>
                <w:sz w:val="21"/>
                <w:szCs w:val="21"/>
                <w:lang w:val="en-US" w:eastAsia="zh-CN"/>
              </w:rPr>
              <w:t>490</w:t>
            </w:r>
            <w:r>
              <w:rPr>
                <w:rFonts w:ascii="Times New Roman" w:eastAsia="宋体"/>
                <w:color w:val="auto"/>
                <w:sz w:val="21"/>
                <w:szCs w:val="21"/>
              </w:rPr>
              <w:t>t/a</w:t>
            </w:r>
            <w:r>
              <w:rPr>
                <w:rFonts w:hint="eastAsia"/>
                <w:color w:val="auto"/>
              </w:rPr>
              <w:t>，</w:t>
            </w:r>
            <w:r>
              <w:rPr>
                <w:rFonts w:hint="eastAsia" w:ascii="Times New Roman" w:eastAsia="宋体"/>
                <w:color w:val="auto"/>
                <w:sz w:val="21"/>
                <w:szCs w:val="21"/>
              </w:rPr>
              <w:t>SO</w:t>
            </w:r>
            <w:r>
              <w:rPr>
                <w:rFonts w:hint="eastAsia" w:ascii="Times New Roman" w:eastAsia="宋体"/>
                <w:color w:val="auto"/>
                <w:sz w:val="21"/>
                <w:szCs w:val="21"/>
                <w:vertAlign w:val="subscript"/>
              </w:rPr>
              <w:t>2</w:t>
            </w:r>
            <w:r>
              <w:rPr>
                <w:rFonts w:hint="eastAsia" w:ascii="Times New Roman" w:eastAsia="宋体"/>
                <w:color w:val="auto"/>
                <w:sz w:val="21"/>
                <w:szCs w:val="21"/>
              </w:rPr>
              <w:t>：</w:t>
            </w:r>
            <w:r>
              <w:rPr>
                <w:rFonts w:ascii="Times New Roman" w:eastAsia="宋体"/>
                <w:color w:val="auto"/>
                <w:sz w:val="21"/>
                <w:szCs w:val="21"/>
              </w:rPr>
              <w:t>0.</w:t>
            </w:r>
            <w:r>
              <w:rPr>
                <w:rFonts w:hint="eastAsia" w:ascii="Times New Roman" w:eastAsia="宋体"/>
                <w:color w:val="auto"/>
                <w:sz w:val="21"/>
                <w:szCs w:val="21"/>
                <w:lang w:val="en-US" w:eastAsia="zh-CN"/>
              </w:rPr>
              <w:t>571</w:t>
            </w:r>
            <w:r>
              <w:rPr>
                <w:rFonts w:ascii="Times New Roman" w:eastAsia="宋体"/>
                <w:color w:val="auto"/>
                <w:sz w:val="21"/>
                <w:szCs w:val="21"/>
              </w:rPr>
              <w:t>t/a</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6" w:type="dxa"/>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区域解决问题</w:t>
            </w:r>
          </w:p>
        </w:tc>
        <w:tc>
          <w:tcPr>
            <w:tcW w:w="11786" w:type="dxa"/>
            <w:gridSpan w:val="5"/>
            <w:tcBorders>
              <w:tl2br w:val="nil"/>
              <w:tr2bl w:val="nil"/>
            </w:tcBorders>
            <w:vAlign w:val="center"/>
          </w:tcPr>
          <w:p>
            <w:pPr>
              <w:spacing w:beforeLines="25" w:afterLines="25"/>
              <w:jc w:val="center"/>
              <w:rPr>
                <w:rFonts w:ascii="Times New Roman" w:eastAsia="宋体"/>
                <w:color w:val="auto"/>
                <w:sz w:val="21"/>
                <w:szCs w:val="21"/>
              </w:rPr>
            </w:pPr>
            <w:r>
              <w:rPr>
                <w:rFonts w:ascii="Times New Roman" w:eastAsia="宋体"/>
                <w:color w:val="auto"/>
                <w:sz w:val="21"/>
                <w:szCs w:val="21"/>
              </w:rPr>
              <w:t>/</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l2br w:val="nil"/>
              <w:tr2bl w:val="nil"/>
            </w:tcBorders>
            <w:vAlign w:val="center"/>
          </w:tcPr>
          <w:p>
            <w:pPr>
              <w:spacing w:beforeLines="25" w:afterLines="25"/>
              <w:jc w:val="center"/>
              <w:rPr>
                <w:rFonts w:ascii="Times New Roman" w:eastAsia="宋体"/>
                <w:color w:val="auto"/>
                <w:sz w:val="21"/>
                <w:szCs w:val="21"/>
              </w:rPr>
            </w:pPr>
            <w:r>
              <w:rPr>
                <w:rFonts w:hint="eastAsia" w:ascii="Times New Roman" w:eastAsia="宋体"/>
                <w:color w:val="auto"/>
                <w:sz w:val="21"/>
                <w:szCs w:val="21"/>
                <w:lang w:eastAsia="zh-CN"/>
              </w:rPr>
              <w:t>大气环境</w:t>
            </w:r>
            <w:r>
              <w:rPr>
                <w:rFonts w:ascii="Times New Roman" w:eastAsia="宋体"/>
                <w:color w:val="auto"/>
                <w:sz w:val="21"/>
                <w:szCs w:val="21"/>
              </w:rPr>
              <w:t>防护距离</w:t>
            </w:r>
          </w:p>
        </w:tc>
        <w:tc>
          <w:tcPr>
            <w:tcW w:w="11786" w:type="dxa"/>
            <w:gridSpan w:val="5"/>
            <w:tcBorders>
              <w:tl2br w:val="nil"/>
              <w:tr2bl w:val="nil"/>
            </w:tcBorders>
            <w:vAlign w:val="center"/>
          </w:tcPr>
          <w:p>
            <w:pPr>
              <w:spacing w:beforeLines="25" w:afterLines="25"/>
              <w:jc w:val="center"/>
              <w:rPr>
                <w:rFonts w:hint="eastAsia" w:ascii="Times New Roman" w:eastAsia="宋体"/>
                <w:color w:val="auto"/>
                <w:sz w:val="21"/>
                <w:szCs w:val="21"/>
                <w:lang w:eastAsia="zh-CN"/>
              </w:rPr>
            </w:pPr>
            <w:r>
              <w:rPr>
                <w:rFonts w:hint="eastAsia" w:ascii="Times New Roman" w:eastAsia="宋体"/>
                <w:color w:val="auto"/>
                <w:sz w:val="21"/>
                <w:szCs w:val="21"/>
                <w:lang w:val="en-US" w:eastAsia="zh-CN"/>
              </w:rPr>
              <w:t>/</w:t>
            </w:r>
          </w:p>
        </w:tc>
        <w:tc>
          <w:tcPr>
            <w:tcW w:w="1076" w:type="dxa"/>
            <w:vMerge w:val="continue"/>
            <w:tcBorders>
              <w:tl2br w:val="nil"/>
              <w:tr2bl w:val="nil"/>
            </w:tcBorders>
            <w:vAlign w:val="center"/>
          </w:tcPr>
          <w:p>
            <w:pPr>
              <w:spacing w:beforeLines="25" w:afterLines="25"/>
              <w:jc w:val="center"/>
              <w:rPr>
                <w:rFonts w:ascii="Times New Roman" w:eastAsia="宋体"/>
                <w:color w:val="auto"/>
                <w:sz w:val="21"/>
                <w:szCs w:val="21"/>
              </w:rPr>
            </w:pPr>
          </w:p>
        </w:tc>
      </w:tr>
    </w:tbl>
    <w:p>
      <w:pPr>
        <w:pStyle w:val="3"/>
        <w:spacing w:before="0" w:after="0" w:line="360" w:lineRule="auto"/>
        <w:rPr>
          <w:rFonts w:ascii="Times New Roman" w:hAnsi="Times New Roman" w:eastAsia="宋体"/>
          <w:color w:val="auto"/>
          <w:sz w:val="32"/>
        </w:rPr>
        <w:sectPr>
          <w:pgSz w:w="16838" w:h="11906" w:orient="landscape"/>
          <w:pgMar w:top="1803" w:right="1440" w:bottom="1803" w:left="1440" w:header="850" w:footer="992" w:gutter="0"/>
          <w:pgNumType w:fmt="decimal"/>
          <w:cols w:space="720" w:num="1"/>
          <w:docGrid w:type="linesAndChars" w:linePitch="319" w:charSpace="1724"/>
        </w:sectPr>
      </w:pPr>
    </w:p>
    <w:bookmarkEnd w:id="566"/>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74" w:name="_Toc15391"/>
      <w:bookmarkStart w:id="575" w:name="_Toc29320"/>
      <w:bookmarkStart w:id="576" w:name="_Toc24043"/>
      <w:bookmarkStart w:id="577" w:name="_Toc18645"/>
      <w:r>
        <w:rPr>
          <w:rFonts w:hint="eastAsia" w:ascii="Times New Roman" w:hAnsi="Times New Roman" w:eastAsia="宋体"/>
          <w:color w:val="auto"/>
          <w:kern w:val="2"/>
          <w:sz w:val="28"/>
          <w:szCs w:val="28"/>
        </w:rPr>
        <w:t>8</w:t>
      </w:r>
      <w:r>
        <w:rPr>
          <w:rFonts w:ascii="Times New Roman" w:hAnsi="Times New Roman" w:eastAsia="宋体"/>
          <w:color w:val="auto"/>
          <w:kern w:val="2"/>
          <w:sz w:val="28"/>
          <w:szCs w:val="28"/>
        </w:rPr>
        <w:t>.4总量控制</w:t>
      </w:r>
      <w:bookmarkEnd w:id="574"/>
      <w:bookmarkEnd w:id="575"/>
      <w:bookmarkEnd w:id="576"/>
      <w:bookmarkEnd w:id="577"/>
    </w:p>
    <w:p>
      <w:pPr>
        <w:pStyle w:val="264"/>
        <w:spacing w:before="0" w:after="0" w:line="360" w:lineRule="auto"/>
        <w:ind w:left="0" w:firstLine="497"/>
        <w:rPr>
          <w:rFonts w:ascii="Times New Roman" w:hAnsi="Times New Roman"/>
          <w:color w:val="auto"/>
        </w:rPr>
      </w:pPr>
      <w:r>
        <w:rPr>
          <w:rFonts w:ascii="Times New Roman" w:hAnsi="Times New Roman"/>
          <w:color w:val="auto"/>
        </w:rPr>
        <w:t>对污染物排放总量进行控制的原则是：将给定区域内污染源的污染物排放负荷控制在一定数量之内，使环境质量可以达到规定的环境目标。</w:t>
      </w:r>
    </w:p>
    <w:p>
      <w:pPr>
        <w:pStyle w:val="264"/>
        <w:spacing w:before="0" w:after="0" w:line="360" w:lineRule="auto"/>
        <w:ind w:left="0" w:firstLine="497"/>
        <w:rPr>
          <w:rFonts w:ascii="Times New Roman" w:hAnsi="Times New Roman"/>
          <w:color w:val="auto"/>
        </w:rPr>
      </w:pPr>
      <w:r>
        <w:rPr>
          <w:rFonts w:ascii="Times New Roman" w:hAnsi="Times New Roman"/>
          <w:color w:val="auto"/>
        </w:rPr>
        <w:t>污染物总量控制方案的确定：在考虑污染物种类、污染源影响范围、区域环境质量、环境功能以及环境管理要求等因素的基础上，结合项目实际条件和控制措施的经济技术可行性进行。</w:t>
      </w:r>
    </w:p>
    <w:p>
      <w:pPr>
        <w:pStyle w:val="264"/>
        <w:spacing w:before="0" w:after="0" w:line="360" w:lineRule="auto"/>
        <w:ind w:left="0" w:firstLine="497"/>
        <w:rPr>
          <w:rFonts w:ascii="Times New Roman" w:hAnsi="Times New Roman"/>
          <w:color w:val="auto"/>
        </w:rPr>
      </w:pPr>
      <w:r>
        <w:rPr>
          <w:rFonts w:ascii="Times New Roman" w:hAnsi="Times New Roman"/>
          <w:color w:val="auto"/>
        </w:rPr>
        <w:t>根据国家当前的产业政策和环保技术政策，制定本项目污染物总量控制原则和方法，提出污染物总量控制思路：</w:t>
      </w:r>
    </w:p>
    <w:p>
      <w:pPr>
        <w:pStyle w:val="264"/>
        <w:spacing w:before="0" w:after="0" w:line="360" w:lineRule="auto"/>
        <w:ind w:left="0" w:firstLine="497"/>
        <w:rPr>
          <w:rFonts w:ascii="Times New Roman" w:hAnsi="Times New Roman"/>
          <w:color w:val="auto"/>
        </w:rPr>
      </w:pPr>
      <w:r>
        <w:rPr>
          <w:rFonts w:ascii="Times New Roman" w:hAnsi="Times New Roman"/>
          <w:color w:val="auto"/>
        </w:rPr>
        <w:t>（1）以国家产业政策为指导，分析产品方向的合理性和规模效益水平；</w:t>
      </w:r>
    </w:p>
    <w:p>
      <w:pPr>
        <w:pStyle w:val="264"/>
        <w:spacing w:before="0" w:after="0" w:line="360" w:lineRule="auto"/>
        <w:ind w:left="0" w:firstLine="497"/>
        <w:rPr>
          <w:rFonts w:ascii="Times New Roman" w:hAnsi="Times New Roman"/>
          <w:color w:val="auto"/>
        </w:rPr>
      </w:pPr>
      <w:r>
        <w:rPr>
          <w:rFonts w:ascii="Times New Roman" w:hAnsi="Times New Roman"/>
          <w:color w:val="auto"/>
        </w:rPr>
        <w:t>（2）采用全方位总量控制思想，提高资源的综合利用率，选用清洁能源，降低能耗水平，将污染尽可能消除在生产过程中；</w:t>
      </w:r>
    </w:p>
    <w:p>
      <w:pPr>
        <w:pStyle w:val="173"/>
        <w:ind w:firstLine="497"/>
        <w:rPr>
          <w:rFonts w:ascii="Times New Roman" w:eastAsia="宋体"/>
          <w:color w:val="auto"/>
        </w:rPr>
      </w:pPr>
      <w:r>
        <w:rPr>
          <w:rFonts w:ascii="Times New Roman" w:eastAsia="宋体"/>
          <w:color w:val="auto"/>
        </w:rPr>
        <w:t>（3）强化中、末端控制，降低污染物的排放水平，实现达标排放；</w:t>
      </w:r>
    </w:p>
    <w:p>
      <w:pPr>
        <w:pStyle w:val="264"/>
        <w:spacing w:before="0" w:after="0" w:line="360" w:lineRule="auto"/>
        <w:ind w:left="0" w:firstLine="497"/>
        <w:rPr>
          <w:rFonts w:ascii="Times New Roman" w:hAnsi="Times New Roman"/>
          <w:color w:val="auto"/>
        </w:rPr>
      </w:pPr>
      <w:r>
        <w:rPr>
          <w:rFonts w:ascii="Times New Roman" w:hAnsi="Times New Roman"/>
          <w:color w:val="auto"/>
        </w:rPr>
        <w:t>（4）满足地方环境管理要求，遵循区域总量控制规划，使项目造成的环境影响低于项目所在地区的环境保护目标控制水平。</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8</w:t>
      </w:r>
      <w:r>
        <w:rPr>
          <w:rFonts w:ascii="Times New Roman" w:eastAsia="宋体"/>
          <w:b/>
          <w:bCs/>
          <w:color w:val="auto"/>
          <w:kern w:val="2"/>
          <w:sz w:val="24"/>
        </w:rPr>
        <w:t>.4.1总量控制因子</w:t>
      </w:r>
    </w:p>
    <w:p>
      <w:pPr>
        <w:pStyle w:val="264"/>
        <w:spacing w:before="0" w:after="0" w:line="360" w:lineRule="auto"/>
        <w:ind w:left="0" w:firstLine="497"/>
        <w:rPr>
          <w:rFonts w:ascii="Times New Roman" w:hAnsi="Times New Roman"/>
          <w:color w:val="auto"/>
        </w:rPr>
      </w:pPr>
      <w:r>
        <w:rPr>
          <w:rFonts w:ascii="Times New Roman" w:hAnsi="Times New Roman"/>
          <w:color w:val="auto"/>
        </w:rPr>
        <w:t>《关于做好“十四五””主要污染物总量减排工作的通知》（环办综合函〔2021〕323号）、《2021年主要污染物总量减排核算技术指南》（环办便函〔2021〕398号）等文件要求，“十四五”期间国家对化学需氧量、氨氮、挥发性有机物、氮氧化物等四种主要污染物实行总量减排控制计划。结合本项目实施后排放污染物种类确定污染控制因子为</w:t>
      </w:r>
      <w:r>
        <w:rPr>
          <w:rFonts w:hint="eastAsia" w:ascii="Times New Roman" w:hAnsi="Times New Roman"/>
          <w:color w:val="auto"/>
        </w:rPr>
        <w:t>SO</w:t>
      </w:r>
      <w:r>
        <w:rPr>
          <w:rFonts w:hint="eastAsia" w:ascii="Times New Roman" w:hAnsi="Times New Roman"/>
          <w:color w:val="auto"/>
          <w:vertAlign w:val="subscript"/>
        </w:rPr>
        <w:t>2</w:t>
      </w:r>
      <w:r>
        <w:rPr>
          <w:rFonts w:hint="eastAsia" w:ascii="Times New Roman" w:hAnsi="Times New Roman"/>
          <w:color w:val="auto"/>
        </w:rPr>
        <w:t>、</w:t>
      </w:r>
      <w:r>
        <w:rPr>
          <w:rFonts w:ascii="Times New Roman" w:hAnsi="Times New Roman"/>
          <w:color w:val="auto"/>
        </w:rPr>
        <w:t>NO</w:t>
      </w:r>
      <w:r>
        <w:rPr>
          <w:rFonts w:ascii="Times New Roman" w:hAnsi="Times New Roman"/>
          <w:color w:val="auto"/>
          <w:vertAlign w:val="subscript"/>
        </w:rPr>
        <w:t>X</w:t>
      </w:r>
      <w:r>
        <w:rPr>
          <w:rFonts w:hint="eastAsia" w:ascii="Times New Roman" w:hAnsi="Times New Roman"/>
          <w:color w:val="auto"/>
          <w:lang w:eastAsia="zh-CN"/>
        </w:rPr>
        <w:t>、</w:t>
      </w:r>
      <w:r>
        <w:rPr>
          <w:rFonts w:hint="eastAsia" w:ascii="Times New Roman" w:hAnsi="Times New Roman"/>
          <w:color w:val="auto"/>
          <w:lang w:val="en-US" w:eastAsia="zh-CN"/>
        </w:rPr>
        <w:t>氨氮和COD</w:t>
      </w:r>
      <w:r>
        <w:rPr>
          <w:rFonts w:ascii="Times New Roman" w:hAnsi="Times New Roman"/>
          <w:color w:val="auto"/>
        </w:rPr>
        <w:t>。</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8</w:t>
      </w:r>
      <w:r>
        <w:rPr>
          <w:rFonts w:ascii="Times New Roman" w:eastAsia="宋体"/>
          <w:b/>
          <w:bCs/>
          <w:color w:val="auto"/>
          <w:kern w:val="2"/>
          <w:sz w:val="24"/>
        </w:rPr>
        <w:t>.4.2建设项目总量控制指标</w:t>
      </w:r>
    </w:p>
    <w:p>
      <w:pPr>
        <w:numPr>
          <w:ilvl w:val="0"/>
          <w:numId w:val="11"/>
        </w:numPr>
        <w:spacing w:line="360" w:lineRule="auto"/>
        <w:ind w:firstLine="496" w:firstLineChars="200"/>
        <w:rPr>
          <w:rFonts w:hint="eastAsia" w:ascii="Times New Roman" w:eastAsia="宋体"/>
          <w:color w:val="auto"/>
          <w:lang w:val="en-US" w:eastAsia="zh-CN"/>
        </w:rPr>
      </w:pPr>
      <w:r>
        <w:rPr>
          <w:rFonts w:hint="eastAsia" w:ascii="Times New Roman" w:eastAsia="宋体"/>
          <w:color w:val="auto"/>
          <w:lang w:val="en-US" w:eastAsia="zh-CN"/>
        </w:rPr>
        <w:t>废气</w:t>
      </w:r>
    </w:p>
    <w:p>
      <w:pPr>
        <w:numPr>
          <w:ilvl w:val="0"/>
          <w:numId w:val="0"/>
        </w:numPr>
        <w:spacing w:line="360" w:lineRule="auto"/>
        <w:ind w:firstLine="420" w:firstLineChars="0"/>
        <w:rPr>
          <w:rFonts w:ascii="Times New Roman" w:eastAsia="宋体"/>
          <w:color w:val="auto"/>
        </w:rPr>
      </w:pPr>
      <w:r>
        <w:rPr>
          <w:rFonts w:ascii="Times New Roman" w:eastAsia="宋体"/>
          <w:color w:val="auto"/>
        </w:rPr>
        <w:t>本项目鸡舍生产和冬季供暖供热使用生物质成型燃料锅炉，项目配备</w:t>
      </w:r>
      <w:r>
        <w:rPr>
          <w:rFonts w:hint="eastAsia" w:ascii="Times New Roman" w:eastAsia="宋体"/>
          <w:color w:val="auto"/>
        </w:rPr>
        <w:t>2</w:t>
      </w:r>
      <w:r>
        <w:rPr>
          <w:rFonts w:ascii="Times New Roman" w:eastAsia="宋体"/>
          <w:color w:val="auto"/>
        </w:rPr>
        <w:t>台</w:t>
      </w:r>
      <w:r>
        <w:rPr>
          <w:rFonts w:hint="eastAsia" w:ascii="Times New Roman" w:eastAsia="宋体"/>
          <w:color w:val="auto"/>
        </w:rPr>
        <w:t>1</w:t>
      </w:r>
      <w:r>
        <w:rPr>
          <w:rFonts w:ascii="Times New Roman" w:eastAsia="宋体"/>
          <w:color w:val="auto"/>
        </w:rPr>
        <w:t>t/h生物质锅炉，锅炉燃料选用生物质成型</w:t>
      </w:r>
      <w:r>
        <w:rPr>
          <w:rFonts w:hint="eastAsia" w:ascii="Times New Roman" w:eastAsia="宋体"/>
          <w:color w:val="auto"/>
        </w:rPr>
        <w:t>颗粒</w:t>
      </w:r>
      <w:r>
        <w:rPr>
          <w:rFonts w:ascii="Times New Roman" w:eastAsia="宋体"/>
          <w:color w:val="auto"/>
        </w:rPr>
        <w:t>，锅炉年运行时间为</w:t>
      </w:r>
      <w:r>
        <w:rPr>
          <w:rFonts w:hint="eastAsia" w:ascii="Times New Roman" w:eastAsia="宋体"/>
          <w:color w:val="auto"/>
        </w:rPr>
        <w:t>12</w:t>
      </w:r>
      <w:r>
        <w:rPr>
          <w:rFonts w:ascii="Times New Roman" w:eastAsia="宋体"/>
          <w:color w:val="auto"/>
        </w:rPr>
        <w:t>00h，据此计算生物质成型燃料锅炉燃烧污染物排放量，根据建设单位提供预计</w:t>
      </w:r>
      <w:r>
        <w:rPr>
          <w:rFonts w:hint="eastAsia" w:ascii="Times New Roman" w:eastAsia="宋体"/>
          <w:color w:val="auto"/>
        </w:rPr>
        <w:t>单台燃料</w:t>
      </w:r>
      <w:r>
        <w:rPr>
          <w:rFonts w:ascii="Times New Roman" w:eastAsia="宋体"/>
          <w:color w:val="auto"/>
        </w:rPr>
        <w:t>年用量</w:t>
      </w:r>
      <w:r>
        <w:rPr>
          <w:rFonts w:hint="eastAsia" w:ascii="Times New Roman" w:eastAsia="宋体"/>
          <w:color w:val="auto"/>
        </w:rPr>
        <w:t>75</w:t>
      </w:r>
      <w:r>
        <w:rPr>
          <w:rFonts w:ascii="Times New Roman" w:eastAsia="宋体"/>
          <w:color w:val="auto"/>
        </w:rPr>
        <w:t>t，本项目所使用的</w:t>
      </w:r>
      <w:r>
        <w:rPr>
          <w:rFonts w:hint="eastAsia" w:ascii="Times New Roman" w:eastAsia="宋体"/>
          <w:color w:val="auto"/>
        </w:rPr>
        <w:t>2</w:t>
      </w:r>
      <w:r>
        <w:rPr>
          <w:rFonts w:ascii="Times New Roman" w:eastAsia="宋体"/>
          <w:color w:val="auto"/>
        </w:rPr>
        <w:t>台生物质成型燃料锅炉</w:t>
      </w:r>
      <w:r>
        <w:rPr>
          <w:rFonts w:hint="eastAsia" w:ascii="Times New Roman" w:eastAsia="宋体"/>
          <w:color w:val="auto"/>
        </w:rPr>
        <w:t>分别</w:t>
      </w:r>
      <w:r>
        <w:rPr>
          <w:rFonts w:ascii="Times New Roman" w:eastAsia="宋体"/>
          <w:color w:val="auto"/>
        </w:rPr>
        <w:t>配套</w:t>
      </w:r>
      <w:r>
        <w:rPr>
          <w:rFonts w:hint="eastAsia" w:ascii="Times New Roman" w:eastAsia="宋体"/>
          <w:color w:val="auto"/>
          <w:lang w:eastAsia="zh-CN"/>
        </w:rPr>
        <w:t>布袋除尘器</w:t>
      </w:r>
      <w:r>
        <w:rPr>
          <w:rFonts w:hint="eastAsia" w:ascii="Times New Roman" w:eastAsia="宋体"/>
          <w:color w:val="auto"/>
        </w:rPr>
        <w:t>，后经过1根30</w:t>
      </w:r>
      <w:r>
        <w:rPr>
          <w:rFonts w:ascii="Times New Roman" w:eastAsia="宋体"/>
          <w:color w:val="auto"/>
        </w:rPr>
        <w:t>m高排气筒有组织排放，布袋除尘效率达到9</w:t>
      </w:r>
      <w:r>
        <w:rPr>
          <w:rFonts w:hint="eastAsia" w:ascii="Times New Roman" w:eastAsia="宋体"/>
          <w:color w:val="auto"/>
          <w:lang w:val="en-US" w:eastAsia="zh-CN"/>
        </w:rPr>
        <w:t>0</w:t>
      </w:r>
      <w:r>
        <w:rPr>
          <w:rFonts w:ascii="Times New Roman" w:eastAsia="宋体"/>
          <w:color w:val="auto"/>
        </w:rPr>
        <w:t>%，布袋除尘器收集的</w:t>
      </w:r>
      <w:r>
        <w:rPr>
          <w:rFonts w:hint="eastAsia" w:ascii="Times New Roman" w:eastAsia="宋体"/>
          <w:color w:val="auto"/>
        </w:rPr>
        <w:t>废布袋委托环卫部门清运处置，</w:t>
      </w:r>
      <w:r>
        <w:rPr>
          <w:rFonts w:hint="eastAsia" w:ascii="Times New Roman" w:hAnsi="Times New Roman" w:eastAsia="宋体"/>
          <w:color w:val="auto"/>
        </w:rPr>
        <w:t>除尘灰和炉灰肥田</w:t>
      </w:r>
      <w:r>
        <w:rPr>
          <w:rFonts w:ascii="Times New Roman" w:eastAsia="宋体"/>
          <w:color w:val="auto"/>
        </w:rPr>
        <w:t>。</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根据《污染源源强核算技术指南锅炉》（HJ991-2018）附录C，没有元素分析时，干烟气排放量的经验公式计算参照HJ953。根据《排污许可证申请与核发技术规范锅炉》（HJ953-2018），生物质锅炉基准烟气量按下式计算。</w:t>
      </w:r>
    </w:p>
    <w:p>
      <w:pPr>
        <w:tabs>
          <w:tab w:val="left" w:pos="2060"/>
        </w:tabs>
        <w:snapToGrid w:val="0"/>
        <w:spacing w:line="360" w:lineRule="auto"/>
        <w:jc w:val="center"/>
        <w:rPr>
          <w:rFonts w:ascii="Times New Roman"/>
          <w:color w:val="auto"/>
        </w:rPr>
      </w:pPr>
      <w:r>
        <w:rPr>
          <w:rFonts w:hint="eastAsia" w:ascii="Times New Roman"/>
          <w:color w:val="auto"/>
        </w:rPr>
        <w:drawing>
          <wp:inline distT="0" distB="0" distL="114300" distR="114300">
            <wp:extent cx="2800350" cy="581025"/>
            <wp:effectExtent l="0" t="0" r="6350" b="1905"/>
            <wp:docPr id="2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1"/>
                    <pic:cNvPicPr>
                      <a:picLocks noChangeAspect="1"/>
                    </pic:cNvPicPr>
                  </pic:nvPicPr>
                  <pic:blipFill>
                    <a:blip r:embed="rId29"/>
                    <a:stretch>
                      <a:fillRect/>
                    </a:stretch>
                  </pic:blipFill>
                  <pic:spPr>
                    <a:xfrm>
                      <a:off x="0" y="0"/>
                      <a:ext cx="2800350" cy="581025"/>
                    </a:xfrm>
                    <a:prstGeom prst="rect">
                      <a:avLst/>
                    </a:prstGeom>
                    <a:noFill/>
                    <a:ln>
                      <a:noFill/>
                    </a:ln>
                  </pic:spPr>
                </pic:pic>
              </a:graphicData>
            </a:graphic>
          </wp:inline>
        </w:drawing>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式中：</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Vgy—基准烟气量（Nm</w:t>
      </w:r>
      <w:r>
        <w:rPr>
          <w:rFonts w:ascii="Times New Roman" w:eastAsia="宋体"/>
          <w:color w:val="auto"/>
          <w:vertAlign w:val="superscript"/>
        </w:rPr>
        <w:t>3</w:t>
      </w:r>
      <w:r>
        <w:rPr>
          <w:rFonts w:ascii="Times New Roman" w:eastAsia="宋体"/>
          <w:color w:val="auto"/>
        </w:rPr>
        <w:t>/kg）；</w:t>
      </w:r>
    </w:p>
    <w:p>
      <w:pPr>
        <w:tabs>
          <w:tab w:val="left" w:pos="2060"/>
        </w:tabs>
        <w:snapToGrid w:val="0"/>
        <w:spacing w:line="360" w:lineRule="auto"/>
        <w:ind w:firstLine="496" w:firstLineChars="200"/>
        <w:rPr>
          <w:rFonts w:ascii="Times New Roman" w:eastAsia="宋体"/>
          <w:color w:val="auto"/>
        </w:rPr>
      </w:pPr>
      <w:r>
        <w:rPr>
          <w:rFonts w:ascii="Times New Roman" w:eastAsia="宋体"/>
          <w:color w:val="auto"/>
        </w:rPr>
        <w:t>Qnet—固体燃料低位发热量（MJ/kg）；按前三年所有批次燃料低位发热量的平均值进行选取，未投运或投运不满一年的锅炉按设计燃料低位发热量进行选取，投运满一年但未满三年的锅炉按运行周期年内所有批次燃料低位发热量的平均值选取。</w:t>
      </w:r>
    </w:p>
    <w:p>
      <w:pPr>
        <w:spacing w:line="360" w:lineRule="auto"/>
        <w:ind w:firstLine="496" w:firstLineChars="200"/>
        <w:rPr>
          <w:rFonts w:ascii="Times New Roman" w:eastAsia="宋体"/>
          <w:color w:val="auto"/>
          <w:szCs w:val="22"/>
        </w:rPr>
      </w:pPr>
      <w:r>
        <w:rPr>
          <w:rFonts w:ascii="Times New Roman" w:eastAsia="宋体"/>
          <w:color w:val="auto"/>
        </w:rPr>
        <w:t>项目生物质颗粒热值为16.28MJ/kg，根据计算，项目锅炉基准烟气量为7.</w:t>
      </w:r>
      <w:r>
        <w:rPr>
          <w:rFonts w:hint="eastAsia" w:ascii="Times New Roman" w:eastAsia="宋体"/>
          <w:color w:val="auto"/>
        </w:rPr>
        <w:t>133</w:t>
      </w:r>
      <w:r>
        <w:rPr>
          <w:rFonts w:ascii="Times New Roman" w:eastAsia="宋体"/>
          <w:color w:val="auto"/>
          <w:szCs w:val="22"/>
        </w:rPr>
        <w:t>Nm3/kg。</w:t>
      </w:r>
    </w:p>
    <w:p>
      <w:pPr>
        <w:pStyle w:val="173"/>
        <w:ind w:firstLine="497"/>
        <w:rPr>
          <w:rFonts w:ascii="Times New Roman" w:eastAsia="宋体"/>
          <w:color w:val="auto"/>
        </w:rPr>
      </w:pPr>
      <w:r>
        <w:rPr>
          <w:rFonts w:ascii="Times New Roman" w:eastAsia="宋体"/>
          <w:color w:val="auto"/>
        </w:rPr>
        <w:t>②颗粒物</w:t>
      </w:r>
      <w:r>
        <w:rPr>
          <w:rFonts w:hint="eastAsia" w:ascii="Times New Roman" w:eastAsia="宋体"/>
          <w:color w:val="auto"/>
        </w:rPr>
        <w:t>、二氧化硫、氮氧化物</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查阅《排污许可证申请与核发技术规范锅炉》（HJ953-2018）中9.2废气污染物实际排放量核算方法，本项目采用产排污系数法进行计算，</w:t>
      </w:r>
    </w:p>
    <w:p>
      <w:pPr>
        <w:pStyle w:val="15"/>
        <w:spacing w:line="360" w:lineRule="auto"/>
        <w:ind w:left="0" w:leftChars="0" w:firstLineChars="0"/>
        <w:jc w:val="center"/>
        <w:rPr>
          <w:rFonts w:ascii="Times New Roman"/>
          <w:color w:val="auto"/>
        </w:rPr>
      </w:pPr>
      <w:r>
        <w:rPr>
          <w:rFonts w:ascii="Times New Roman"/>
          <w:color w:val="auto"/>
        </w:rPr>
        <w:drawing>
          <wp:inline distT="0" distB="0" distL="114300" distR="114300">
            <wp:extent cx="1638300" cy="419100"/>
            <wp:effectExtent l="0" t="0" r="0" b="0"/>
            <wp:docPr id="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
                    <pic:cNvPicPr>
                      <a:picLocks noChangeAspect="1"/>
                    </pic:cNvPicPr>
                  </pic:nvPicPr>
                  <pic:blipFill>
                    <a:blip r:embed="rId30"/>
                    <a:stretch>
                      <a:fillRect/>
                    </a:stretch>
                  </pic:blipFill>
                  <pic:spPr>
                    <a:xfrm>
                      <a:off x="0" y="0"/>
                      <a:ext cx="1638300" cy="419100"/>
                    </a:xfrm>
                    <a:prstGeom prst="rect">
                      <a:avLst/>
                    </a:prstGeom>
                    <a:noFill/>
                    <a:ln>
                      <a:noFill/>
                    </a:ln>
                  </pic:spPr>
                </pic:pic>
              </a:graphicData>
            </a:graphic>
          </wp:inline>
        </w:drawing>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式中</w:t>
      </w:r>
      <w:r>
        <w:rPr>
          <w:rFonts w:hint="eastAsia" w:ascii="Times New Roman" w:eastAsia="宋体"/>
          <w:color w:val="auto"/>
          <w:kern w:val="2"/>
          <w:szCs w:val="24"/>
        </w:rPr>
        <w:t>：</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E</w:t>
      </w:r>
      <w:r>
        <w:rPr>
          <w:rFonts w:hint="eastAsia" w:ascii="Times New Roman" w:eastAsia="宋体"/>
          <w:color w:val="auto"/>
          <w:kern w:val="2"/>
          <w:szCs w:val="24"/>
        </w:rPr>
        <w:t>j—</w:t>
      </w:r>
      <w:r>
        <w:rPr>
          <w:rFonts w:ascii="Times New Roman" w:eastAsia="宋体"/>
          <w:color w:val="auto"/>
          <w:kern w:val="2"/>
          <w:szCs w:val="24"/>
        </w:rPr>
        <w:t>核算时段内第j种污染物的排放量，吨</w:t>
      </w:r>
      <w:r>
        <w:rPr>
          <w:rFonts w:hint="eastAsia" w:ascii="Times New Roman" w:eastAsia="宋体"/>
          <w:color w:val="auto"/>
          <w:kern w:val="2"/>
          <w:szCs w:val="24"/>
        </w:rPr>
        <w:t>；</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R一核算时段内锅炉燃料耗量，吨或万立方米</w:t>
      </w:r>
      <w:r>
        <w:rPr>
          <w:rFonts w:hint="eastAsia" w:ascii="Times New Roman" w:eastAsia="宋体"/>
          <w:color w:val="auto"/>
          <w:kern w:val="2"/>
          <w:szCs w:val="24"/>
        </w:rPr>
        <w:t>；</w:t>
      </w:r>
    </w:p>
    <w:p>
      <w:pPr>
        <w:pStyle w:val="15"/>
        <w:spacing w:line="360" w:lineRule="auto"/>
        <w:ind w:left="0" w:leftChars="0" w:firstLineChars="0"/>
        <w:rPr>
          <w:rFonts w:ascii="Times New Roman" w:eastAsia="宋体"/>
          <w:color w:val="auto"/>
          <w:kern w:val="2"/>
          <w:szCs w:val="24"/>
        </w:rPr>
      </w:pPr>
      <w:r>
        <w:rPr>
          <w:rFonts w:hint="eastAsia" w:ascii="Times New Roman" w:eastAsia="宋体"/>
          <w:color w:val="auto"/>
          <w:kern w:val="2"/>
          <w:szCs w:val="24"/>
        </w:rPr>
        <w:t>β</w:t>
      </w:r>
      <w:r>
        <w:rPr>
          <w:rFonts w:hint="eastAsia" w:ascii="Times New Roman" w:eastAsia="宋体"/>
          <w:color w:val="auto"/>
          <w:kern w:val="2"/>
          <w:szCs w:val="24"/>
          <w:vertAlign w:val="subscript"/>
        </w:rPr>
        <w:t>j</w:t>
      </w:r>
      <w:r>
        <w:rPr>
          <w:rFonts w:ascii="Times New Roman" w:eastAsia="宋体"/>
          <w:color w:val="auto"/>
          <w:kern w:val="2"/>
          <w:szCs w:val="24"/>
        </w:rPr>
        <w:t>一第j种污染物产排污系数，千克/吨-燃料或千克/万立方米-燃料。</w:t>
      </w:r>
    </w:p>
    <w:p>
      <w:pPr>
        <w:pStyle w:val="15"/>
        <w:spacing w:line="360" w:lineRule="auto"/>
        <w:ind w:left="0" w:leftChars="0" w:firstLineChars="0"/>
        <w:rPr>
          <w:rFonts w:ascii="Times New Roman" w:eastAsia="宋体"/>
          <w:color w:val="auto"/>
          <w:kern w:val="2"/>
          <w:szCs w:val="24"/>
        </w:rPr>
      </w:pPr>
      <w:r>
        <w:rPr>
          <w:rFonts w:ascii="Times New Roman" w:eastAsia="宋体"/>
          <w:color w:val="auto"/>
          <w:kern w:val="2"/>
          <w:szCs w:val="24"/>
        </w:rPr>
        <w:t>相关产排污系数</w:t>
      </w:r>
      <w:r>
        <w:rPr>
          <w:rFonts w:hint="eastAsia" w:ascii="Times New Roman" w:eastAsia="宋体"/>
          <w:color w:val="auto"/>
          <w:kern w:val="2"/>
          <w:szCs w:val="24"/>
        </w:rPr>
        <w:t>β</w:t>
      </w:r>
      <w:r>
        <w:rPr>
          <w:rFonts w:hint="eastAsia" w:ascii="Times New Roman" w:eastAsia="宋体"/>
          <w:color w:val="auto"/>
          <w:kern w:val="2"/>
          <w:szCs w:val="24"/>
          <w:vertAlign w:val="subscript"/>
        </w:rPr>
        <w:t>j</w:t>
      </w:r>
      <w:r>
        <w:rPr>
          <w:rFonts w:ascii="Times New Roman" w:eastAsia="宋体"/>
          <w:color w:val="auto"/>
          <w:kern w:val="2"/>
          <w:szCs w:val="24"/>
        </w:rPr>
        <w:t>参见附录F，锅炉SO</w:t>
      </w:r>
      <w:r>
        <w:rPr>
          <w:rFonts w:ascii="Times New Roman" w:eastAsia="宋体"/>
          <w:color w:val="auto"/>
          <w:kern w:val="2"/>
          <w:szCs w:val="24"/>
          <w:vertAlign w:val="subscript"/>
        </w:rPr>
        <w:t>2</w:t>
      </w:r>
      <w:r>
        <w:rPr>
          <w:rFonts w:ascii="Times New Roman" w:eastAsia="宋体"/>
          <w:color w:val="auto"/>
          <w:kern w:val="2"/>
          <w:szCs w:val="24"/>
        </w:rPr>
        <w:t>产污系数为17S</w:t>
      </w:r>
      <w:r>
        <w:rPr>
          <w:rFonts w:hint="eastAsia" w:ascii="Times New Roman" w:eastAsia="宋体"/>
          <w:color w:val="auto"/>
          <w:kern w:val="2"/>
          <w:szCs w:val="24"/>
        </w:rPr>
        <w:t>（</w:t>
      </w:r>
      <w:r>
        <w:rPr>
          <w:rFonts w:ascii="Times New Roman" w:eastAsia="宋体"/>
          <w:color w:val="auto"/>
          <w:kern w:val="2"/>
          <w:szCs w:val="24"/>
        </w:rPr>
        <w:t>kg/t-燃料</w:t>
      </w:r>
      <w:r>
        <w:rPr>
          <w:rFonts w:hint="eastAsia" w:ascii="Times New Roman" w:eastAsia="宋体"/>
          <w:color w:val="auto"/>
          <w:kern w:val="2"/>
          <w:szCs w:val="24"/>
        </w:rPr>
        <w:t>），</w:t>
      </w:r>
      <w:r>
        <w:rPr>
          <w:rFonts w:ascii="Times New Roman" w:eastAsia="宋体"/>
          <w:color w:val="auto"/>
          <w:kern w:val="2"/>
          <w:szCs w:val="24"/>
        </w:rPr>
        <w:t>S是指生物质收到基硫分含量</w:t>
      </w:r>
      <w:r>
        <w:rPr>
          <w:rFonts w:hint="eastAsia" w:ascii="Times New Roman" w:eastAsia="宋体"/>
          <w:color w:val="auto"/>
          <w:kern w:val="2"/>
          <w:szCs w:val="24"/>
        </w:rPr>
        <w:t>（</w:t>
      </w:r>
      <w:r>
        <w:rPr>
          <w:rFonts w:ascii="Times New Roman" w:eastAsia="宋体"/>
          <w:color w:val="auto"/>
          <w:kern w:val="2"/>
          <w:szCs w:val="24"/>
        </w:rPr>
        <w:t>以质量分数表示</w:t>
      </w:r>
      <w:r>
        <w:rPr>
          <w:rFonts w:hint="eastAsia" w:ascii="Times New Roman" w:eastAsia="宋体"/>
          <w:color w:val="auto"/>
          <w:kern w:val="2"/>
          <w:szCs w:val="24"/>
        </w:rPr>
        <w:t>）</w:t>
      </w:r>
      <w:r>
        <w:rPr>
          <w:rFonts w:ascii="Times New Roman" w:eastAsia="宋体"/>
          <w:color w:val="auto"/>
          <w:kern w:val="2"/>
          <w:szCs w:val="24"/>
        </w:rPr>
        <w:t>，本项目所选的生物质燃料收到基硫分含量为0.0</w:t>
      </w:r>
      <w:r>
        <w:rPr>
          <w:rFonts w:hint="eastAsia" w:ascii="Times New Roman" w:eastAsia="宋体"/>
          <w:color w:val="auto"/>
          <w:kern w:val="2"/>
          <w:szCs w:val="24"/>
        </w:rPr>
        <w:t>7</w:t>
      </w:r>
      <w:r>
        <w:rPr>
          <w:rFonts w:ascii="Times New Roman" w:eastAsia="宋体"/>
          <w:color w:val="auto"/>
          <w:kern w:val="2"/>
          <w:szCs w:val="24"/>
        </w:rPr>
        <w:t>%</w:t>
      </w:r>
      <w:r>
        <w:rPr>
          <w:rFonts w:hint="eastAsia" w:ascii="Times New Roman" w:eastAsia="宋体"/>
          <w:color w:val="auto"/>
          <w:kern w:val="2"/>
          <w:szCs w:val="24"/>
        </w:rPr>
        <w:t>；</w:t>
      </w:r>
      <w:r>
        <w:rPr>
          <w:rFonts w:ascii="Times New Roman" w:eastAsia="宋体"/>
          <w:color w:val="auto"/>
          <w:kern w:val="2"/>
          <w:szCs w:val="24"/>
        </w:rPr>
        <w:t>NOx产污系数为1.02</w:t>
      </w:r>
      <w:r>
        <w:rPr>
          <w:rFonts w:hint="eastAsia" w:ascii="Times New Roman" w:eastAsia="宋体"/>
          <w:color w:val="auto"/>
          <w:kern w:val="2"/>
          <w:szCs w:val="24"/>
        </w:rPr>
        <w:t>（</w:t>
      </w:r>
      <w:r>
        <w:rPr>
          <w:rFonts w:ascii="Times New Roman" w:eastAsia="宋体"/>
          <w:color w:val="auto"/>
          <w:kern w:val="2"/>
          <w:szCs w:val="24"/>
        </w:rPr>
        <w:t>kg/t-燃料</w:t>
      </w:r>
      <w:r>
        <w:rPr>
          <w:rFonts w:hint="eastAsia" w:ascii="Times New Roman" w:eastAsia="宋体"/>
          <w:color w:val="auto"/>
          <w:kern w:val="2"/>
          <w:szCs w:val="24"/>
        </w:rPr>
        <w:t>）；</w:t>
      </w:r>
      <w:r>
        <w:rPr>
          <w:rFonts w:ascii="Times New Roman" w:eastAsia="宋体"/>
          <w:color w:val="auto"/>
          <w:kern w:val="2"/>
          <w:szCs w:val="24"/>
        </w:rPr>
        <w:t>烟尘产污系数为0.5</w:t>
      </w:r>
      <w:r>
        <w:rPr>
          <w:rFonts w:hint="eastAsia" w:ascii="Times New Roman" w:eastAsia="宋体"/>
          <w:color w:val="auto"/>
          <w:kern w:val="2"/>
          <w:szCs w:val="24"/>
        </w:rPr>
        <w:t>（</w:t>
      </w:r>
      <w:r>
        <w:rPr>
          <w:rFonts w:ascii="Times New Roman" w:eastAsia="宋体"/>
          <w:color w:val="auto"/>
          <w:kern w:val="2"/>
          <w:szCs w:val="24"/>
        </w:rPr>
        <w:t>kg/t-燃料</w:t>
      </w:r>
      <w:r>
        <w:rPr>
          <w:rFonts w:hint="eastAsia" w:ascii="Times New Roman" w:eastAsia="宋体"/>
          <w:color w:val="auto"/>
          <w:kern w:val="2"/>
          <w:szCs w:val="24"/>
        </w:rPr>
        <w:t>）</w:t>
      </w:r>
      <w:r>
        <w:rPr>
          <w:rFonts w:ascii="Times New Roman" w:eastAsia="宋体"/>
          <w:color w:val="auto"/>
          <w:kern w:val="2"/>
          <w:szCs w:val="24"/>
        </w:rPr>
        <w:t>，</w:t>
      </w:r>
      <w:r>
        <w:rPr>
          <w:rFonts w:hint="eastAsia" w:ascii="Times New Roman" w:eastAsia="宋体"/>
          <w:color w:val="auto"/>
          <w:kern w:val="2"/>
          <w:szCs w:val="24"/>
        </w:rPr>
        <w:t>据此计算单台锅炉产排污情况见下表</w:t>
      </w:r>
    </w:p>
    <w:p>
      <w:pPr>
        <w:widowControl/>
        <w:spacing w:beforeLines="50" w:line="0" w:lineRule="atLeast"/>
        <w:jc w:val="center"/>
        <w:rPr>
          <w:rFonts w:ascii="Times New Roman" w:eastAsia="宋体"/>
          <w:b/>
          <w:color w:val="auto"/>
          <w:sz w:val="21"/>
          <w:szCs w:val="21"/>
        </w:rPr>
      </w:pPr>
      <w:r>
        <w:rPr>
          <w:rFonts w:ascii="Times New Roman" w:eastAsia="宋体"/>
          <w:b/>
          <w:color w:val="auto"/>
          <w:sz w:val="21"/>
          <w:szCs w:val="21"/>
        </w:rPr>
        <w:t>表</w:t>
      </w:r>
      <w:r>
        <w:rPr>
          <w:rFonts w:hint="eastAsia" w:ascii="Times New Roman" w:eastAsia="宋体"/>
          <w:b/>
          <w:color w:val="auto"/>
          <w:sz w:val="21"/>
          <w:szCs w:val="21"/>
        </w:rPr>
        <w:t>9.4-1</w:t>
      </w:r>
      <w:r>
        <w:rPr>
          <w:rFonts w:ascii="Times New Roman" w:eastAsia="宋体"/>
          <w:b/>
          <w:color w:val="auto"/>
          <w:sz w:val="21"/>
          <w:szCs w:val="21"/>
        </w:rPr>
        <w:t>本项目</w:t>
      </w:r>
      <w:r>
        <w:rPr>
          <w:rFonts w:hint="eastAsia" w:ascii="Times New Roman" w:eastAsia="宋体"/>
          <w:b/>
          <w:color w:val="auto"/>
          <w:sz w:val="21"/>
          <w:szCs w:val="21"/>
        </w:rPr>
        <w:t>单台生物质锅炉</w:t>
      </w:r>
      <w:r>
        <w:rPr>
          <w:rFonts w:ascii="Times New Roman" w:eastAsia="宋体"/>
          <w:b/>
          <w:color w:val="auto"/>
          <w:sz w:val="21"/>
          <w:szCs w:val="21"/>
        </w:rPr>
        <w:t>燃烧污染物排放情况</w:t>
      </w:r>
    </w:p>
    <w:tbl>
      <w:tblPr>
        <w:tblStyle w:val="47"/>
        <w:tblW w:w="464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995"/>
        <w:gridCol w:w="1248"/>
        <w:gridCol w:w="1247"/>
        <w:gridCol w:w="12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579" w:type="pct"/>
            <w:tcBorders>
              <w:tl2br w:val="nil"/>
              <w:tr2bl w:val="nil"/>
            </w:tcBorders>
            <w:vAlign w:val="center"/>
          </w:tcPr>
          <w:p>
            <w:pPr>
              <w:pStyle w:val="14"/>
              <w:spacing w:line="240" w:lineRule="auto"/>
              <w:ind w:firstLine="0" w:firstLineChars="0"/>
              <w:jc w:val="center"/>
              <w:rPr>
                <w:rFonts w:ascii="Times New Roman" w:eastAsia="宋体"/>
                <w:b/>
                <w:bCs/>
                <w:color w:val="auto"/>
                <w:sz w:val="21"/>
                <w:szCs w:val="21"/>
              </w:rPr>
            </w:pPr>
            <w:r>
              <w:rPr>
                <w:rFonts w:ascii="Times New Roman" w:eastAsia="宋体"/>
                <w:b/>
                <w:bCs/>
                <w:color w:val="auto"/>
                <w:sz w:val="21"/>
                <w:szCs w:val="21"/>
              </w:rPr>
              <w:t>污染物名称</w:t>
            </w:r>
          </w:p>
        </w:tc>
        <w:tc>
          <w:tcPr>
            <w:tcW w:w="806" w:type="pct"/>
            <w:tcBorders>
              <w:tl2br w:val="nil"/>
              <w:tr2bl w:val="nil"/>
            </w:tcBorders>
            <w:vAlign w:val="center"/>
          </w:tcPr>
          <w:p>
            <w:pPr>
              <w:pStyle w:val="14"/>
              <w:spacing w:line="240" w:lineRule="auto"/>
              <w:ind w:firstLine="0" w:firstLineChars="0"/>
              <w:jc w:val="center"/>
              <w:rPr>
                <w:rFonts w:ascii="Times New Roman" w:eastAsia="宋体"/>
                <w:b/>
                <w:bCs/>
                <w:color w:val="auto"/>
                <w:sz w:val="21"/>
                <w:szCs w:val="21"/>
              </w:rPr>
            </w:pPr>
            <w:r>
              <w:rPr>
                <w:rFonts w:ascii="Times New Roman" w:eastAsia="宋体"/>
                <w:b/>
                <w:bCs/>
                <w:color w:val="auto"/>
                <w:sz w:val="21"/>
                <w:szCs w:val="21"/>
              </w:rPr>
              <w:t>NOx</w:t>
            </w:r>
          </w:p>
        </w:tc>
        <w:tc>
          <w:tcPr>
            <w:tcW w:w="806" w:type="pct"/>
            <w:tcBorders>
              <w:tl2br w:val="nil"/>
              <w:tr2bl w:val="nil"/>
            </w:tcBorders>
            <w:vAlign w:val="center"/>
          </w:tcPr>
          <w:p>
            <w:pPr>
              <w:pStyle w:val="14"/>
              <w:spacing w:line="240" w:lineRule="auto"/>
              <w:ind w:firstLine="0" w:firstLineChars="0"/>
              <w:jc w:val="center"/>
              <w:rPr>
                <w:rFonts w:ascii="Times New Roman" w:eastAsia="宋体"/>
                <w:b/>
                <w:bCs/>
                <w:color w:val="auto"/>
                <w:sz w:val="21"/>
                <w:szCs w:val="21"/>
              </w:rPr>
            </w:pPr>
            <w:r>
              <w:rPr>
                <w:rFonts w:ascii="Times New Roman" w:eastAsia="宋体"/>
                <w:color w:val="auto"/>
                <w:kern w:val="2"/>
                <w:sz w:val="21"/>
                <w:szCs w:val="21"/>
              </w:rPr>
              <w:t>SO</w:t>
            </w:r>
            <w:r>
              <w:rPr>
                <w:rFonts w:ascii="Times New Roman" w:eastAsia="宋体"/>
                <w:color w:val="auto"/>
                <w:kern w:val="2"/>
                <w:sz w:val="21"/>
                <w:szCs w:val="21"/>
                <w:vertAlign w:val="subscript"/>
              </w:rPr>
              <w:t>2</w:t>
            </w:r>
          </w:p>
        </w:tc>
        <w:tc>
          <w:tcPr>
            <w:tcW w:w="806" w:type="pct"/>
            <w:tcBorders>
              <w:tl2br w:val="nil"/>
              <w:tr2bl w:val="nil"/>
            </w:tcBorders>
            <w:vAlign w:val="center"/>
          </w:tcPr>
          <w:p>
            <w:pPr>
              <w:pStyle w:val="425"/>
              <w:snapToGrid w:val="0"/>
              <w:rPr>
                <w:color w:val="auto"/>
                <w:kern w:val="2"/>
              </w:rPr>
            </w:pPr>
            <w:r>
              <w:rPr>
                <w:color w:val="auto"/>
                <w:kern w:val="2"/>
              </w:rPr>
              <w:t>颗粒物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579"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排放量（t/a）</w:t>
            </w:r>
          </w:p>
        </w:tc>
        <w:tc>
          <w:tcPr>
            <w:tcW w:w="806"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hint="eastAsia" w:ascii="Times New Roman" w:eastAsia="宋体"/>
                <w:color w:val="auto"/>
                <w:sz w:val="21"/>
                <w:szCs w:val="21"/>
              </w:rPr>
              <w:t>0.0765</w:t>
            </w:r>
          </w:p>
        </w:tc>
        <w:tc>
          <w:tcPr>
            <w:tcW w:w="806"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hint="eastAsia" w:ascii="Times New Roman" w:eastAsia="宋体"/>
                <w:color w:val="auto"/>
                <w:sz w:val="21"/>
                <w:szCs w:val="21"/>
              </w:rPr>
              <w:t>0.0892</w:t>
            </w:r>
          </w:p>
        </w:tc>
        <w:tc>
          <w:tcPr>
            <w:tcW w:w="806"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hint="eastAsia" w:ascii="Times New Roman" w:eastAsia="宋体"/>
                <w:color w:val="auto"/>
                <w:sz w:val="21"/>
                <w:szCs w:val="21"/>
              </w:rPr>
              <w:t>0.0004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579"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ascii="Times New Roman" w:eastAsia="宋体"/>
                <w:color w:val="auto"/>
                <w:sz w:val="21"/>
                <w:szCs w:val="21"/>
              </w:rPr>
              <w:t>排放浓度（mg/m</w:t>
            </w:r>
            <w:r>
              <w:rPr>
                <w:rFonts w:ascii="Times New Roman" w:eastAsia="宋体"/>
                <w:color w:val="auto"/>
                <w:sz w:val="21"/>
                <w:szCs w:val="21"/>
                <w:vertAlign w:val="superscript"/>
              </w:rPr>
              <w:t>3</w:t>
            </w:r>
            <w:r>
              <w:rPr>
                <w:rFonts w:ascii="Times New Roman" w:eastAsia="宋体"/>
                <w:color w:val="auto"/>
                <w:sz w:val="21"/>
                <w:szCs w:val="21"/>
              </w:rPr>
              <w:t>）</w:t>
            </w:r>
          </w:p>
        </w:tc>
        <w:tc>
          <w:tcPr>
            <w:tcW w:w="806"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hint="eastAsia" w:ascii="Times New Roman" w:eastAsia="宋体"/>
                <w:color w:val="auto"/>
                <w:sz w:val="21"/>
                <w:szCs w:val="21"/>
              </w:rPr>
              <w:t>143</w:t>
            </w:r>
          </w:p>
        </w:tc>
        <w:tc>
          <w:tcPr>
            <w:tcW w:w="806"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hint="eastAsia" w:ascii="Times New Roman" w:eastAsia="宋体"/>
                <w:color w:val="auto"/>
                <w:sz w:val="21"/>
                <w:szCs w:val="21"/>
              </w:rPr>
              <w:t>167</w:t>
            </w:r>
          </w:p>
        </w:tc>
        <w:tc>
          <w:tcPr>
            <w:tcW w:w="806" w:type="pct"/>
            <w:tcBorders>
              <w:tl2br w:val="nil"/>
              <w:tr2bl w:val="nil"/>
            </w:tcBorders>
            <w:vAlign w:val="center"/>
          </w:tcPr>
          <w:p>
            <w:pPr>
              <w:pStyle w:val="14"/>
              <w:spacing w:line="240" w:lineRule="auto"/>
              <w:ind w:firstLine="0" w:firstLineChars="0"/>
              <w:jc w:val="center"/>
              <w:rPr>
                <w:rFonts w:ascii="Times New Roman" w:eastAsia="宋体"/>
                <w:color w:val="auto"/>
                <w:sz w:val="21"/>
                <w:szCs w:val="21"/>
              </w:rPr>
            </w:pPr>
            <w:r>
              <w:rPr>
                <w:rFonts w:hint="eastAsia" w:ascii="Times New Roman" w:eastAsia="宋体"/>
                <w:color w:val="auto"/>
                <w:sz w:val="21"/>
                <w:szCs w:val="21"/>
              </w:rPr>
              <w:t>0.7</w:t>
            </w:r>
          </w:p>
        </w:tc>
      </w:tr>
    </w:tbl>
    <w:p>
      <w:pPr>
        <w:spacing w:line="360" w:lineRule="auto"/>
        <w:ind w:firstLine="496" w:firstLineChars="200"/>
        <w:rPr>
          <w:rFonts w:ascii="Times New Roman" w:eastAsia="宋体"/>
          <w:color w:val="auto"/>
        </w:rPr>
      </w:pPr>
      <w:r>
        <w:rPr>
          <w:rFonts w:ascii="Times New Roman" w:eastAsia="宋体"/>
          <w:color w:val="auto"/>
        </w:rPr>
        <w:t>建设项目</w:t>
      </w:r>
      <w:r>
        <w:rPr>
          <w:rFonts w:hint="eastAsia" w:ascii="Times New Roman" w:eastAsia="宋体"/>
          <w:color w:val="auto"/>
        </w:rPr>
        <w:t>生物质成型燃料锅炉</w:t>
      </w:r>
      <w:r>
        <w:rPr>
          <w:rFonts w:ascii="Times New Roman" w:eastAsia="宋体"/>
          <w:color w:val="auto"/>
        </w:rPr>
        <w:t>排放的颗粒物、SO</w:t>
      </w:r>
      <w:r>
        <w:rPr>
          <w:rFonts w:ascii="Times New Roman" w:eastAsia="宋体"/>
          <w:color w:val="auto"/>
          <w:vertAlign w:val="subscript"/>
        </w:rPr>
        <w:t>2</w:t>
      </w:r>
      <w:r>
        <w:rPr>
          <w:rFonts w:ascii="Times New Roman" w:eastAsia="宋体"/>
          <w:color w:val="auto"/>
        </w:rPr>
        <w:t>、NO</w:t>
      </w:r>
      <w:r>
        <w:rPr>
          <w:rFonts w:ascii="Times New Roman" w:eastAsia="宋体"/>
          <w:color w:val="auto"/>
          <w:vertAlign w:val="subscript"/>
        </w:rPr>
        <w:t>X</w:t>
      </w:r>
      <w:r>
        <w:rPr>
          <w:rFonts w:ascii="Times New Roman" w:eastAsia="宋体"/>
          <w:color w:val="auto"/>
        </w:rPr>
        <w:t>排放浓度能够满足《锅炉大气污染物排放标准》（GB13271-2014）表</w:t>
      </w:r>
      <w:r>
        <w:rPr>
          <w:rFonts w:hint="eastAsia" w:ascii="Times New Roman" w:eastAsia="宋体"/>
          <w:color w:val="auto"/>
        </w:rPr>
        <w:t>3</w:t>
      </w:r>
      <w:r>
        <w:rPr>
          <w:rFonts w:ascii="Times New Roman" w:eastAsia="宋体"/>
          <w:color w:val="auto"/>
        </w:rPr>
        <w:t>燃煤锅炉排放浓度限值要求。</w:t>
      </w:r>
    </w:p>
    <w:p>
      <w:pPr>
        <w:spacing w:line="360" w:lineRule="auto"/>
        <w:ind w:firstLine="496" w:firstLineChars="200"/>
        <w:rPr>
          <w:rFonts w:ascii="Times New Roman" w:eastAsia="宋体"/>
          <w:color w:val="auto"/>
          <w:szCs w:val="24"/>
          <w:u w:val="single"/>
        </w:rPr>
      </w:pPr>
      <w:r>
        <w:rPr>
          <w:rFonts w:ascii="Times New Roman" w:eastAsia="宋体"/>
          <w:color w:val="auto"/>
          <w:u w:val="single"/>
        </w:rPr>
        <w:t>本项目共</w:t>
      </w:r>
      <w:r>
        <w:rPr>
          <w:rFonts w:hint="eastAsia" w:ascii="Times New Roman" w:eastAsia="宋体"/>
          <w:color w:val="auto"/>
          <w:u w:val="single"/>
        </w:rPr>
        <w:t>2</w:t>
      </w:r>
      <w:r>
        <w:rPr>
          <w:rFonts w:ascii="Times New Roman" w:eastAsia="宋体"/>
          <w:color w:val="auto"/>
          <w:u w:val="single"/>
        </w:rPr>
        <w:t>台锅炉，则NOx排放量＝0.0</w:t>
      </w:r>
      <w:r>
        <w:rPr>
          <w:rFonts w:hint="eastAsia" w:ascii="Times New Roman" w:eastAsia="宋体"/>
          <w:color w:val="auto"/>
          <w:u w:val="single"/>
        </w:rPr>
        <w:t>765</w:t>
      </w:r>
      <w:r>
        <w:rPr>
          <w:rFonts w:ascii="Times New Roman" w:eastAsia="宋体"/>
          <w:color w:val="auto"/>
          <w:u w:val="single"/>
        </w:rPr>
        <w:t>×</w:t>
      </w:r>
      <w:r>
        <w:rPr>
          <w:rFonts w:hint="eastAsia" w:ascii="Times New Roman" w:eastAsia="宋体"/>
          <w:color w:val="auto"/>
          <w:u w:val="single"/>
        </w:rPr>
        <w:t>2</w:t>
      </w:r>
      <w:r>
        <w:rPr>
          <w:rFonts w:ascii="Times New Roman" w:eastAsia="宋体"/>
          <w:color w:val="auto"/>
          <w:u w:val="single"/>
        </w:rPr>
        <w:t>＝</w:t>
      </w:r>
      <w:r>
        <w:rPr>
          <w:rFonts w:hint="eastAsia" w:ascii="Times New Roman" w:eastAsia="宋体"/>
          <w:color w:val="auto"/>
          <w:u w:val="single"/>
        </w:rPr>
        <w:t>0.153</w:t>
      </w:r>
      <w:r>
        <w:rPr>
          <w:rFonts w:ascii="Times New Roman" w:eastAsia="宋体"/>
          <w:color w:val="auto"/>
          <w:u w:val="single"/>
        </w:rPr>
        <w:t>（t/a）</w:t>
      </w:r>
      <w:r>
        <w:rPr>
          <w:rFonts w:hint="eastAsia" w:ascii="Times New Roman" w:eastAsia="宋体"/>
          <w:color w:val="auto"/>
          <w:u w:val="single"/>
        </w:rPr>
        <w:t>，</w:t>
      </w:r>
      <w:r>
        <w:rPr>
          <w:rFonts w:ascii="Times New Roman" w:eastAsia="宋体"/>
          <w:color w:val="auto"/>
          <w:kern w:val="2"/>
          <w:sz w:val="21"/>
          <w:szCs w:val="21"/>
          <w:u w:val="single"/>
        </w:rPr>
        <w:t>SO</w:t>
      </w:r>
      <w:r>
        <w:rPr>
          <w:rFonts w:ascii="Times New Roman" w:eastAsia="宋体"/>
          <w:color w:val="auto"/>
          <w:kern w:val="2"/>
          <w:sz w:val="21"/>
          <w:szCs w:val="21"/>
          <w:u w:val="single"/>
          <w:vertAlign w:val="subscript"/>
        </w:rPr>
        <w:t>2</w:t>
      </w:r>
      <w:r>
        <w:rPr>
          <w:rFonts w:ascii="Times New Roman" w:eastAsia="宋体"/>
          <w:color w:val="auto"/>
          <w:u w:val="single"/>
        </w:rPr>
        <w:t>排放量＝0.0</w:t>
      </w:r>
      <w:r>
        <w:rPr>
          <w:rFonts w:hint="eastAsia" w:ascii="Times New Roman" w:eastAsia="宋体"/>
          <w:color w:val="auto"/>
          <w:u w:val="single"/>
        </w:rPr>
        <w:t>892</w:t>
      </w:r>
      <w:r>
        <w:rPr>
          <w:rFonts w:ascii="Times New Roman" w:eastAsia="宋体"/>
          <w:color w:val="auto"/>
          <w:u w:val="single"/>
        </w:rPr>
        <w:t>×</w:t>
      </w:r>
      <w:r>
        <w:rPr>
          <w:rFonts w:hint="eastAsia" w:ascii="Times New Roman" w:eastAsia="宋体"/>
          <w:color w:val="auto"/>
          <w:u w:val="single"/>
        </w:rPr>
        <w:t>2</w:t>
      </w:r>
      <w:r>
        <w:rPr>
          <w:rFonts w:ascii="Times New Roman" w:eastAsia="宋体"/>
          <w:color w:val="auto"/>
          <w:u w:val="single"/>
        </w:rPr>
        <w:t>＝</w:t>
      </w:r>
      <w:r>
        <w:rPr>
          <w:rFonts w:hint="eastAsia" w:ascii="Times New Roman" w:eastAsia="宋体"/>
          <w:color w:val="auto"/>
          <w:u w:val="single"/>
        </w:rPr>
        <w:t>0.179</w:t>
      </w:r>
      <w:r>
        <w:rPr>
          <w:rFonts w:ascii="Times New Roman" w:eastAsia="宋体"/>
          <w:color w:val="auto"/>
          <w:u w:val="single"/>
        </w:rPr>
        <w:t>（t/a）。</w:t>
      </w:r>
    </w:p>
    <w:bookmarkEnd w:id="567"/>
    <w:bookmarkEnd w:id="568"/>
    <w:p>
      <w:pPr>
        <w:numPr>
          <w:ilvl w:val="0"/>
          <w:numId w:val="11"/>
        </w:numPr>
        <w:spacing w:line="360" w:lineRule="auto"/>
        <w:ind w:left="0" w:leftChars="0" w:firstLine="496" w:firstLineChars="200"/>
        <w:rPr>
          <w:rFonts w:hint="default" w:ascii="Times New Roman" w:eastAsia="宋体"/>
          <w:color w:val="auto"/>
          <w:u w:val="single"/>
          <w:lang w:val="en-US" w:eastAsia="zh-CN"/>
        </w:rPr>
      </w:pPr>
      <w:bookmarkStart w:id="578" w:name="_Toc397698133"/>
      <w:r>
        <w:rPr>
          <w:rFonts w:hint="eastAsia" w:ascii="Times New Roman" w:eastAsia="宋体"/>
          <w:color w:val="auto"/>
          <w:u w:val="single"/>
          <w:lang w:val="en-US" w:eastAsia="zh-CN"/>
        </w:rPr>
        <w:t>废水</w:t>
      </w:r>
    </w:p>
    <w:p>
      <w:pPr>
        <w:spacing w:line="360" w:lineRule="auto"/>
        <w:ind w:firstLine="496" w:firstLineChars="200"/>
        <w:rPr>
          <w:rFonts w:hint="eastAsia" w:ascii="Times New Roman" w:hAnsi="Times New Roman" w:eastAsia="宋体" w:cs="Times New Roman"/>
          <w:color w:val="auto"/>
          <w:u w:val="single"/>
          <w:lang w:val="en-US" w:eastAsia="zh-CN"/>
        </w:rPr>
        <w:sectPr>
          <w:pgSz w:w="11906" w:h="16838"/>
          <w:pgMar w:top="1440" w:right="1803" w:bottom="1440" w:left="1803" w:header="850" w:footer="992" w:gutter="0"/>
          <w:pgNumType w:fmt="decimal"/>
          <w:cols w:space="720" w:num="1"/>
          <w:docGrid w:type="linesAndChars" w:linePitch="319" w:charSpace="1724"/>
        </w:sectPr>
      </w:pPr>
      <w:r>
        <w:rPr>
          <w:rFonts w:ascii="Times New Roman" w:hAnsi="Times New Roman" w:eastAsia="宋体" w:cs="Times New Roman"/>
          <w:color w:val="auto"/>
          <w:u w:val="single"/>
        </w:rPr>
        <w:t>项目废水经处理后用于农灌，不外排，无需申请总量</w:t>
      </w:r>
      <w:r>
        <w:rPr>
          <w:rFonts w:hint="eastAsia" w:ascii="Times New Roman" w:hAnsi="Times New Roman" w:eastAsia="宋体" w:cs="Times New Roman"/>
          <w:color w:val="auto"/>
          <w:u w:val="single"/>
          <w:lang w:eastAsia="zh-CN"/>
        </w:rPr>
        <w:t>。</w:t>
      </w:r>
    </w:p>
    <w:p>
      <w:pPr>
        <w:pStyle w:val="2"/>
        <w:numPr>
          <w:ilvl w:val="0"/>
          <w:numId w:val="0"/>
        </w:numPr>
        <w:spacing w:before="0" w:after="0" w:line="360" w:lineRule="auto"/>
        <w:rPr>
          <w:rFonts w:ascii="Times New Roman" w:eastAsia="宋体"/>
          <w:color w:val="auto"/>
          <w:sz w:val="36"/>
          <w:szCs w:val="36"/>
        </w:rPr>
      </w:pPr>
      <w:bookmarkStart w:id="579" w:name="_Toc15458"/>
      <w:bookmarkStart w:id="580" w:name="_Toc1726"/>
      <w:r>
        <w:rPr>
          <w:rFonts w:hint="eastAsia" w:ascii="Times New Roman" w:eastAsia="宋体"/>
          <w:color w:val="auto"/>
          <w:sz w:val="36"/>
          <w:szCs w:val="36"/>
        </w:rPr>
        <w:t>9</w:t>
      </w:r>
      <w:r>
        <w:rPr>
          <w:rFonts w:ascii="Times New Roman" w:eastAsia="宋体"/>
          <w:color w:val="auto"/>
          <w:sz w:val="36"/>
          <w:szCs w:val="36"/>
        </w:rPr>
        <w:t>结论</w:t>
      </w:r>
      <w:bookmarkEnd w:id="578"/>
      <w:bookmarkEnd w:id="579"/>
      <w:bookmarkEnd w:id="580"/>
      <w:r>
        <w:rPr>
          <w:rFonts w:ascii="Times New Roman" w:eastAsia="宋体"/>
          <w:color w:val="auto"/>
          <w:sz w:val="36"/>
          <w:szCs w:val="36"/>
        </w:rPr>
        <w:tab/>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81" w:name="_Toc397698134"/>
      <w:bookmarkStart w:id="582" w:name="_Toc30746"/>
      <w:bookmarkStart w:id="583" w:name="_Toc11566"/>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.1建设项目概况</w:t>
      </w:r>
      <w:bookmarkEnd w:id="581"/>
      <w:bookmarkEnd w:id="582"/>
      <w:bookmarkEnd w:id="583"/>
      <w:r>
        <w:rPr>
          <w:rFonts w:ascii="Times New Roman" w:hAnsi="Times New Roman" w:eastAsia="宋体"/>
          <w:color w:val="auto"/>
          <w:kern w:val="2"/>
          <w:sz w:val="28"/>
          <w:szCs w:val="28"/>
        </w:rPr>
        <w:tab/>
      </w:r>
    </w:p>
    <w:p>
      <w:pPr>
        <w:numPr>
          <w:ilvl w:val="0"/>
          <w:numId w:val="12"/>
        </w:numPr>
        <w:spacing w:line="360" w:lineRule="auto"/>
        <w:ind w:firstLine="496" w:firstLineChars="200"/>
        <w:rPr>
          <w:rFonts w:ascii="Times New Roman" w:eastAsia="宋体"/>
          <w:color w:val="auto"/>
        </w:rPr>
      </w:pPr>
      <w:bookmarkStart w:id="584" w:name="_Toc397698135"/>
      <w:r>
        <w:rPr>
          <w:rFonts w:ascii="Times New Roman" w:eastAsia="宋体"/>
          <w:color w:val="auto"/>
        </w:rPr>
        <w:t>项目名称：</w:t>
      </w:r>
      <w:r>
        <w:rPr>
          <w:rFonts w:hint="eastAsia" w:ascii="Times New Roman" w:eastAsia="宋体"/>
          <w:color w:val="auto"/>
        </w:rPr>
        <w:t>岳阳湘佳牧业有限公司</w:t>
      </w:r>
      <w:r>
        <w:rPr>
          <w:rFonts w:ascii="Times New Roman" w:eastAsia="宋体"/>
          <w:color w:val="auto"/>
        </w:rPr>
        <w:t>桃源肉鸡养殖项目</w:t>
      </w:r>
    </w:p>
    <w:p>
      <w:pPr>
        <w:spacing w:line="360" w:lineRule="auto"/>
        <w:ind w:firstLine="496" w:firstLineChars="200"/>
        <w:rPr>
          <w:rFonts w:ascii="Times New Roman" w:eastAsia="宋体"/>
          <w:color w:val="auto"/>
        </w:rPr>
      </w:pPr>
      <w:r>
        <w:rPr>
          <w:rFonts w:ascii="Times New Roman" w:eastAsia="宋体"/>
          <w:color w:val="auto"/>
        </w:rPr>
        <w:t>（2）建设单位：</w:t>
      </w:r>
      <w:r>
        <w:rPr>
          <w:rFonts w:hint="eastAsia" w:ascii="Times New Roman" w:eastAsia="宋体"/>
          <w:color w:val="auto"/>
        </w:rPr>
        <w:t>岳阳湘佳牧业有限公司</w:t>
      </w:r>
    </w:p>
    <w:p>
      <w:pPr>
        <w:spacing w:line="360" w:lineRule="auto"/>
        <w:ind w:firstLine="496" w:firstLineChars="200"/>
        <w:rPr>
          <w:rFonts w:ascii="Times New Roman" w:eastAsia="宋体"/>
          <w:color w:val="auto"/>
        </w:rPr>
      </w:pPr>
      <w:r>
        <w:rPr>
          <w:rFonts w:ascii="Times New Roman" w:eastAsia="宋体"/>
          <w:color w:val="auto"/>
        </w:rPr>
        <w:t>（3）建设性质：新建</w:t>
      </w:r>
    </w:p>
    <w:p>
      <w:pPr>
        <w:spacing w:line="360" w:lineRule="auto"/>
        <w:ind w:firstLine="496" w:firstLineChars="200"/>
        <w:rPr>
          <w:rFonts w:ascii="Times New Roman" w:eastAsia="宋体"/>
          <w:color w:val="auto"/>
        </w:rPr>
      </w:pPr>
      <w:r>
        <w:rPr>
          <w:rFonts w:ascii="Times New Roman" w:eastAsia="宋体"/>
          <w:color w:val="auto"/>
        </w:rPr>
        <w:t>（4）建设地点：</w:t>
      </w:r>
      <w:r>
        <w:rPr>
          <w:rFonts w:hint="eastAsia" w:ascii="Times New Roman" w:eastAsia="宋体"/>
          <w:color w:val="auto"/>
        </w:rPr>
        <w:t>湖南省岳阳市岳阳县新墙镇桃源片</w:t>
      </w:r>
    </w:p>
    <w:p>
      <w:pPr>
        <w:spacing w:line="360" w:lineRule="auto"/>
        <w:ind w:firstLine="496" w:firstLineChars="200"/>
        <w:rPr>
          <w:rFonts w:ascii="Times New Roman" w:eastAsia="宋体"/>
          <w:color w:val="auto"/>
        </w:rPr>
      </w:pPr>
      <w:r>
        <w:rPr>
          <w:rFonts w:ascii="Times New Roman" w:eastAsia="宋体"/>
          <w:color w:val="auto"/>
        </w:rPr>
        <w:t>（5）建设投资：</w:t>
      </w:r>
      <w:r>
        <w:rPr>
          <w:rFonts w:hint="eastAsia" w:ascii="Times New Roman" w:eastAsia="宋体"/>
          <w:color w:val="auto"/>
        </w:rPr>
        <w:t>4000</w:t>
      </w:r>
      <w:r>
        <w:rPr>
          <w:rFonts w:ascii="Times New Roman" w:eastAsia="宋体"/>
          <w:color w:val="auto"/>
        </w:rPr>
        <w:t>万元</w:t>
      </w:r>
    </w:p>
    <w:p>
      <w:pPr>
        <w:spacing w:line="360" w:lineRule="auto"/>
        <w:ind w:firstLine="496" w:firstLineChars="200"/>
        <w:rPr>
          <w:rFonts w:ascii="Times New Roman" w:eastAsia="宋体"/>
          <w:color w:val="auto"/>
        </w:rPr>
      </w:pPr>
      <w:r>
        <w:rPr>
          <w:rFonts w:ascii="Times New Roman" w:eastAsia="宋体"/>
          <w:color w:val="auto"/>
        </w:rPr>
        <w:t>（6）建设规模：常年存栏量</w:t>
      </w:r>
      <w:r>
        <w:rPr>
          <w:rFonts w:hint="eastAsia" w:ascii="Times New Roman" w:eastAsia="宋体"/>
          <w:color w:val="auto"/>
        </w:rPr>
        <w:t>25万只</w:t>
      </w:r>
      <w:r>
        <w:rPr>
          <w:rFonts w:ascii="Times New Roman" w:eastAsia="宋体"/>
          <w:color w:val="auto"/>
        </w:rPr>
        <w:t>，年出栏商品肉鸡</w:t>
      </w:r>
      <w:r>
        <w:rPr>
          <w:rFonts w:hint="eastAsia" w:ascii="Times New Roman" w:eastAsia="宋体"/>
          <w:color w:val="auto"/>
        </w:rPr>
        <w:t>100万</w:t>
      </w:r>
      <w:r>
        <w:rPr>
          <w:rFonts w:ascii="Times New Roman" w:eastAsia="宋体"/>
          <w:color w:val="auto"/>
        </w:rPr>
        <w:t>只。</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85" w:name="_Toc8205"/>
      <w:bookmarkStart w:id="586" w:name="_Toc23789"/>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.2环境质量现状</w:t>
      </w:r>
      <w:bookmarkEnd w:id="584"/>
      <w:bookmarkEnd w:id="585"/>
      <w:bookmarkEnd w:id="586"/>
      <w:r>
        <w:rPr>
          <w:rFonts w:ascii="Times New Roman" w:hAnsi="Times New Roman" w:eastAsia="宋体"/>
          <w:color w:val="auto"/>
          <w:kern w:val="2"/>
          <w:sz w:val="28"/>
          <w:szCs w:val="28"/>
        </w:rPr>
        <w:tab/>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.2.1环境空气现状评价结论</w:t>
      </w:r>
    </w:p>
    <w:p>
      <w:pPr>
        <w:spacing w:line="360" w:lineRule="auto"/>
        <w:ind w:firstLine="496" w:firstLineChars="200"/>
        <w:rPr>
          <w:rFonts w:ascii="Times New Roman" w:eastAsia="宋体"/>
          <w:color w:val="auto"/>
          <w:szCs w:val="24"/>
        </w:rPr>
      </w:pPr>
      <w:r>
        <w:rPr>
          <w:rFonts w:ascii="Times New Roman" w:eastAsia="宋体"/>
          <w:color w:val="auto"/>
          <w:szCs w:val="24"/>
        </w:rPr>
        <w:t>由监测结果可知，各监测点位TSP日均值浓度限值均满足《环境空气质量标准》（GB3095-2012）二级标准浓度限值要求，NH</w:t>
      </w:r>
      <w:r>
        <w:rPr>
          <w:rFonts w:ascii="Times New Roman" w:eastAsia="宋体"/>
          <w:color w:val="auto"/>
          <w:szCs w:val="24"/>
          <w:vertAlign w:val="subscript"/>
        </w:rPr>
        <w:t>3</w:t>
      </w:r>
      <w:r>
        <w:rPr>
          <w:rFonts w:ascii="Times New Roman" w:eastAsia="宋体"/>
          <w:color w:val="auto"/>
          <w:szCs w:val="24"/>
        </w:rPr>
        <w:t>和H</w:t>
      </w:r>
      <w:r>
        <w:rPr>
          <w:rFonts w:ascii="Times New Roman" w:eastAsia="宋体"/>
          <w:color w:val="auto"/>
          <w:szCs w:val="24"/>
          <w:vertAlign w:val="subscript"/>
        </w:rPr>
        <w:t>2</w:t>
      </w:r>
      <w:r>
        <w:rPr>
          <w:rFonts w:ascii="Times New Roman" w:eastAsia="宋体"/>
          <w:color w:val="auto"/>
          <w:szCs w:val="24"/>
        </w:rPr>
        <w:t>S监测值均能达到《环境影响评价技术导则大气环境》（HJ2.2-2008）附录D要求。</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.2.2地下水环境现状结论</w:t>
      </w:r>
    </w:p>
    <w:p>
      <w:pPr>
        <w:spacing w:line="360" w:lineRule="auto"/>
        <w:ind w:firstLine="496" w:firstLineChars="200"/>
        <w:rPr>
          <w:rFonts w:ascii="Times New Roman" w:eastAsia="宋体"/>
          <w:color w:val="auto"/>
          <w:szCs w:val="24"/>
        </w:rPr>
      </w:pPr>
      <w:r>
        <w:rPr>
          <w:rFonts w:ascii="Times New Roman" w:eastAsia="宋体"/>
          <w:color w:val="auto"/>
          <w:szCs w:val="24"/>
        </w:rPr>
        <w:t>由监测结果可知，监测期间各点位地下水水质指标均满足《地下水质量标准》（GB/T14848-</w:t>
      </w:r>
      <w:r>
        <w:rPr>
          <w:rFonts w:hint="eastAsia" w:ascii="Times New Roman" w:eastAsia="宋体"/>
          <w:color w:val="auto"/>
          <w:szCs w:val="24"/>
        </w:rPr>
        <w:t>2017</w:t>
      </w:r>
      <w:r>
        <w:rPr>
          <w:rFonts w:ascii="Times New Roman" w:eastAsia="宋体"/>
          <w:color w:val="auto"/>
          <w:szCs w:val="24"/>
        </w:rPr>
        <w:t>）中Ⅲ类水质标准。</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.2.</w:t>
      </w:r>
      <w:r>
        <w:rPr>
          <w:rFonts w:hint="eastAsia" w:ascii="Times New Roman" w:eastAsia="宋体"/>
          <w:b/>
          <w:bCs/>
          <w:color w:val="auto"/>
          <w:kern w:val="2"/>
          <w:sz w:val="24"/>
        </w:rPr>
        <w:t>3</w:t>
      </w:r>
      <w:r>
        <w:rPr>
          <w:rFonts w:ascii="Times New Roman" w:eastAsia="宋体"/>
          <w:b/>
          <w:bCs/>
          <w:color w:val="auto"/>
          <w:kern w:val="2"/>
          <w:sz w:val="24"/>
        </w:rPr>
        <w:t>声环境现状评价结论</w:t>
      </w:r>
    </w:p>
    <w:p>
      <w:pPr>
        <w:spacing w:line="360" w:lineRule="auto"/>
        <w:ind w:firstLine="496" w:firstLineChars="200"/>
        <w:rPr>
          <w:rFonts w:ascii="Times New Roman" w:eastAsia="宋体"/>
          <w:color w:val="auto"/>
        </w:rPr>
      </w:pPr>
      <w:r>
        <w:rPr>
          <w:rFonts w:ascii="Times New Roman" w:eastAsia="宋体"/>
          <w:color w:val="auto"/>
          <w:szCs w:val="24"/>
        </w:rPr>
        <w:t>由监测结果可知，</w:t>
      </w:r>
      <w:r>
        <w:rPr>
          <w:rFonts w:ascii="Times New Roman" w:eastAsia="宋体"/>
          <w:color w:val="auto"/>
        </w:rPr>
        <w:t>监测期间评价区域声环境质量现状达到《声环境质量标准》（GB3096-2008）中</w:t>
      </w:r>
      <w:r>
        <w:rPr>
          <w:rFonts w:hint="eastAsia" w:ascii="Times New Roman" w:eastAsia="宋体"/>
          <w:color w:val="auto"/>
        </w:rPr>
        <w:t>2</w:t>
      </w:r>
      <w:r>
        <w:rPr>
          <w:rFonts w:ascii="Times New Roman" w:eastAsia="宋体"/>
          <w:color w:val="auto"/>
        </w:rPr>
        <w:t>类功能区限值标准，该区域声环境现状质量良好，符合功能区划要求。</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.2.</w:t>
      </w:r>
      <w:r>
        <w:rPr>
          <w:rFonts w:hint="eastAsia" w:ascii="Times New Roman" w:eastAsia="宋体"/>
          <w:b/>
          <w:bCs/>
          <w:color w:val="auto"/>
          <w:kern w:val="2"/>
          <w:sz w:val="24"/>
        </w:rPr>
        <w:t>4土壤</w:t>
      </w:r>
      <w:r>
        <w:rPr>
          <w:rFonts w:ascii="Times New Roman" w:eastAsia="宋体"/>
          <w:b/>
          <w:bCs/>
          <w:color w:val="auto"/>
          <w:kern w:val="2"/>
          <w:sz w:val="24"/>
        </w:rPr>
        <w:t>环境现状评价结论</w:t>
      </w:r>
    </w:p>
    <w:p>
      <w:pPr>
        <w:spacing w:line="360" w:lineRule="auto"/>
        <w:ind w:firstLine="496" w:firstLineChars="200"/>
        <w:rPr>
          <w:rFonts w:ascii="Times New Roman" w:eastAsia="宋体"/>
          <w:color w:val="auto"/>
          <w:szCs w:val="24"/>
        </w:rPr>
      </w:pPr>
      <w:r>
        <w:rPr>
          <w:rFonts w:ascii="Times New Roman" w:eastAsia="宋体"/>
          <w:color w:val="auto"/>
          <w:szCs w:val="24"/>
        </w:rPr>
        <w:t>由监测结果可知，本项目厂址土壤环境质量均满足《</w:t>
      </w:r>
      <w:r>
        <w:rPr>
          <w:rFonts w:hint="eastAsia" w:ascii="Times New Roman" w:eastAsia="宋体"/>
          <w:color w:val="auto"/>
          <w:szCs w:val="24"/>
        </w:rPr>
        <w:t>农</w:t>
      </w:r>
      <w:r>
        <w:rPr>
          <w:rFonts w:ascii="Times New Roman" w:eastAsia="宋体"/>
          <w:color w:val="auto"/>
          <w:szCs w:val="24"/>
        </w:rPr>
        <w:t>用地土壤污染风险管控标准（试行）》（GB</w:t>
      </w:r>
      <w:r>
        <w:rPr>
          <w:rFonts w:hint="eastAsia" w:ascii="Times New Roman" w:eastAsia="宋体"/>
          <w:color w:val="auto"/>
          <w:szCs w:val="24"/>
        </w:rPr>
        <w:t>15618</w:t>
      </w:r>
      <w:r>
        <w:rPr>
          <w:rFonts w:ascii="Times New Roman" w:eastAsia="宋体"/>
          <w:color w:val="auto"/>
          <w:szCs w:val="24"/>
        </w:rPr>
        <w:t>-2018）筛选值要求。</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.2.</w:t>
      </w:r>
      <w:r>
        <w:rPr>
          <w:rFonts w:hint="eastAsia" w:ascii="Times New Roman" w:eastAsia="宋体"/>
          <w:b/>
          <w:bCs/>
          <w:color w:val="auto"/>
          <w:kern w:val="2"/>
          <w:sz w:val="24"/>
        </w:rPr>
        <w:t>5</w:t>
      </w:r>
      <w:r>
        <w:rPr>
          <w:rFonts w:ascii="Times New Roman" w:eastAsia="宋体"/>
          <w:b/>
          <w:bCs/>
          <w:color w:val="auto"/>
          <w:kern w:val="2"/>
          <w:sz w:val="24"/>
        </w:rPr>
        <w:t>区域污染源</w:t>
      </w:r>
    </w:p>
    <w:p>
      <w:pPr>
        <w:spacing w:line="360" w:lineRule="auto"/>
        <w:ind w:firstLine="496" w:firstLineChars="200"/>
        <w:rPr>
          <w:rFonts w:ascii="Times New Roman" w:eastAsia="宋体"/>
          <w:color w:val="auto"/>
          <w:szCs w:val="24"/>
        </w:rPr>
      </w:pPr>
      <w:r>
        <w:rPr>
          <w:rFonts w:ascii="Times New Roman" w:eastAsia="宋体"/>
          <w:color w:val="auto"/>
          <w:szCs w:val="24"/>
        </w:rPr>
        <w:t>项目所在区域主要为</w:t>
      </w:r>
      <w:r>
        <w:rPr>
          <w:rFonts w:hint="eastAsia" w:ascii="Times New Roman" w:eastAsia="宋体"/>
          <w:color w:val="auto"/>
          <w:szCs w:val="24"/>
        </w:rPr>
        <w:t>林地</w:t>
      </w:r>
      <w:r>
        <w:rPr>
          <w:rFonts w:ascii="Times New Roman" w:eastAsia="宋体"/>
          <w:color w:val="auto"/>
          <w:szCs w:val="24"/>
        </w:rPr>
        <w:t>，没有工业污染源。</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87" w:name="_Toc16310"/>
      <w:bookmarkStart w:id="588" w:name="_Toc9485"/>
      <w:bookmarkStart w:id="589" w:name="_Toc5429"/>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.3环境影响与评价</w:t>
      </w:r>
      <w:bookmarkEnd w:id="587"/>
      <w:bookmarkEnd w:id="588"/>
      <w:bookmarkEnd w:id="589"/>
      <w:r>
        <w:rPr>
          <w:rFonts w:ascii="Times New Roman" w:hAnsi="Times New Roman" w:eastAsia="宋体"/>
          <w:color w:val="auto"/>
          <w:kern w:val="2"/>
          <w:sz w:val="28"/>
          <w:szCs w:val="28"/>
        </w:rPr>
        <w:tab/>
      </w:r>
    </w:p>
    <w:p>
      <w:pPr>
        <w:keepNext/>
        <w:keepLines/>
        <w:widowControl w:val="0"/>
        <w:snapToGrid w:val="0"/>
        <w:spacing w:before="0" w:after="0" w:line="360" w:lineRule="auto"/>
        <w:jc w:val="both"/>
        <w:outlineLvl w:val="2"/>
        <w:rPr>
          <w:rFonts w:hint="default" w:ascii="Times New Roman" w:hAnsi="Times New Roman" w:eastAsia="宋体" w:cs="Times New Roman"/>
          <w:b/>
          <w:bCs/>
          <w:color w:val="auto"/>
          <w:kern w:val="2"/>
          <w:sz w:val="24"/>
          <w:szCs w:val="24"/>
          <w:u w:val="single"/>
          <w:lang w:val="en-US" w:eastAsia="zh-CN" w:bidi="ar-SA"/>
        </w:rPr>
      </w:pPr>
      <w:r>
        <w:rPr>
          <w:rFonts w:hint="eastAsia" w:ascii="Times New Roman" w:hAnsi="Times New Roman" w:eastAsia="宋体" w:cs="Times New Roman"/>
          <w:b/>
          <w:bCs/>
          <w:color w:val="auto"/>
          <w:kern w:val="2"/>
          <w:sz w:val="24"/>
          <w:szCs w:val="24"/>
          <w:u w:val="single"/>
          <w:lang w:val="en-US" w:eastAsia="zh-CN" w:bidi="ar-SA"/>
        </w:rPr>
        <w:t>9.3.1</w:t>
      </w:r>
      <w:r>
        <w:rPr>
          <w:rFonts w:hint="default" w:ascii="Times New Roman" w:hAnsi="Times New Roman" w:eastAsia="宋体" w:cs="Times New Roman"/>
          <w:b/>
          <w:bCs/>
          <w:color w:val="auto"/>
          <w:kern w:val="2"/>
          <w:sz w:val="24"/>
          <w:szCs w:val="24"/>
          <w:u w:val="single"/>
          <w:lang w:val="en-US" w:eastAsia="zh-CN" w:bidi="ar-SA"/>
        </w:rPr>
        <w:t>施工期环境影响分析结论</w:t>
      </w:r>
    </w:p>
    <w:p>
      <w:pPr>
        <w:spacing w:line="360" w:lineRule="auto"/>
        <w:ind w:firstLine="496" w:firstLineChars="200"/>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（1）大气环境影响分析结论</w:t>
      </w:r>
    </w:p>
    <w:p>
      <w:pPr>
        <w:widowControl/>
        <w:spacing w:line="360" w:lineRule="auto"/>
        <w:ind w:firstLine="620" w:firstLineChars="250"/>
        <w:jc w:val="left"/>
        <w:rPr>
          <w:rFonts w:hint="default" w:ascii="Times New Roman" w:hAnsi="Times New Roman" w:eastAsia="宋体" w:cs="Times New Roman"/>
          <w:color w:val="auto"/>
          <w:kern w:val="0"/>
          <w:sz w:val="24"/>
          <w:u w:val="single"/>
        </w:rPr>
      </w:pPr>
      <w:r>
        <w:rPr>
          <w:rFonts w:hint="default" w:ascii="Times New Roman" w:hAnsi="Times New Roman" w:eastAsia="宋体" w:cs="Times New Roman"/>
          <w:color w:val="auto"/>
          <w:kern w:val="2"/>
          <w:sz w:val="24"/>
          <w:u w:val="single"/>
        </w:rPr>
        <w:t>项目建设施工过程中的大气污染主要来自于施工场地的扬尘。采取抑尘措施：施工场地洒水抑尘、配置工地细目滞尘防护网，采用商品混凝土，做到施工现场及场外道路泥土及时清理，减少二次扬尘。土石方、建筑材料运输过程中用蓬布遮盖，对途径道路两侧的空气环境影响相对较小。项目施工阶段挖掘机、装载机等燃油机械运行将产生一定量燃油废气，考虑其排放量不大，对周边环境空气质量影响范围及程度较小。</w:t>
      </w:r>
    </w:p>
    <w:p>
      <w:pPr>
        <w:spacing w:line="360" w:lineRule="auto"/>
        <w:ind w:firstLine="496" w:firstLineChars="200"/>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（2）水环境影响分析结论</w:t>
      </w:r>
    </w:p>
    <w:p>
      <w:pPr>
        <w:autoSpaceDE w:val="0"/>
        <w:autoSpaceDN w:val="0"/>
        <w:spacing w:line="360" w:lineRule="auto"/>
        <w:ind w:firstLine="496" w:firstLineChars="200"/>
        <w:jc w:val="left"/>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项目施工期废水主要是施工人员的生活污水和施工本身产生的生产废水，施工期生活污水经临时化粪池处理后用于周边菜地施肥，施工废水经沉淀后排入回用，对水环境的影响较小。施工单位要做好建筑材料和建筑废料的管理，防止它们成为地面水的二次污染源。在施工工地周围设置排水明沟，径流水经沉淀池沉淀后排放。</w:t>
      </w:r>
    </w:p>
    <w:p>
      <w:pPr>
        <w:spacing w:line="360" w:lineRule="auto"/>
        <w:ind w:firstLine="496" w:firstLineChars="200"/>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（3）噪声影响分析结论</w:t>
      </w:r>
    </w:p>
    <w:p>
      <w:pPr>
        <w:widowControl w:val="0"/>
        <w:spacing w:line="360" w:lineRule="auto"/>
        <w:ind w:firstLine="496" w:firstLineChars="200"/>
        <w:jc w:val="both"/>
        <w:rPr>
          <w:rFonts w:hint="default" w:ascii="Times New Roman" w:hAnsi="Times New Roman" w:eastAsia="宋体" w:cs="Times New Roman"/>
          <w:color w:val="auto"/>
          <w:kern w:val="2"/>
          <w:sz w:val="24"/>
          <w:szCs w:val="21"/>
          <w:u w:val="single"/>
          <w:lang w:val="en-US" w:eastAsia="zh-CN" w:bidi="ar-SA"/>
        </w:rPr>
      </w:pPr>
      <w:r>
        <w:rPr>
          <w:rFonts w:hint="default" w:ascii="Times New Roman" w:hAnsi="Times New Roman" w:eastAsia="宋体" w:cs="Times New Roman"/>
          <w:color w:val="auto"/>
          <w:kern w:val="2"/>
          <w:sz w:val="24"/>
          <w:szCs w:val="21"/>
          <w:u w:val="single"/>
          <w:lang w:val="en-US" w:eastAsia="zh-CN" w:bidi="ar-SA"/>
        </w:rPr>
        <w:t>施工期的噪声主要为机械噪声、施工作业噪声和施工车辆噪声。在施工期间，建设单位选用低噪声的施工机械，合理安排施工时间，避免在同一时间集中使用大量的动力机械设备，除必须连续作业的工序外，晚上不得施工。日常必须加强对施工人员的管理，减少人为原因产生的高噪声。在</w:t>
      </w:r>
      <w:r>
        <w:rPr>
          <w:rFonts w:hint="default" w:ascii="Times New Roman" w:hAnsi="Times New Roman" w:eastAsia="宋体" w:cs="Times New Roman"/>
          <w:bCs/>
          <w:color w:val="auto"/>
          <w:kern w:val="2"/>
          <w:sz w:val="24"/>
          <w:szCs w:val="21"/>
          <w:u w:val="single"/>
          <w:lang w:val="en-US" w:eastAsia="zh-CN" w:bidi="ar-SA"/>
        </w:rPr>
        <w:t>采取适当的工程和管理措施后，可缓解噪声对该区域环境的影响</w:t>
      </w:r>
      <w:r>
        <w:rPr>
          <w:rFonts w:hint="default" w:ascii="Times New Roman" w:hAnsi="Times New Roman" w:eastAsia="宋体" w:cs="Times New Roman"/>
          <w:b/>
          <w:bCs/>
          <w:color w:val="auto"/>
          <w:kern w:val="2"/>
          <w:sz w:val="24"/>
          <w:szCs w:val="21"/>
          <w:u w:val="single"/>
          <w:lang w:val="en-US" w:eastAsia="zh-CN" w:bidi="ar-SA"/>
        </w:rPr>
        <w:t>。</w:t>
      </w:r>
    </w:p>
    <w:p>
      <w:pPr>
        <w:spacing w:line="360" w:lineRule="auto"/>
        <w:ind w:firstLine="496" w:firstLineChars="200"/>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（4）固体废物影响分析结论</w:t>
      </w:r>
    </w:p>
    <w:p>
      <w:pPr>
        <w:spacing w:line="360" w:lineRule="auto"/>
        <w:ind w:firstLine="492" w:firstLineChars="199"/>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对建筑垃圾，尽量做到废物的回收利用，对其中的钢筋回收利用，多余建筑垃圾送往县渣土办指定地点堆放，采用汽车运输，运输过程采用覆盖物遮挡、路面洒水等措施防止运输扬尘污染，最大限度减轻对运输路线两侧的影响。外运弃土应按有关管理部门的指定地点堆存。弃土统一采用汽车运输，运输过程采用覆盖物遮挡、路面洒水等措施防止运输扬尘污染，最大限度减轻对运输路线两侧的影响。</w:t>
      </w:r>
    </w:p>
    <w:p>
      <w:pPr>
        <w:spacing w:line="360" w:lineRule="auto"/>
        <w:ind w:firstLine="496" w:firstLineChars="200"/>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（5）施工期生态影响分析结论</w:t>
      </w:r>
    </w:p>
    <w:p>
      <w:pPr>
        <w:spacing w:line="360" w:lineRule="auto"/>
        <w:ind w:firstLine="496" w:firstLineChars="200"/>
        <w:rPr>
          <w:rFonts w:hint="default" w:ascii="Times New Roman" w:hAnsi="Times New Roman" w:eastAsia="宋体" w:cs="Times New Roman"/>
          <w:color w:val="auto"/>
          <w:kern w:val="2"/>
          <w:sz w:val="24"/>
          <w:u w:val="single"/>
        </w:rPr>
      </w:pPr>
      <w:r>
        <w:rPr>
          <w:rFonts w:hint="default" w:ascii="Times New Roman" w:hAnsi="Times New Roman" w:eastAsia="宋体" w:cs="Times New Roman"/>
          <w:color w:val="auto"/>
          <w:kern w:val="2"/>
          <w:sz w:val="24"/>
          <w:u w:val="single"/>
        </w:rPr>
        <w:t>施工过程中采取设围栏，尽量避开雨季施工，减少下雨过程中造成的水土流失，并及时进行厂区绿化。采取以上措施后，项目施工期水土流失将有所降低，项目建设对环境的影响也将有所减小。</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.3.</w:t>
      </w:r>
      <w:r>
        <w:rPr>
          <w:rFonts w:hint="eastAsia" w:ascii="Times New Roman" w:eastAsia="宋体"/>
          <w:b/>
          <w:bCs/>
          <w:color w:val="auto"/>
          <w:kern w:val="2"/>
          <w:sz w:val="24"/>
          <w:lang w:val="en-US" w:eastAsia="zh-CN"/>
        </w:rPr>
        <w:t>2运营期</w:t>
      </w:r>
      <w:r>
        <w:rPr>
          <w:rFonts w:ascii="Times New Roman" w:eastAsia="宋体"/>
          <w:b/>
          <w:bCs/>
          <w:color w:val="auto"/>
          <w:kern w:val="2"/>
          <w:sz w:val="24"/>
        </w:rPr>
        <w:t>环境空气影响结论</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9</w:t>
      </w:r>
      <w:r>
        <w:rPr>
          <w:rFonts w:ascii="Times New Roman" w:eastAsia="宋体"/>
          <w:color w:val="auto"/>
          <w:sz w:val="24"/>
        </w:rPr>
        <w:t>.3.</w:t>
      </w:r>
      <w:r>
        <w:rPr>
          <w:rFonts w:hint="eastAsia" w:ascii="Times New Roman" w:eastAsia="宋体"/>
          <w:color w:val="auto"/>
          <w:sz w:val="24"/>
          <w:lang w:val="en-US" w:eastAsia="zh-CN"/>
        </w:rPr>
        <w:t>2</w:t>
      </w:r>
      <w:r>
        <w:rPr>
          <w:rFonts w:ascii="Times New Roman" w:eastAsia="宋体"/>
          <w:color w:val="auto"/>
          <w:sz w:val="24"/>
        </w:rPr>
        <w:t>.1</w:t>
      </w:r>
      <w:r>
        <w:rPr>
          <w:rFonts w:hint="eastAsia" w:ascii="Times New Roman" w:eastAsia="宋体"/>
          <w:color w:val="auto"/>
          <w:sz w:val="24"/>
        </w:rPr>
        <w:t>生物质成型燃料锅炉</w:t>
      </w:r>
      <w:r>
        <w:rPr>
          <w:rFonts w:ascii="Times New Roman" w:eastAsia="宋体"/>
          <w:color w:val="auto"/>
          <w:sz w:val="24"/>
        </w:rPr>
        <w:t>废气</w:t>
      </w:r>
    </w:p>
    <w:p>
      <w:pPr>
        <w:spacing w:line="360" w:lineRule="auto"/>
        <w:ind w:firstLine="496" w:firstLineChars="200"/>
        <w:rPr>
          <w:rFonts w:ascii="Times New Roman" w:eastAsia="宋体"/>
          <w:color w:val="auto"/>
        </w:rPr>
      </w:pPr>
      <w:r>
        <w:rPr>
          <w:rFonts w:ascii="Times New Roman" w:eastAsia="宋体"/>
          <w:color w:val="auto"/>
        </w:rPr>
        <w:t>本项目</w:t>
      </w:r>
      <w:r>
        <w:rPr>
          <w:rFonts w:hint="eastAsia" w:ascii="Times New Roman" w:eastAsia="宋体"/>
          <w:color w:val="auto"/>
        </w:rPr>
        <w:t>生物质成型燃料锅炉</w:t>
      </w:r>
      <w:r>
        <w:rPr>
          <w:rFonts w:ascii="Times New Roman" w:eastAsia="宋体"/>
          <w:color w:val="auto"/>
        </w:rPr>
        <w:t>排放的大气污染物颗粒物、SO</w:t>
      </w:r>
      <w:r>
        <w:rPr>
          <w:rFonts w:ascii="Times New Roman" w:eastAsia="宋体"/>
          <w:color w:val="auto"/>
          <w:vertAlign w:val="subscript"/>
        </w:rPr>
        <w:t>2</w:t>
      </w:r>
      <w:r>
        <w:rPr>
          <w:rFonts w:ascii="Times New Roman" w:eastAsia="宋体"/>
          <w:color w:val="auto"/>
        </w:rPr>
        <w:t>、NOx排放浓度满足《锅炉大气污染物排放标准》（GB13271-2014）表</w:t>
      </w:r>
      <w:r>
        <w:rPr>
          <w:rFonts w:hint="eastAsia" w:ascii="Times New Roman" w:eastAsia="宋体"/>
          <w:color w:val="auto"/>
        </w:rPr>
        <w:t>3</w:t>
      </w:r>
      <w:r>
        <w:rPr>
          <w:rFonts w:ascii="Times New Roman" w:eastAsia="宋体"/>
          <w:color w:val="auto"/>
        </w:rPr>
        <w:t>大气污染物</w:t>
      </w:r>
      <w:r>
        <w:rPr>
          <w:rFonts w:hint="eastAsia" w:ascii="Times New Roman" w:eastAsia="宋体"/>
          <w:color w:val="auto"/>
        </w:rPr>
        <w:t>特别</w:t>
      </w:r>
      <w:r>
        <w:rPr>
          <w:rFonts w:ascii="Times New Roman" w:eastAsia="宋体"/>
          <w:color w:val="auto"/>
        </w:rPr>
        <w:t>排放限值中燃煤锅炉的标准（SO</w:t>
      </w:r>
      <w:r>
        <w:rPr>
          <w:rFonts w:ascii="Times New Roman" w:eastAsia="宋体"/>
          <w:color w:val="auto"/>
          <w:vertAlign w:val="subscript"/>
        </w:rPr>
        <w:t>2</w:t>
      </w:r>
      <w:r>
        <w:rPr>
          <w:rFonts w:ascii="Times New Roman" w:eastAsia="宋体"/>
          <w:color w:val="auto"/>
        </w:rPr>
        <w:t>：</w:t>
      </w:r>
      <w:r>
        <w:rPr>
          <w:rFonts w:hint="eastAsia" w:ascii="Times New Roman" w:eastAsia="宋体"/>
          <w:color w:val="auto"/>
        </w:rPr>
        <w:t>2</w:t>
      </w:r>
      <w:r>
        <w:rPr>
          <w:rFonts w:ascii="Times New Roman" w:eastAsia="宋体"/>
          <w:color w:val="auto"/>
        </w:rPr>
        <w:t>00mg/m</w:t>
      </w:r>
      <w:r>
        <w:rPr>
          <w:rFonts w:ascii="Times New Roman" w:eastAsia="宋体"/>
          <w:color w:val="auto"/>
          <w:vertAlign w:val="superscript"/>
        </w:rPr>
        <w:t>3</w:t>
      </w:r>
      <w:r>
        <w:rPr>
          <w:rFonts w:ascii="Times New Roman" w:eastAsia="宋体"/>
          <w:color w:val="auto"/>
        </w:rPr>
        <w:t>，NOx：</w:t>
      </w:r>
      <w:r>
        <w:rPr>
          <w:rFonts w:hint="eastAsia" w:ascii="Times New Roman" w:eastAsia="宋体"/>
          <w:color w:val="auto"/>
        </w:rPr>
        <w:t>2</w:t>
      </w:r>
      <w:r>
        <w:rPr>
          <w:rFonts w:ascii="Times New Roman" w:eastAsia="宋体"/>
          <w:color w:val="auto"/>
        </w:rPr>
        <w:t>00mg/m</w:t>
      </w:r>
      <w:r>
        <w:rPr>
          <w:rFonts w:ascii="Times New Roman" w:eastAsia="宋体"/>
          <w:color w:val="auto"/>
          <w:vertAlign w:val="superscript"/>
        </w:rPr>
        <w:t>3</w:t>
      </w:r>
      <w:r>
        <w:rPr>
          <w:rFonts w:ascii="Times New Roman" w:eastAsia="宋体"/>
          <w:color w:val="auto"/>
        </w:rPr>
        <w:t>，颗粒物：</w:t>
      </w:r>
      <w:r>
        <w:rPr>
          <w:rFonts w:hint="eastAsia" w:ascii="Times New Roman" w:eastAsia="宋体"/>
          <w:color w:val="auto"/>
        </w:rPr>
        <w:t>3</w:t>
      </w:r>
      <w:r>
        <w:rPr>
          <w:rFonts w:ascii="Times New Roman" w:eastAsia="宋体"/>
          <w:color w:val="auto"/>
        </w:rPr>
        <w:t>0mg/m</w:t>
      </w:r>
      <w:r>
        <w:rPr>
          <w:rFonts w:ascii="Times New Roman" w:eastAsia="宋体"/>
          <w:color w:val="auto"/>
          <w:vertAlign w:val="superscript"/>
        </w:rPr>
        <w:t>3</w:t>
      </w:r>
      <w:r>
        <w:rPr>
          <w:rFonts w:ascii="Times New Roman" w:eastAsia="宋体"/>
          <w:color w:val="auto"/>
        </w:rPr>
        <w:t>）的要求。</w:t>
      </w:r>
    </w:p>
    <w:p>
      <w:pPr>
        <w:pStyle w:val="430"/>
        <w:snapToGrid w:val="0"/>
        <w:spacing w:line="360" w:lineRule="auto"/>
        <w:outlineLvl w:val="3"/>
        <w:rPr>
          <w:rFonts w:ascii="Times New Roman" w:eastAsia="宋体"/>
          <w:color w:val="auto"/>
          <w:sz w:val="24"/>
        </w:rPr>
      </w:pPr>
      <w:bookmarkStart w:id="590" w:name="_Toc270599302"/>
      <w:bookmarkStart w:id="591" w:name="_Toc263954752"/>
      <w:bookmarkStart w:id="592" w:name="_Toc253210740"/>
      <w:bookmarkStart w:id="593" w:name="_Toc263173494"/>
      <w:r>
        <w:rPr>
          <w:rFonts w:hint="eastAsia" w:ascii="Times New Roman" w:eastAsia="宋体"/>
          <w:color w:val="auto"/>
          <w:sz w:val="24"/>
        </w:rPr>
        <w:t>9</w:t>
      </w:r>
      <w:r>
        <w:rPr>
          <w:rFonts w:ascii="Times New Roman" w:eastAsia="宋体"/>
          <w:color w:val="auto"/>
          <w:sz w:val="24"/>
        </w:rPr>
        <w:t>.3.</w:t>
      </w:r>
      <w:r>
        <w:rPr>
          <w:rFonts w:hint="eastAsia" w:ascii="Times New Roman" w:eastAsia="宋体"/>
          <w:color w:val="auto"/>
          <w:sz w:val="24"/>
          <w:lang w:val="en-US" w:eastAsia="zh-CN"/>
        </w:rPr>
        <w:t>2</w:t>
      </w:r>
      <w:r>
        <w:rPr>
          <w:rFonts w:ascii="Times New Roman" w:eastAsia="宋体"/>
          <w:color w:val="auto"/>
          <w:sz w:val="24"/>
        </w:rPr>
        <w:t>.2食堂油烟</w:t>
      </w:r>
    </w:p>
    <w:p>
      <w:pPr>
        <w:spacing w:line="360" w:lineRule="auto"/>
        <w:ind w:firstLine="496" w:firstLineChars="200"/>
        <w:rPr>
          <w:rFonts w:ascii="Times New Roman" w:eastAsia="宋体"/>
          <w:color w:val="auto"/>
        </w:rPr>
      </w:pPr>
      <w:r>
        <w:rPr>
          <w:rFonts w:ascii="Times New Roman" w:eastAsia="宋体"/>
          <w:color w:val="auto"/>
        </w:rPr>
        <w:t>本项目食堂产生的油烟经过油烟净化装置处理后排放浓度满足《饮食业油烟排放标准（试行）》（GB18483-2001）最高允许排放浓度2.0 mg/m</w:t>
      </w:r>
      <w:r>
        <w:rPr>
          <w:rFonts w:ascii="Times New Roman" w:eastAsia="宋体"/>
          <w:color w:val="auto"/>
          <w:vertAlign w:val="superscript"/>
        </w:rPr>
        <w:t>3</w:t>
      </w:r>
      <w:r>
        <w:rPr>
          <w:rFonts w:ascii="Times New Roman" w:eastAsia="宋体"/>
          <w:color w:val="auto"/>
        </w:rPr>
        <w:t>的标准要求。</w:t>
      </w:r>
    </w:p>
    <w:p>
      <w:pPr>
        <w:pStyle w:val="430"/>
        <w:snapToGrid w:val="0"/>
        <w:spacing w:line="360" w:lineRule="auto"/>
        <w:outlineLvl w:val="3"/>
        <w:rPr>
          <w:rFonts w:ascii="Times New Roman" w:eastAsia="宋体"/>
          <w:color w:val="auto"/>
          <w:sz w:val="24"/>
        </w:rPr>
      </w:pPr>
      <w:r>
        <w:rPr>
          <w:rFonts w:hint="eastAsia" w:ascii="Times New Roman" w:eastAsia="宋体"/>
          <w:color w:val="auto"/>
          <w:sz w:val="24"/>
        </w:rPr>
        <w:t>9</w:t>
      </w:r>
      <w:r>
        <w:rPr>
          <w:rFonts w:ascii="Times New Roman" w:eastAsia="宋体"/>
          <w:color w:val="auto"/>
          <w:sz w:val="24"/>
        </w:rPr>
        <w:t>.3.</w:t>
      </w:r>
      <w:r>
        <w:rPr>
          <w:rFonts w:hint="eastAsia" w:ascii="Times New Roman" w:eastAsia="宋体"/>
          <w:color w:val="auto"/>
          <w:sz w:val="24"/>
          <w:lang w:val="en-US" w:eastAsia="zh-CN"/>
        </w:rPr>
        <w:t>2</w:t>
      </w:r>
      <w:r>
        <w:rPr>
          <w:rFonts w:ascii="Times New Roman" w:eastAsia="宋体"/>
          <w:color w:val="auto"/>
          <w:sz w:val="24"/>
        </w:rPr>
        <w:t>.3恶臭</w:t>
      </w:r>
    </w:p>
    <w:p>
      <w:pPr>
        <w:spacing w:line="360" w:lineRule="auto"/>
        <w:ind w:firstLine="496" w:firstLineChars="200"/>
        <w:rPr>
          <w:rFonts w:ascii="Times New Roman" w:eastAsia="宋体"/>
          <w:color w:val="auto"/>
        </w:rPr>
      </w:pPr>
      <w:r>
        <w:rPr>
          <w:rFonts w:ascii="Times New Roman" w:eastAsia="宋体"/>
          <w:color w:val="auto"/>
        </w:rPr>
        <w:t>本项目恶臭气体主要为鸡舍</w:t>
      </w:r>
      <w:r>
        <w:rPr>
          <w:rFonts w:hint="eastAsia" w:ascii="Times New Roman" w:eastAsia="宋体"/>
          <w:color w:val="auto"/>
        </w:rPr>
        <w:t>、污水沉淀池</w:t>
      </w:r>
      <w:r>
        <w:rPr>
          <w:rFonts w:ascii="Times New Roman" w:eastAsia="宋体"/>
          <w:color w:val="auto"/>
        </w:rPr>
        <w:t>产生的恶臭废气，通过采取</w:t>
      </w:r>
      <w:r>
        <w:rPr>
          <w:rFonts w:hint="eastAsia" w:ascii="Times New Roman" w:eastAsia="宋体"/>
          <w:color w:val="auto"/>
        </w:rPr>
        <w:t>水帘除臭、</w:t>
      </w:r>
      <w:r>
        <w:rPr>
          <w:rFonts w:ascii="Times New Roman" w:eastAsia="宋体"/>
          <w:color w:val="auto"/>
        </w:rPr>
        <w:t>喷洒除臭剂等有效措施降低恶臭气体的产生和排放，NH</w:t>
      </w:r>
      <w:r>
        <w:rPr>
          <w:rFonts w:ascii="Times New Roman" w:eastAsia="宋体"/>
          <w:color w:val="auto"/>
          <w:vertAlign w:val="subscript"/>
        </w:rPr>
        <w:t>3</w:t>
      </w:r>
      <w:r>
        <w:rPr>
          <w:rFonts w:ascii="Times New Roman" w:eastAsia="宋体"/>
          <w:color w:val="auto"/>
        </w:rPr>
        <w:t>、H</w:t>
      </w:r>
      <w:r>
        <w:rPr>
          <w:rFonts w:ascii="Times New Roman" w:eastAsia="宋体"/>
          <w:color w:val="auto"/>
          <w:vertAlign w:val="subscript"/>
        </w:rPr>
        <w:t>2</w:t>
      </w:r>
      <w:r>
        <w:rPr>
          <w:rFonts w:ascii="Times New Roman" w:eastAsia="宋体"/>
          <w:color w:val="auto"/>
        </w:rPr>
        <w:t>S及臭气浓度厂界标准值能够满足《恶臭污染物排放标准》（GB14554-93）和《畜禽养殖业污染物排放标准》（GB18596-2001）中相关标准要求</w:t>
      </w:r>
      <w:r>
        <w:rPr>
          <w:rFonts w:hint="eastAsia" w:ascii="Times New Roman" w:eastAsia="宋体"/>
          <w:color w:val="auto"/>
        </w:rPr>
        <w:t>。</w:t>
      </w:r>
    </w:p>
    <w:bookmarkEnd w:id="590"/>
    <w:bookmarkEnd w:id="591"/>
    <w:bookmarkEnd w:id="592"/>
    <w:bookmarkEnd w:id="593"/>
    <w:p>
      <w:pPr>
        <w:pStyle w:val="4"/>
        <w:spacing w:before="0" w:after="0" w:line="360" w:lineRule="auto"/>
        <w:rPr>
          <w:rFonts w:ascii="Times New Roman" w:eastAsia="宋体"/>
          <w:b/>
          <w:bCs/>
          <w:color w:val="auto"/>
          <w:kern w:val="2"/>
          <w:sz w:val="24"/>
        </w:rPr>
      </w:pPr>
      <w:bookmarkStart w:id="594" w:name="_Toc397698138"/>
      <w:r>
        <w:rPr>
          <w:rFonts w:hint="eastAsia" w:ascii="Times New Roman" w:eastAsia="宋体"/>
          <w:b/>
          <w:bCs/>
          <w:color w:val="auto"/>
          <w:kern w:val="2"/>
          <w:sz w:val="24"/>
        </w:rPr>
        <w:t>9</w:t>
      </w:r>
      <w:r>
        <w:rPr>
          <w:rFonts w:ascii="Times New Roman" w:eastAsia="宋体"/>
          <w:b/>
          <w:bCs/>
          <w:color w:val="auto"/>
          <w:kern w:val="2"/>
          <w:sz w:val="24"/>
        </w:rPr>
        <w:t>.3.</w:t>
      </w:r>
      <w:r>
        <w:rPr>
          <w:rFonts w:hint="eastAsia" w:ascii="Times New Roman" w:eastAsia="宋体"/>
          <w:b/>
          <w:bCs/>
          <w:color w:val="auto"/>
          <w:kern w:val="2"/>
          <w:sz w:val="24"/>
          <w:lang w:val="en-US" w:eastAsia="zh-CN"/>
        </w:rPr>
        <w:t>3运营期</w:t>
      </w:r>
      <w:r>
        <w:rPr>
          <w:rFonts w:ascii="Times New Roman" w:eastAsia="宋体"/>
          <w:b/>
          <w:bCs/>
          <w:color w:val="auto"/>
          <w:kern w:val="2"/>
          <w:sz w:val="24"/>
        </w:rPr>
        <w:t>地表水环境影响评价结论</w:t>
      </w:r>
    </w:p>
    <w:p>
      <w:pPr>
        <w:spacing w:line="360" w:lineRule="auto"/>
        <w:ind w:firstLine="496" w:firstLineChars="200"/>
        <w:rPr>
          <w:rFonts w:ascii="Times New Roman" w:eastAsia="宋体"/>
          <w:color w:val="auto"/>
        </w:rPr>
      </w:pPr>
      <w:r>
        <w:rPr>
          <w:rFonts w:ascii="Times New Roman" w:eastAsia="宋体"/>
          <w:color w:val="auto"/>
        </w:rPr>
        <w:t>本项目废水主要来自生活污水、</w:t>
      </w:r>
      <w:r>
        <w:rPr>
          <w:rFonts w:hint="eastAsia" w:ascii="Times New Roman" w:eastAsia="宋体"/>
          <w:color w:val="auto"/>
        </w:rPr>
        <w:t>鸡舍冲洗水</w:t>
      </w:r>
      <w:r>
        <w:rPr>
          <w:rFonts w:ascii="Times New Roman" w:eastAsia="宋体"/>
          <w:color w:val="auto"/>
        </w:rPr>
        <w:t>和锅炉排水等</w:t>
      </w:r>
      <w:r>
        <w:rPr>
          <w:rFonts w:hint="eastAsia" w:ascii="Times New Roman" w:eastAsia="宋体"/>
          <w:color w:val="auto"/>
        </w:rPr>
        <w:t>。本项目采取雨污分流的排水体制，</w:t>
      </w:r>
      <w:r>
        <w:rPr>
          <w:rFonts w:ascii="Times New Roman" w:eastAsia="宋体"/>
          <w:color w:val="auto"/>
        </w:rPr>
        <w:t>锅炉</w:t>
      </w:r>
      <w:r>
        <w:rPr>
          <w:rFonts w:hint="eastAsia" w:ascii="Times New Roman" w:eastAsia="宋体"/>
          <w:color w:val="auto"/>
        </w:rPr>
        <w:t>取暖结束后少量</w:t>
      </w:r>
      <w:r>
        <w:rPr>
          <w:rFonts w:ascii="Times New Roman" w:eastAsia="宋体"/>
          <w:color w:val="auto"/>
        </w:rPr>
        <w:t>排</w:t>
      </w:r>
      <w:r>
        <w:rPr>
          <w:rFonts w:hint="eastAsia" w:ascii="Times New Roman" w:eastAsia="宋体"/>
          <w:color w:val="auto"/>
        </w:rPr>
        <w:t>污</w:t>
      </w:r>
      <w:r>
        <w:rPr>
          <w:rFonts w:ascii="Times New Roman" w:eastAsia="宋体"/>
          <w:color w:val="auto"/>
        </w:rPr>
        <w:t>水</w:t>
      </w:r>
      <w:r>
        <w:rPr>
          <w:rFonts w:hint="eastAsia" w:ascii="Times New Roman" w:eastAsia="宋体"/>
          <w:color w:val="auto"/>
        </w:rPr>
        <w:t>用于洒水抑尘，不外排；生活污水经化粪池处理后，与</w:t>
      </w:r>
      <w:r>
        <w:rPr>
          <w:rFonts w:ascii="Times New Roman" w:eastAsia="宋体"/>
          <w:color w:val="auto"/>
        </w:rPr>
        <w:t>鸡舍冲洗废水</w:t>
      </w:r>
      <w:r>
        <w:rPr>
          <w:rFonts w:hint="eastAsia" w:ascii="Times New Roman" w:eastAsia="宋体"/>
          <w:color w:val="auto"/>
        </w:rPr>
        <w:t>和水帘除臭废水一并</w:t>
      </w:r>
      <w:r>
        <w:rPr>
          <w:rFonts w:ascii="Times New Roman" w:eastAsia="宋体"/>
          <w:color w:val="auto"/>
        </w:rPr>
        <w:t>排入</w:t>
      </w:r>
      <w:r>
        <w:rPr>
          <w:rFonts w:hint="eastAsia" w:ascii="Times New Roman" w:eastAsia="宋体"/>
          <w:color w:val="auto"/>
        </w:rPr>
        <w:t>场区污水沉淀池</w:t>
      </w:r>
      <w:r>
        <w:rPr>
          <w:rFonts w:ascii="Times New Roman" w:eastAsia="宋体"/>
          <w:color w:val="auto"/>
        </w:rPr>
        <w:t>，</w:t>
      </w:r>
      <w:r>
        <w:rPr>
          <w:rFonts w:hint="eastAsia" w:ascii="Times New Roman" w:eastAsia="宋体"/>
          <w:color w:val="auto"/>
        </w:rPr>
        <w:t>后委托湖南春雨生物科技有限公司用密闭槽罐车运送至新华养殖场污水处理站处理，达标后排入东侧水塘进一步沉淀净化，后用于周边农林地浇灌，</w:t>
      </w:r>
      <w:r>
        <w:rPr>
          <w:rFonts w:ascii="Times New Roman" w:eastAsia="宋体"/>
          <w:color w:val="auto"/>
        </w:rPr>
        <w:t>本项目废水均不外排。</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.3.</w:t>
      </w:r>
      <w:r>
        <w:rPr>
          <w:rFonts w:hint="eastAsia" w:ascii="Times New Roman" w:eastAsia="宋体"/>
          <w:b/>
          <w:bCs/>
          <w:color w:val="auto"/>
          <w:kern w:val="2"/>
          <w:sz w:val="24"/>
          <w:lang w:val="en-US" w:eastAsia="zh-CN"/>
        </w:rPr>
        <w:t>4运营期</w:t>
      </w:r>
      <w:r>
        <w:rPr>
          <w:rFonts w:ascii="Times New Roman" w:eastAsia="宋体"/>
          <w:b/>
          <w:bCs/>
          <w:color w:val="auto"/>
          <w:kern w:val="2"/>
          <w:sz w:val="24"/>
        </w:rPr>
        <w:t>地下水环境影响评价结论</w:t>
      </w:r>
    </w:p>
    <w:p>
      <w:pPr>
        <w:spacing w:line="360" w:lineRule="auto"/>
        <w:ind w:firstLine="496" w:firstLineChars="200"/>
        <w:rPr>
          <w:rFonts w:ascii="Times New Roman" w:eastAsia="宋体"/>
          <w:color w:val="auto"/>
        </w:rPr>
      </w:pPr>
      <w:r>
        <w:rPr>
          <w:rFonts w:ascii="Times New Roman" w:eastAsia="宋体"/>
          <w:color w:val="auto"/>
        </w:rPr>
        <w:t>在建设单位严格按照本次评价提出的防渗措施对各单元进行治理后，各单元的渗透系数均较低，本项目废水、固废向地下水发生渗透的概率较小，同时本项目取用地下水较小，影响范围主要为项目场界内。</w:t>
      </w:r>
    </w:p>
    <w:p>
      <w:pPr>
        <w:spacing w:line="360" w:lineRule="auto"/>
        <w:ind w:firstLine="496" w:firstLineChars="200"/>
        <w:rPr>
          <w:rFonts w:ascii="Times New Roman" w:eastAsia="宋体"/>
          <w:color w:val="auto"/>
        </w:rPr>
      </w:pPr>
      <w:r>
        <w:rPr>
          <w:rFonts w:ascii="Times New Roman" w:eastAsia="宋体"/>
          <w:color w:val="auto"/>
        </w:rPr>
        <w:t>由污染途径及对应措施分析可知，项目对可能产生地下水影响的各项途径均进行有效预防，在确保各项防渗措施得以落实，并加强维护和</w:t>
      </w:r>
      <w:r>
        <w:rPr>
          <w:rFonts w:hint="eastAsia" w:ascii="Times New Roman" w:eastAsia="宋体"/>
          <w:color w:val="auto"/>
        </w:rPr>
        <w:t>场区</w:t>
      </w:r>
      <w:r>
        <w:rPr>
          <w:rFonts w:ascii="Times New Roman" w:eastAsia="宋体"/>
          <w:color w:val="auto"/>
        </w:rPr>
        <w:t>环境管理的前提下，可有效控制项目产生的污染物下渗现象，对区域地下水产生的不利影响较小。</w:t>
      </w:r>
    </w:p>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.3.</w:t>
      </w:r>
      <w:r>
        <w:rPr>
          <w:rFonts w:hint="eastAsia" w:ascii="Times New Roman" w:eastAsia="宋体"/>
          <w:b/>
          <w:bCs/>
          <w:color w:val="auto"/>
          <w:kern w:val="2"/>
          <w:sz w:val="24"/>
          <w:lang w:val="en-US" w:eastAsia="zh-CN"/>
        </w:rPr>
        <w:t>5运营期</w:t>
      </w:r>
      <w:r>
        <w:rPr>
          <w:rFonts w:ascii="Times New Roman" w:eastAsia="宋体"/>
          <w:b/>
          <w:bCs/>
          <w:color w:val="auto"/>
          <w:kern w:val="2"/>
          <w:sz w:val="24"/>
        </w:rPr>
        <w:t>声环境影响评价结论</w:t>
      </w:r>
    </w:p>
    <w:p>
      <w:pPr>
        <w:spacing w:line="360" w:lineRule="auto"/>
        <w:ind w:firstLine="496" w:firstLineChars="200"/>
        <w:rPr>
          <w:rFonts w:ascii="Times New Roman" w:eastAsia="宋体"/>
          <w:color w:val="auto"/>
        </w:rPr>
      </w:pPr>
      <w:r>
        <w:rPr>
          <w:rFonts w:ascii="Times New Roman" w:eastAsia="宋体"/>
          <w:color w:val="auto"/>
        </w:rPr>
        <w:t>本项目</w:t>
      </w:r>
      <w:bookmarkStart w:id="595" w:name="_Toc253210741"/>
      <w:bookmarkStart w:id="596" w:name="_Toc270599305"/>
      <w:r>
        <w:rPr>
          <w:rFonts w:ascii="Times New Roman" w:eastAsia="宋体"/>
          <w:color w:val="auto"/>
        </w:rPr>
        <w:t>噪声源强不高，企业采取低噪声设备、减震隔声、合理布局、广种植物等防治措施后，项目场界噪声均能满足《工业企业厂界环境噪声排放标准》中</w:t>
      </w:r>
      <w:r>
        <w:rPr>
          <w:rFonts w:hint="eastAsia" w:ascii="Times New Roman" w:eastAsia="宋体"/>
          <w:color w:val="auto"/>
        </w:rPr>
        <w:t>2</w:t>
      </w:r>
      <w:r>
        <w:rPr>
          <w:rFonts w:ascii="Times New Roman" w:eastAsia="宋体"/>
          <w:color w:val="auto"/>
        </w:rPr>
        <w:t>类功能区限值要求，对周边声环境影响较小。</w:t>
      </w:r>
    </w:p>
    <w:bookmarkEnd w:id="595"/>
    <w:bookmarkEnd w:id="596"/>
    <w:p>
      <w:pPr>
        <w:pStyle w:val="4"/>
        <w:spacing w:before="0" w:after="0" w:line="360" w:lineRule="auto"/>
        <w:rPr>
          <w:rFonts w:ascii="Times New Roman" w:eastAsia="宋体"/>
          <w:b/>
          <w:bCs/>
          <w:color w:val="auto"/>
          <w:kern w:val="2"/>
          <w:sz w:val="24"/>
        </w:rPr>
      </w:pPr>
      <w:r>
        <w:rPr>
          <w:rFonts w:hint="eastAsia" w:ascii="Times New Roman" w:eastAsia="宋体"/>
          <w:b/>
          <w:bCs/>
          <w:color w:val="auto"/>
          <w:kern w:val="2"/>
          <w:sz w:val="24"/>
        </w:rPr>
        <w:t>9</w:t>
      </w:r>
      <w:r>
        <w:rPr>
          <w:rFonts w:ascii="Times New Roman" w:eastAsia="宋体"/>
          <w:b/>
          <w:bCs/>
          <w:color w:val="auto"/>
          <w:kern w:val="2"/>
          <w:sz w:val="24"/>
        </w:rPr>
        <w:t>.3.</w:t>
      </w:r>
      <w:r>
        <w:rPr>
          <w:rFonts w:hint="eastAsia" w:ascii="Times New Roman" w:eastAsia="宋体"/>
          <w:b/>
          <w:bCs/>
          <w:color w:val="auto"/>
          <w:kern w:val="2"/>
          <w:sz w:val="24"/>
          <w:lang w:val="en-US" w:eastAsia="zh-CN"/>
        </w:rPr>
        <w:t>6运营期</w:t>
      </w:r>
      <w:r>
        <w:rPr>
          <w:rFonts w:ascii="Times New Roman" w:eastAsia="宋体"/>
          <w:b/>
          <w:bCs/>
          <w:color w:val="auto"/>
          <w:kern w:val="2"/>
          <w:sz w:val="24"/>
        </w:rPr>
        <w:t>固体废物环境影响评价结论</w:t>
      </w:r>
    </w:p>
    <w:p>
      <w:pPr>
        <w:adjustRightInd w:val="0"/>
        <w:snapToGrid w:val="0"/>
        <w:spacing w:line="360" w:lineRule="auto"/>
        <w:ind w:firstLine="496" w:firstLineChars="200"/>
        <w:rPr>
          <w:rFonts w:ascii="Times New Roman" w:eastAsia="宋体"/>
          <w:color w:val="auto"/>
        </w:rPr>
      </w:pPr>
      <w:r>
        <w:rPr>
          <w:rFonts w:ascii="Times New Roman" w:eastAsia="宋体"/>
          <w:color w:val="auto"/>
        </w:rPr>
        <w:t>建设项目投产后，固废废物主要包括鸡粪、</w:t>
      </w:r>
      <w:r>
        <w:rPr>
          <w:rFonts w:hint="eastAsia" w:ascii="Times New Roman" w:eastAsia="宋体"/>
          <w:color w:val="auto"/>
        </w:rPr>
        <w:t>锅炉灰渣</w:t>
      </w:r>
      <w:r>
        <w:rPr>
          <w:rFonts w:ascii="Times New Roman" w:eastAsia="宋体"/>
          <w:color w:val="auto"/>
        </w:rPr>
        <w:t>、</w:t>
      </w:r>
      <w:r>
        <w:rPr>
          <w:rFonts w:hint="eastAsia" w:ascii="Times New Roman" w:eastAsia="宋体"/>
          <w:color w:val="auto"/>
        </w:rPr>
        <w:t>废布袋及生物质灰、</w:t>
      </w:r>
      <w:r>
        <w:rPr>
          <w:rFonts w:ascii="Times New Roman" w:eastAsia="宋体"/>
          <w:color w:val="auto"/>
        </w:rPr>
        <w:t>病死鸡、</w:t>
      </w:r>
      <w:r>
        <w:rPr>
          <w:rFonts w:hint="eastAsia" w:ascii="Times New Roman" w:eastAsia="宋体"/>
          <w:color w:val="auto"/>
        </w:rPr>
        <w:t>沉淀池污泥、物料废包装物、</w:t>
      </w:r>
      <w:r>
        <w:rPr>
          <w:rFonts w:ascii="Times New Roman" w:eastAsia="宋体"/>
          <w:color w:val="auto"/>
        </w:rPr>
        <w:t>职工生活垃圾</w:t>
      </w:r>
      <w:r>
        <w:rPr>
          <w:rFonts w:hint="eastAsia" w:ascii="Times New Roman" w:eastAsia="宋体"/>
          <w:color w:val="auto"/>
        </w:rPr>
        <w:t>及医疗废物</w:t>
      </w:r>
      <w:r>
        <w:rPr>
          <w:rFonts w:ascii="Times New Roman" w:eastAsia="宋体"/>
          <w:color w:val="auto"/>
        </w:rPr>
        <w:t>等。</w:t>
      </w:r>
      <w:r>
        <w:rPr>
          <w:rFonts w:hint="eastAsia" w:ascii="Times New Roman" w:eastAsia="宋体"/>
          <w:color w:val="auto"/>
        </w:rPr>
        <w:t>均妥善处置，不外排</w:t>
      </w:r>
      <w:r>
        <w:rPr>
          <w:rFonts w:ascii="Times New Roman" w:eastAsia="宋体"/>
          <w:color w:val="auto"/>
          <w:szCs w:val="24"/>
        </w:rPr>
        <w:t>，不会对周围环境产生明显影响。</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597" w:name="_Toc3250"/>
      <w:bookmarkStart w:id="598" w:name="_Toc430597589"/>
      <w:bookmarkStart w:id="599" w:name="_Toc6138"/>
      <w:bookmarkStart w:id="600" w:name="_Toc397698137"/>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.4 污染防治对策与措施</w:t>
      </w:r>
      <w:bookmarkEnd w:id="597"/>
      <w:bookmarkEnd w:id="598"/>
      <w:bookmarkEnd w:id="599"/>
      <w:bookmarkEnd w:id="600"/>
      <w:r>
        <w:rPr>
          <w:rFonts w:ascii="Times New Roman" w:hAnsi="Times New Roman" w:eastAsia="宋体"/>
          <w:color w:val="auto"/>
          <w:kern w:val="2"/>
          <w:sz w:val="28"/>
          <w:szCs w:val="28"/>
        </w:rPr>
        <w:tab/>
      </w:r>
    </w:p>
    <w:p>
      <w:pPr>
        <w:pStyle w:val="4"/>
        <w:spacing w:before="0" w:after="0" w:line="360" w:lineRule="auto"/>
        <w:rPr>
          <w:rFonts w:ascii="Times New Roman" w:eastAsia="宋体"/>
          <w:b/>
          <w:bCs/>
          <w:color w:val="auto"/>
          <w:kern w:val="2"/>
          <w:sz w:val="24"/>
        </w:rPr>
      </w:pPr>
      <w:bookmarkStart w:id="601" w:name="_Toc26469"/>
      <w:bookmarkStart w:id="602" w:name="_Toc18755"/>
      <w:r>
        <w:rPr>
          <w:rFonts w:hint="eastAsia" w:ascii="Times New Roman" w:eastAsia="宋体"/>
          <w:b/>
          <w:bCs/>
          <w:color w:val="auto"/>
          <w:kern w:val="2"/>
          <w:sz w:val="24"/>
        </w:rPr>
        <w:t>9</w:t>
      </w:r>
      <w:r>
        <w:rPr>
          <w:rFonts w:ascii="Times New Roman" w:eastAsia="宋体"/>
          <w:b/>
          <w:bCs/>
          <w:color w:val="auto"/>
          <w:kern w:val="2"/>
          <w:sz w:val="24"/>
        </w:rPr>
        <w:t>.4.1废气</w:t>
      </w:r>
      <w:bookmarkEnd w:id="601"/>
      <w:bookmarkEnd w:id="602"/>
    </w:p>
    <w:p>
      <w:pPr>
        <w:pStyle w:val="173"/>
        <w:ind w:firstLine="497"/>
        <w:rPr>
          <w:rFonts w:ascii="Times New Roman" w:eastAsia="宋体"/>
          <w:color w:val="auto"/>
        </w:rPr>
      </w:pPr>
      <w:r>
        <w:rPr>
          <w:rFonts w:hint="eastAsia" w:ascii="Times New Roman" w:eastAsia="宋体"/>
          <w:color w:val="auto"/>
        </w:rPr>
        <w:t>（1）锅炉废气</w:t>
      </w:r>
    </w:p>
    <w:p>
      <w:pPr>
        <w:pStyle w:val="173"/>
        <w:ind w:firstLine="497"/>
        <w:rPr>
          <w:rFonts w:ascii="Times New Roman" w:eastAsia="宋体"/>
          <w:color w:val="auto"/>
        </w:rPr>
      </w:pPr>
      <w:r>
        <w:rPr>
          <w:rFonts w:hint="eastAsia" w:ascii="Times New Roman" w:eastAsia="宋体"/>
          <w:color w:val="auto"/>
        </w:rPr>
        <w:t>生物质成型燃料锅炉各自</w:t>
      </w:r>
      <w:r>
        <w:rPr>
          <w:rFonts w:ascii="Times New Roman" w:eastAsia="宋体"/>
          <w:color w:val="auto"/>
        </w:rPr>
        <w:t>安装</w:t>
      </w:r>
      <w:r>
        <w:rPr>
          <w:rFonts w:hint="eastAsia" w:ascii="Times New Roman" w:eastAsia="宋体"/>
          <w:color w:val="auto"/>
        </w:rPr>
        <w:t>一</w:t>
      </w:r>
      <w:r>
        <w:rPr>
          <w:rFonts w:ascii="Times New Roman" w:eastAsia="宋体"/>
          <w:color w:val="auto"/>
        </w:rPr>
        <w:t>台布袋除尘器，除尘效率为9</w:t>
      </w:r>
      <w:r>
        <w:rPr>
          <w:rFonts w:hint="eastAsia" w:ascii="Times New Roman" w:eastAsia="宋体"/>
          <w:color w:val="auto"/>
          <w:lang w:val="en-US" w:eastAsia="zh-CN"/>
        </w:rPr>
        <w:t>0</w:t>
      </w:r>
      <w:r>
        <w:rPr>
          <w:rFonts w:ascii="Times New Roman" w:eastAsia="宋体"/>
          <w:color w:val="auto"/>
        </w:rPr>
        <w:t>%，经布袋除尘器处理后</w:t>
      </w:r>
      <w:r>
        <w:rPr>
          <w:rFonts w:hint="eastAsia" w:ascii="Times New Roman" w:eastAsia="宋体"/>
          <w:color w:val="auto"/>
        </w:rPr>
        <w:t>颗粒物</w:t>
      </w:r>
      <w:r>
        <w:rPr>
          <w:rFonts w:ascii="Times New Roman" w:eastAsia="宋体"/>
          <w:color w:val="auto"/>
        </w:rPr>
        <w:t>的排放浓度符合《锅炉大气污染物排放标准》（GB13271-2014）表</w:t>
      </w:r>
      <w:r>
        <w:rPr>
          <w:rFonts w:hint="eastAsia" w:ascii="Times New Roman" w:eastAsia="宋体"/>
          <w:color w:val="auto"/>
        </w:rPr>
        <w:t>3大气污染物特别排放限值中</w:t>
      </w:r>
      <w:r>
        <w:rPr>
          <w:rFonts w:ascii="Times New Roman" w:eastAsia="宋体"/>
          <w:color w:val="auto"/>
        </w:rPr>
        <w:t>燃煤锅炉的标准，项目</w:t>
      </w:r>
      <w:r>
        <w:rPr>
          <w:rFonts w:hint="eastAsia" w:ascii="Times New Roman" w:eastAsia="宋体"/>
          <w:color w:val="auto"/>
        </w:rPr>
        <w:t>共2台1t/h生物质成型燃料锅炉，</w:t>
      </w:r>
      <w:r>
        <w:rPr>
          <w:rFonts w:ascii="Times New Roman" w:eastAsia="宋体"/>
          <w:color w:val="auto"/>
        </w:rPr>
        <w:t>每台</w:t>
      </w:r>
      <w:r>
        <w:rPr>
          <w:rFonts w:hint="eastAsia" w:ascii="Times New Roman" w:eastAsia="宋体"/>
          <w:color w:val="auto"/>
        </w:rPr>
        <w:t>生物质成型燃料锅炉</w:t>
      </w:r>
      <w:r>
        <w:rPr>
          <w:rFonts w:ascii="Times New Roman" w:eastAsia="宋体"/>
          <w:color w:val="auto"/>
        </w:rPr>
        <w:t>产生的烟气均配套</w:t>
      </w:r>
      <w:r>
        <w:rPr>
          <w:rFonts w:hint="eastAsia" w:ascii="Times New Roman" w:eastAsia="宋体"/>
          <w:color w:val="auto"/>
        </w:rPr>
        <w:t>1</w:t>
      </w:r>
      <w:r>
        <w:rPr>
          <w:rFonts w:ascii="Times New Roman" w:eastAsia="宋体"/>
          <w:color w:val="auto"/>
        </w:rPr>
        <w:t>套布袋除尘器</w:t>
      </w:r>
      <w:r>
        <w:rPr>
          <w:rFonts w:hint="eastAsia" w:ascii="Times New Roman" w:eastAsia="宋体"/>
          <w:color w:val="auto"/>
        </w:rPr>
        <w:t>，后一并经过</w:t>
      </w:r>
      <w:r>
        <w:rPr>
          <w:rFonts w:ascii="Times New Roman" w:eastAsia="宋体"/>
          <w:color w:val="auto"/>
        </w:rPr>
        <w:t>1根</w:t>
      </w:r>
      <w:r>
        <w:rPr>
          <w:rFonts w:hint="eastAsia" w:ascii="Times New Roman" w:eastAsia="宋体"/>
          <w:color w:val="auto"/>
        </w:rPr>
        <w:t>30</w:t>
      </w:r>
      <w:r>
        <w:rPr>
          <w:rFonts w:ascii="Times New Roman" w:eastAsia="宋体"/>
          <w:color w:val="auto"/>
        </w:rPr>
        <w:t>m高的排气筒排放。</w:t>
      </w:r>
    </w:p>
    <w:p>
      <w:pPr>
        <w:pStyle w:val="173"/>
        <w:ind w:firstLine="497"/>
        <w:rPr>
          <w:rFonts w:ascii="Times New Roman" w:eastAsia="宋体"/>
          <w:color w:val="auto"/>
        </w:rPr>
      </w:pPr>
      <w:r>
        <w:rPr>
          <w:rFonts w:hint="eastAsia" w:ascii="Times New Roman" w:eastAsia="宋体"/>
          <w:color w:val="auto"/>
        </w:rPr>
        <w:t>（2）无组织恶臭</w:t>
      </w:r>
    </w:p>
    <w:p>
      <w:pPr>
        <w:spacing w:line="360" w:lineRule="auto"/>
        <w:ind w:firstLine="496" w:firstLineChars="200"/>
        <w:rPr>
          <w:rFonts w:ascii="Times New Roman" w:eastAsia="宋体"/>
          <w:color w:val="auto"/>
        </w:rPr>
      </w:pPr>
      <w:r>
        <w:rPr>
          <w:rFonts w:ascii="Times New Roman" w:eastAsia="宋体"/>
          <w:color w:val="auto"/>
        </w:rPr>
        <w:t>鸡舍恶臭气体采取的措施有：</w:t>
      </w:r>
    </w:p>
    <w:p>
      <w:pPr>
        <w:spacing w:line="360" w:lineRule="auto"/>
        <w:ind w:firstLine="496" w:firstLineChars="200"/>
        <w:rPr>
          <w:rFonts w:ascii="Times New Roman" w:eastAsia="宋体"/>
          <w:color w:val="auto"/>
        </w:rPr>
      </w:pPr>
      <w:r>
        <w:rPr>
          <w:rFonts w:ascii="Times New Roman" w:eastAsia="宋体"/>
          <w:bCs/>
          <w:color w:val="auto"/>
        </w:rPr>
        <w:t>①</w:t>
      </w:r>
      <w:r>
        <w:rPr>
          <w:rFonts w:ascii="Times New Roman" w:eastAsia="宋体"/>
          <w:color w:val="auto"/>
        </w:rPr>
        <w:t>在饲料中添加微生态制剂(EM)；</w:t>
      </w:r>
    </w:p>
    <w:p>
      <w:pPr>
        <w:spacing w:line="360" w:lineRule="auto"/>
        <w:ind w:firstLine="496" w:firstLineChars="200"/>
        <w:rPr>
          <w:rFonts w:ascii="Times New Roman" w:eastAsia="宋体"/>
          <w:color w:val="auto"/>
        </w:rPr>
      </w:pPr>
      <w:r>
        <w:rPr>
          <w:rFonts w:ascii="Times New Roman" w:eastAsia="宋体"/>
          <w:bCs/>
          <w:color w:val="auto"/>
        </w:rPr>
        <w:t>②</w:t>
      </w:r>
      <w:r>
        <w:rPr>
          <w:rFonts w:ascii="Times New Roman" w:eastAsia="宋体"/>
          <w:color w:val="auto"/>
        </w:rPr>
        <w:t>在鸡舍内产生的粪便中添加生物除臭剂；</w:t>
      </w:r>
    </w:p>
    <w:p>
      <w:pPr>
        <w:spacing w:line="360" w:lineRule="auto"/>
        <w:ind w:firstLine="496" w:firstLineChars="200"/>
        <w:rPr>
          <w:rFonts w:ascii="Times New Roman" w:eastAsia="宋体"/>
          <w:color w:val="auto"/>
        </w:rPr>
      </w:pPr>
      <w:r>
        <w:rPr>
          <w:rFonts w:ascii="Times New Roman" w:eastAsia="宋体"/>
          <w:bCs/>
          <w:color w:val="auto"/>
        </w:rPr>
        <w:t>③</w:t>
      </w:r>
      <w:r>
        <w:rPr>
          <w:rFonts w:ascii="Times New Roman" w:eastAsia="宋体"/>
          <w:color w:val="auto"/>
        </w:rPr>
        <w:t>鸡粪尿做到日产日清，不在鸡舍内存储；</w:t>
      </w:r>
    </w:p>
    <w:p>
      <w:pPr>
        <w:spacing w:line="360" w:lineRule="auto"/>
        <w:ind w:firstLine="496" w:firstLineChars="200"/>
        <w:rPr>
          <w:rFonts w:ascii="Times New Roman" w:eastAsia="宋体"/>
          <w:color w:val="auto"/>
        </w:rPr>
      </w:pPr>
      <w:r>
        <w:rPr>
          <w:rFonts w:ascii="Times New Roman" w:eastAsia="宋体"/>
          <w:color w:val="auto"/>
        </w:rPr>
        <w:t>④鸡舍</w:t>
      </w:r>
      <w:r>
        <w:rPr>
          <w:rFonts w:hint="eastAsia" w:ascii="Times New Roman" w:eastAsia="宋体"/>
          <w:color w:val="auto"/>
        </w:rPr>
        <w:t>密闭，恶臭气体经通风设施引入水帘进行除臭，后屋顶排放</w:t>
      </w:r>
      <w:r>
        <w:rPr>
          <w:rFonts w:ascii="Times New Roman" w:eastAsia="宋体"/>
          <w:color w:val="auto"/>
        </w:rPr>
        <w:t>；</w:t>
      </w:r>
    </w:p>
    <w:p>
      <w:pPr>
        <w:spacing w:line="360" w:lineRule="auto"/>
        <w:ind w:firstLine="496" w:firstLineChars="200"/>
        <w:rPr>
          <w:rFonts w:ascii="Times New Roman" w:eastAsia="宋体"/>
          <w:color w:val="auto"/>
        </w:rPr>
      </w:pPr>
      <w:r>
        <w:rPr>
          <w:rFonts w:ascii="Times New Roman" w:eastAsia="宋体"/>
          <w:color w:val="auto"/>
        </w:rPr>
        <w:t>⑤在</w:t>
      </w:r>
      <w:r>
        <w:rPr>
          <w:rFonts w:hint="eastAsia" w:ascii="Times New Roman" w:eastAsia="宋体"/>
          <w:color w:val="auto"/>
        </w:rPr>
        <w:t>场区</w:t>
      </w:r>
      <w:r>
        <w:rPr>
          <w:rFonts w:ascii="Times New Roman" w:eastAsia="宋体"/>
          <w:color w:val="auto"/>
        </w:rPr>
        <w:t>内设置绿化带。确保厂界臭气浓度达到《畜禽养殖业污染物排放标准》要求。建设项目</w:t>
      </w:r>
      <w:r>
        <w:rPr>
          <w:rFonts w:hint="eastAsia" w:ascii="Times New Roman" w:eastAsia="宋体"/>
          <w:color w:val="auto"/>
        </w:rPr>
        <w:t>污水沉淀池区</w:t>
      </w:r>
      <w:r>
        <w:rPr>
          <w:rFonts w:ascii="Times New Roman" w:eastAsia="宋体"/>
          <w:color w:val="auto"/>
        </w:rPr>
        <w:t>为地埋式，加盖密闭。</w:t>
      </w:r>
    </w:p>
    <w:p>
      <w:pPr>
        <w:pStyle w:val="173"/>
        <w:ind w:firstLine="497"/>
        <w:rPr>
          <w:rFonts w:ascii="Times New Roman" w:eastAsia="宋体"/>
          <w:color w:val="auto"/>
        </w:rPr>
      </w:pPr>
      <w:r>
        <w:rPr>
          <w:rFonts w:hint="eastAsia" w:ascii="Times New Roman" w:eastAsia="宋体"/>
          <w:color w:val="auto"/>
        </w:rPr>
        <w:t>（3）食堂油烟</w:t>
      </w:r>
    </w:p>
    <w:p>
      <w:pPr>
        <w:spacing w:line="360" w:lineRule="auto"/>
        <w:ind w:firstLine="496" w:firstLineChars="200"/>
        <w:rPr>
          <w:rFonts w:ascii="Times New Roman" w:eastAsia="宋体"/>
          <w:color w:val="auto"/>
        </w:rPr>
      </w:pPr>
      <w:r>
        <w:rPr>
          <w:rFonts w:ascii="Times New Roman" w:eastAsia="宋体"/>
          <w:color w:val="auto"/>
        </w:rPr>
        <w:t>食堂油烟废气经</w:t>
      </w:r>
      <w:r>
        <w:rPr>
          <w:rFonts w:hint="eastAsia" w:ascii="Times New Roman" w:eastAsia="宋体"/>
          <w:color w:val="auto"/>
        </w:rPr>
        <w:t>处理效率为65%的</w:t>
      </w:r>
      <w:r>
        <w:rPr>
          <w:rFonts w:ascii="Times New Roman" w:eastAsia="宋体"/>
          <w:color w:val="auto"/>
        </w:rPr>
        <w:t>油烟净化装置处理后从专用烟道达标排放。</w:t>
      </w:r>
    </w:p>
    <w:p>
      <w:pPr>
        <w:pStyle w:val="4"/>
        <w:spacing w:before="0" w:after="0" w:line="360" w:lineRule="auto"/>
        <w:rPr>
          <w:rFonts w:ascii="Times New Roman" w:eastAsia="宋体"/>
          <w:b/>
          <w:bCs/>
          <w:color w:val="auto"/>
          <w:kern w:val="2"/>
          <w:sz w:val="24"/>
        </w:rPr>
      </w:pPr>
      <w:bookmarkStart w:id="603" w:name="_Toc14235"/>
      <w:bookmarkStart w:id="604" w:name="_Toc4952"/>
      <w:r>
        <w:rPr>
          <w:rFonts w:hint="eastAsia" w:ascii="Times New Roman" w:eastAsia="宋体"/>
          <w:b/>
          <w:bCs/>
          <w:color w:val="auto"/>
          <w:kern w:val="2"/>
          <w:sz w:val="24"/>
        </w:rPr>
        <w:t>9</w:t>
      </w:r>
      <w:r>
        <w:rPr>
          <w:rFonts w:ascii="Times New Roman" w:eastAsia="宋体"/>
          <w:b/>
          <w:bCs/>
          <w:color w:val="auto"/>
          <w:kern w:val="2"/>
          <w:sz w:val="24"/>
        </w:rPr>
        <w:t>.4.2废水</w:t>
      </w:r>
      <w:bookmarkEnd w:id="603"/>
      <w:bookmarkEnd w:id="604"/>
    </w:p>
    <w:p>
      <w:pPr>
        <w:pStyle w:val="264"/>
        <w:spacing w:before="0" w:after="0" w:line="360" w:lineRule="auto"/>
        <w:ind w:left="0" w:firstLine="521"/>
        <w:rPr>
          <w:rFonts w:ascii="Times New Roman" w:hAnsi="Times New Roman"/>
          <w:color w:val="auto"/>
          <w:spacing w:val="6"/>
        </w:rPr>
      </w:pPr>
      <w:r>
        <w:rPr>
          <w:rFonts w:ascii="Times New Roman" w:hAnsi="Times New Roman"/>
          <w:color w:val="auto"/>
          <w:spacing w:val="6"/>
        </w:rPr>
        <w:t>本项目废水主要</w:t>
      </w:r>
      <w:r>
        <w:rPr>
          <w:rFonts w:hint="eastAsia" w:ascii="Times New Roman" w:hAnsi="Times New Roman"/>
          <w:color w:val="auto"/>
          <w:spacing w:val="6"/>
        </w:rPr>
        <w:t>为</w:t>
      </w:r>
      <w:r>
        <w:rPr>
          <w:rFonts w:ascii="Times New Roman" w:hAnsi="Times New Roman"/>
          <w:color w:val="auto"/>
          <w:spacing w:val="6"/>
        </w:rPr>
        <w:t>生活污水、</w:t>
      </w:r>
      <w:r>
        <w:rPr>
          <w:rFonts w:hint="eastAsia" w:ascii="Times New Roman" w:hAnsi="Times New Roman"/>
          <w:color w:val="auto"/>
          <w:spacing w:val="6"/>
        </w:rPr>
        <w:t>鸡舍冲洗水、除臭水帘废水</w:t>
      </w:r>
      <w:r>
        <w:rPr>
          <w:rFonts w:ascii="Times New Roman" w:hAnsi="Times New Roman"/>
          <w:color w:val="auto"/>
          <w:spacing w:val="6"/>
        </w:rPr>
        <w:t>和锅炉排水等</w:t>
      </w:r>
      <w:r>
        <w:rPr>
          <w:rFonts w:hint="eastAsia" w:ascii="Times New Roman" w:hAnsi="Times New Roman"/>
          <w:color w:val="auto"/>
          <w:spacing w:val="6"/>
        </w:rPr>
        <w:t>。</w:t>
      </w:r>
      <w:r>
        <w:rPr>
          <w:rFonts w:hint="eastAsia" w:ascii="Times New Roman" w:hAnsi="Times New Roman"/>
          <w:color w:val="auto"/>
          <w:kern w:val="2"/>
          <w:szCs w:val="24"/>
        </w:rPr>
        <w:t>本项目采取雨污分流的排水体制，</w:t>
      </w:r>
      <w:r>
        <w:rPr>
          <w:rFonts w:ascii="Times New Roman" w:hAnsi="Times New Roman"/>
          <w:color w:val="auto"/>
          <w:spacing w:val="6"/>
        </w:rPr>
        <w:t>锅炉排水</w:t>
      </w:r>
      <w:r>
        <w:rPr>
          <w:rFonts w:hint="eastAsia" w:ascii="Times New Roman" w:hAnsi="Times New Roman"/>
          <w:color w:val="auto"/>
          <w:spacing w:val="6"/>
        </w:rPr>
        <w:t>用于地面降尘；</w:t>
      </w:r>
      <w:r>
        <w:rPr>
          <w:rFonts w:hint="eastAsia" w:ascii="Times New Roman" w:hAnsi="Times New Roman"/>
          <w:color w:val="auto"/>
          <w:kern w:val="2"/>
          <w:szCs w:val="24"/>
        </w:rPr>
        <w:t>生活污水排入化粪池处理，后同</w:t>
      </w:r>
      <w:r>
        <w:rPr>
          <w:rFonts w:ascii="Times New Roman" w:hAnsi="Times New Roman"/>
          <w:color w:val="auto"/>
          <w:spacing w:val="6"/>
        </w:rPr>
        <w:t>鸡舍冲洗废水</w:t>
      </w:r>
      <w:r>
        <w:rPr>
          <w:rFonts w:hint="eastAsia" w:ascii="Times New Roman" w:hAnsi="Times New Roman"/>
          <w:color w:val="auto"/>
          <w:spacing w:val="6"/>
        </w:rPr>
        <w:t>和</w:t>
      </w:r>
      <w:r>
        <w:rPr>
          <w:rFonts w:ascii="Times New Roman" w:hAnsi="Times New Roman"/>
          <w:color w:val="auto"/>
          <w:spacing w:val="6"/>
        </w:rPr>
        <w:t>排入</w:t>
      </w:r>
      <w:r>
        <w:rPr>
          <w:rFonts w:hint="eastAsia" w:ascii="Times New Roman" w:hAnsi="Times New Roman"/>
          <w:color w:val="auto"/>
          <w:spacing w:val="6"/>
        </w:rPr>
        <w:t>场区污水沉淀池，再委托湖南春雨生物科技有限公司用密闭槽罐车运送至新华养殖场污水处理站处理，达标后排入东侧水塘进一步沉淀净化，再用于周边农林地</w:t>
      </w:r>
      <w:r>
        <w:rPr>
          <w:rFonts w:hint="eastAsia" w:ascii="Times New Roman" w:hAnsi="Times New Roman"/>
          <w:color w:val="auto"/>
          <w:spacing w:val="6"/>
          <w:lang w:val="en-US" w:eastAsia="zh-CN"/>
        </w:rPr>
        <w:t>施肥</w:t>
      </w:r>
      <w:r>
        <w:rPr>
          <w:rFonts w:ascii="Times New Roman" w:hAnsi="Times New Roman"/>
          <w:color w:val="auto"/>
          <w:spacing w:val="6"/>
        </w:rPr>
        <w:t>。</w:t>
      </w:r>
    </w:p>
    <w:p>
      <w:pPr>
        <w:pStyle w:val="4"/>
        <w:spacing w:before="0" w:after="0" w:line="360" w:lineRule="auto"/>
        <w:rPr>
          <w:rFonts w:ascii="Times New Roman" w:eastAsia="宋体"/>
          <w:b/>
          <w:bCs/>
          <w:color w:val="auto"/>
          <w:kern w:val="2"/>
          <w:sz w:val="24"/>
        </w:rPr>
      </w:pPr>
      <w:bookmarkStart w:id="605" w:name="_Toc4074"/>
      <w:bookmarkStart w:id="606" w:name="_Toc14010"/>
      <w:r>
        <w:rPr>
          <w:rFonts w:hint="eastAsia" w:ascii="Times New Roman" w:eastAsia="宋体"/>
          <w:b/>
          <w:bCs/>
          <w:color w:val="auto"/>
          <w:kern w:val="2"/>
          <w:sz w:val="24"/>
        </w:rPr>
        <w:t>9</w:t>
      </w:r>
      <w:r>
        <w:rPr>
          <w:rFonts w:ascii="Times New Roman" w:eastAsia="宋体"/>
          <w:b/>
          <w:bCs/>
          <w:color w:val="auto"/>
          <w:kern w:val="2"/>
          <w:sz w:val="24"/>
        </w:rPr>
        <w:t>.4.3地下水</w:t>
      </w:r>
      <w:bookmarkEnd w:id="605"/>
      <w:bookmarkEnd w:id="606"/>
    </w:p>
    <w:p>
      <w:pPr>
        <w:pStyle w:val="141"/>
        <w:ind w:left="0" w:leftChars="0" w:firstLine="496" w:firstLineChars="200"/>
        <w:rPr>
          <w:rFonts w:ascii="Times New Roman" w:eastAsia="宋体"/>
          <w:color w:val="auto"/>
        </w:rPr>
      </w:pPr>
      <w:r>
        <w:rPr>
          <w:rFonts w:ascii="Times New Roman" w:eastAsia="宋体"/>
          <w:color w:val="auto"/>
        </w:rPr>
        <w:t>根据生产特点，将</w:t>
      </w:r>
      <w:r>
        <w:rPr>
          <w:rFonts w:hint="eastAsia" w:ascii="Times New Roman" w:eastAsia="宋体"/>
          <w:color w:val="auto"/>
        </w:rPr>
        <w:t>项目</w:t>
      </w:r>
      <w:r>
        <w:rPr>
          <w:rFonts w:ascii="Times New Roman" w:eastAsia="宋体"/>
          <w:color w:val="auto"/>
        </w:rPr>
        <w:t>分为一般污染防治区和</w:t>
      </w:r>
      <w:r>
        <w:rPr>
          <w:rFonts w:hint="eastAsia" w:ascii="Times New Roman" w:eastAsia="宋体"/>
          <w:color w:val="auto"/>
        </w:rPr>
        <w:t>重点</w:t>
      </w:r>
      <w:r>
        <w:rPr>
          <w:rFonts w:ascii="Times New Roman" w:eastAsia="宋体"/>
          <w:color w:val="auto"/>
        </w:rPr>
        <w:t>污染防治区，对污染防治区应分别采取不同等级的防渗方案</w:t>
      </w:r>
      <w:r>
        <w:rPr>
          <w:rFonts w:hint="eastAsia" w:ascii="Times New Roman" w:eastAsia="宋体"/>
          <w:color w:val="auto"/>
        </w:rPr>
        <w:t>。</w:t>
      </w:r>
    </w:p>
    <w:p>
      <w:pPr>
        <w:pStyle w:val="4"/>
        <w:spacing w:before="0" w:after="0" w:line="360" w:lineRule="auto"/>
        <w:rPr>
          <w:rFonts w:ascii="Times New Roman" w:eastAsia="宋体"/>
          <w:b/>
          <w:bCs/>
          <w:color w:val="auto"/>
          <w:kern w:val="2"/>
          <w:sz w:val="24"/>
        </w:rPr>
      </w:pPr>
      <w:bookmarkStart w:id="607" w:name="_Toc13670"/>
      <w:bookmarkStart w:id="608" w:name="_Toc21017"/>
      <w:r>
        <w:rPr>
          <w:rFonts w:hint="eastAsia" w:ascii="Times New Roman" w:eastAsia="宋体"/>
          <w:b/>
          <w:bCs/>
          <w:color w:val="auto"/>
          <w:kern w:val="2"/>
          <w:sz w:val="24"/>
        </w:rPr>
        <w:t>9</w:t>
      </w:r>
      <w:r>
        <w:rPr>
          <w:rFonts w:ascii="Times New Roman" w:eastAsia="宋体"/>
          <w:b/>
          <w:bCs/>
          <w:color w:val="auto"/>
          <w:kern w:val="2"/>
          <w:sz w:val="24"/>
        </w:rPr>
        <w:t>.4.</w:t>
      </w:r>
      <w:r>
        <w:rPr>
          <w:rFonts w:hint="eastAsia" w:ascii="Times New Roman" w:eastAsia="宋体"/>
          <w:b/>
          <w:bCs/>
          <w:color w:val="auto"/>
          <w:kern w:val="2"/>
          <w:sz w:val="24"/>
        </w:rPr>
        <w:t>4</w:t>
      </w:r>
      <w:r>
        <w:rPr>
          <w:rFonts w:ascii="Times New Roman" w:eastAsia="宋体"/>
          <w:b/>
          <w:bCs/>
          <w:color w:val="auto"/>
          <w:kern w:val="2"/>
          <w:sz w:val="24"/>
        </w:rPr>
        <w:t>噪声</w:t>
      </w:r>
      <w:bookmarkEnd w:id="607"/>
      <w:bookmarkEnd w:id="608"/>
    </w:p>
    <w:p>
      <w:pPr>
        <w:spacing w:line="360" w:lineRule="auto"/>
        <w:ind w:firstLine="496" w:firstLineChars="200"/>
        <w:rPr>
          <w:rFonts w:ascii="Times New Roman" w:eastAsia="宋体"/>
          <w:color w:val="auto"/>
        </w:rPr>
      </w:pPr>
      <w:r>
        <w:rPr>
          <w:rFonts w:ascii="Times New Roman" w:eastAsia="宋体"/>
          <w:color w:val="auto"/>
        </w:rPr>
        <w:t>项目采取的降噪措施有：</w:t>
      </w:r>
    </w:p>
    <w:p>
      <w:pPr>
        <w:spacing w:line="360" w:lineRule="auto"/>
        <w:ind w:firstLine="496" w:firstLineChars="200"/>
        <w:rPr>
          <w:rFonts w:ascii="Times New Roman" w:eastAsia="宋体"/>
          <w:color w:val="auto"/>
        </w:rPr>
      </w:pPr>
      <w:r>
        <w:rPr>
          <w:rFonts w:hint="eastAsia" w:ascii="Times New Roman" w:eastAsia="宋体"/>
          <w:color w:val="auto"/>
        </w:rPr>
        <w:t>（1）</w:t>
      </w:r>
      <w:r>
        <w:rPr>
          <w:rFonts w:ascii="Times New Roman" w:eastAsia="宋体"/>
          <w:color w:val="auto"/>
        </w:rPr>
        <w:t>选用低噪设备；</w:t>
      </w:r>
    </w:p>
    <w:p>
      <w:pPr>
        <w:spacing w:line="360" w:lineRule="auto"/>
        <w:ind w:firstLine="496" w:firstLineChars="200"/>
        <w:rPr>
          <w:rFonts w:ascii="Times New Roman" w:eastAsia="宋体"/>
          <w:color w:val="auto"/>
        </w:rPr>
      </w:pPr>
      <w:r>
        <w:rPr>
          <w:rFonts w:hint="eastAsia" w:ascii="Times New Roman" w:eastAsia="宋体"/>
          <w:color w:val="auto"/>
        </w:rPr>
        <w:t>（2）</w:t>
      </w:r>
      <w:r>
        <w:rPr>
          <w:rFonts w:ascii="Times New Roman" w:eastAsia="宋体"/>
          <w:color w:val="auto"/>
        </w:rPr>
        <w:t>加装减</w:t>
      </w:r>
      <w:r>
        <w:rPr>
          <w:rFonts w:hint="eastAsia" w:ascii="Times New Roman" w:eastAsia="宋体"/>
          <w:color w:val="auto"/>
        </w:rPr>
        <w:t>振</w:t>
      </w:r>
      <w:r>
        <w:rPr>
          <w:rFonts w:ascii="Times New Roman" w:eastAsia="宋体"/>
          <w:color w:val="auto"/>
        </w:rPr>
        <w:t>器；</w:t>
      </w:r>
    </w:p>
    <w:p>
      <w:pPr>
        <w:spacing w:line="360" w:lineRule="auto"/>
        <w:ind w:firstLine="496" w:firstLineChars="200"/>
        <w:rPr>
          <w:rFonts w:ascii="Times New Roman" w:eastAsia="宋体"/>
          <w:color w:val="auto"/>
        </w:rPr>
      </w:pPr>
      <w:r>
        <w:rPr>
          <w:rFonts w:hint="eastAsia" w:ascii="Times New Roman" w:eastAsia="宋体"/>
          <w:color w:val="auto"/>
        </w:rPr>
        <w:t>（3）</w:t>
      </w:r>
      <w:r>
        <w:rPr>
          <w:rFonts w:ascii="Times New Roman" w:eastAsia="宋体"/>
          <w:color w:val="auto"/>
        </w:rPr>
        <w:t>加橡胶减</w:t>
      </w:r>
      <w:r>
        <w:rPr>
          <w:rFonts w:hint="eastAsia" w:ascii="Times New Roman" w:eastAsia="宋体"/>
          <w:color w:val="auto"/>
        </w:rPr>
        <w:t>振</w:t>
      </w:r>
      <w:r>
        <w:rPr>
          <w:rFonts w:ascii="Times New Roman" w:eastAsia="宋体"/>
          <w:color w:val="auto"/>
        </w:rPr>
        <w:t>垫；</w:t>
      </w:r>
    </w:p>
    <w:p>
      <w:pPr>
        <w:spacing w:line="360" w:lineRule="auto"/>
        <w:ind w:firstLine="496" w:firstLineChars="200"/>
        <w:rPr>
          <w:rFonts w:ascii="Times New Roman" w:eastAsia="宋体"/>
          <w:color w:val="auto"/>
        </w:rPr>
      </w:pPr>
      <w:r>
        <w:rPr>
          <w:rFonts w:hint="eastAsia" w:ascii="Times New Roman" w:eastAsia="宋体"/>
          <w:color w:val="auto"/>
        </w:rPr>
        <w:t>（4）</w:t>
      </w:r>
      <w:r>
        <w:rPr>
          <w:rFonts w:ascii="Times New Roman" w:eastAsia="宋体"/>
          <w:color w:val="auto"/>
        </w:rPr>
        <w:t>采用密闭式或选用较好的隔声材料；</w:t>
      </w:r>
    </w:p>
    <w:p>
      <w:pPr>
        <w:spacing w:line="360" w:lineRule="auto"/>
        <w:ind w:firstLine="496" w:firstLineChars="200"/>
        <w:rPr>
          <w:rFonts w:ascii="Times New Roman" w:eastAsia="宋体"/>
          <w:color w:val="auto"/>
        </w:rPr>
      </w:pPr>
      <w:r>
        <w:rPr>
          <w:rFonts w:hint="eastAsia" w:ascii="Times New Roman" w:eastAsia="宋体"/>
          <w:color w:val="auto"/>
        </w:rPr>
        <w:t>（5）</w:t>
      </w:r>
      <w:r>
        <w:rPr>
          <w:rFonts w:ascii="Times New Roman" w:eastAsia="宋体"/>
          <w:color w:val="auto"/>
        </w:rPr>
        <w:t>在平面布置上，将高噪声的机泵布置在远离厂界的区域，以减少对外环境的影响等。</w:t>
      </w:r>
    </w:p>
    <w:p>
      <w:pPr>
        <w:pStyle w:val="4"/>
        <w:spacing w:before="0" w:after="0" w:line="360" w:lineRule="auto"/>
        <w:rPr>
          <w:rFonts w:ascii="Times New Roman" w:eastAsia="宋体"/>
          <w:b/>
          <w:bCs/>
          <w:color w:val="auto"/>
          <w:kern w:val="2"/>
          <w:sz w:val="24"/>
        </w:rPr>
      </w:pPr>
      <w:bookmarkStart w:id="609" w:name="_Toc30820"/>
      <w:bookmarkStart w:id="610" w:name="_Toc23085"/>
      <w:r>
        <w:rPr>
          <w:rFonts w:hint="eastAsia" w:ascii="Times New Roman" w:eastAsia="宋体"/>
          <w:b/>
          <w:bCs/>
          <w:color w:val="auto"/>
          <w:kern w:val="2"/>
          <w:sz w:val="24"/>
        </w:rPr>
        <w:t>9</w:t>
      </w:r>
      <w:r>
        <w:rPr>
          <w:rFonts w:ascii="Times New Roman" w:eastAsia="宋体"/>
          <w:b/>
          <w:bCs/>
          <w:color w:val="auto"/>
          <w:kern w:val="2"/>
          <w:sz w:val="24"/>
        </w:rPr>
        <w:t>.4.</w:t>
      </w:r>
      <w:r>
        <w:rPr>
          <w:rFonts w:hint="eastAsia" w:ascii="Times New Roman" w:eastAsia="宋体"/>
          <w:b/>
          <w:bCs/>
          <w:color w:val="auto"/>
          <w:kern w:val="2"/>
          <w:sz w:val="24"/>
        </w:rPr>
        <w:t>5</w:t>
      </w:r>
      <w:r>
        <w:rPr>
          <w:rFonts w:ascii="Times New Roman" w:eastAsia="宋体"/>
          <w:b/>
          <w:bCs/>
          <w:color w:val="auto"/>
          <w:kern w:val="2"/>
          <w:sz w:val="24"/>
        </w:rPr>
        <w:t>固废</w:t>
      </w:r>
      <w:bookmarkEnd w:id="609"/>
      <w:bookmarkEnd w:id="610"/>
    </w:p>
    <w:p>
      <w:pPr>
        <w:spacing w:line="360" w:lineRule="auto"/>
        <w:ind w:firstLine="496" w:firstLineChars="200"/>
        <w:rPr>
          <w:rFonts w:ascii="Times New Roman" w:eastAsia="宋体"/>
          <w:color w:val="auto"/>
        </w:rPr>
      </w:pPr>
      <w:r>
        <w:rPr>
          <w:rFonts w:ascii="Times New Roman" w:eastAsia="宋体"/>
          <w:color w:val="auto"/>
        </w:rPr>
        <w:t>固废废物主要包括鸡粪、</w:t>
      </w:r>
      <w:r>
        <w:rPr>
          <w:rFonts w:hint="eastAsia" w:ascii="Times New Roman" w:eastAsia="宋体"/>
          <w:color w:val="auto"/>
        </w:rPr>
        <w:t>污泥、锅炉灰渣</w:t>
      </w:r>
      <w:r>
        <w:rPr>
          <w:rFonts w:ascii="Times New Roman" w:eastAsia="宋体"/>
          <w:color w:val="auto"/>
        </w:rPr>
        <w:t>、</w:t>
      </w:r>
      <w:r>
        <w:rPr>
          <w:rFonts w:hint="eastAsia" w:ascii="Times New Roman" w:eastAsia="宋体"/>
          <w:color w:val="auto"/>
        </w:rPr>
        <w:t>废布袋及除尘灰、</w:t>
      </w:r>
      <w:r>
        <w:rPr>
          <w:rFonts w:ascii="Times New Roman" w:eastAsia="宋体"/>
          <w:color w:val="auto"/>
        </w:rPr>
        <w:t>病死鸡、</w:t>
      </w:r>
      <w:r>
        <w:rPr>
          <w:rFonts w:hint="eastAsia" w:ascii="Times New Roman" w:eastAsia="宋体"/>
          <w:color w:val="auto"/>
        </w:rPr>
        <w:t>物料废包装物、</w:t>
      </w:r>
      <w:r>
        <w:rPr>
          <w:rFonts w:ascii="Times New Roman" w:eastAsia="宋体"/>
          <w:color w:val="auto"/>
        </w:rPr>
        <w:t>职工生活垃圾</w:t>
      </w:r>
      <w:r>
        <w:rPr>
          <w:rFonts w:hint="eastAsia" w:ascii="Times New Roman" w:eastAsia="宋体"/>
          <w:color w:val="auto"/>
        </w:rPr>
        <w:t>及医疗废物</w:t>
      </w:r>
      <w:r>
        <w:rPr>
          <w:rFonts w:ascii="Times New Roman" w:eastAsia="宋体"/>
          <w:color w:val="auto"/>
        </w:rPr>
        <w:t>等。生活垃圾收集至自备的垃圾收集桶，及时清理外送至指定垃圾堆放点；鸡粪日产日清</w:t>
      </w:r>
      <w:r>
        <w:rPr>
          <w:rFonts w:hint="eastAsia" w:ascii="Times New Roman" w:eastAsia="宋体"/>
          <w:color w:val="auto"/>
        </w:rPr>
        <w:t>日售，</w:t>
      </w:r>
      <w:r>
        <w:rPr>
          <w:rFonts w:ascii="Times New Roman" w:eastAsia="宋体"/>
          <w:color w:val="auto"/>
        </w:rPr>
        <w:t>鸡粪通过自动清粪机收集</w:t>
      </w:r>
      <w:r>
        <w:rPr>
          <w:rFonts w:hint="eastAsia" w:ascii="Times New Roman" w:eastAsia="宋体"/>
          <w:color w:val="auto"/>
          <w:lang w:eastAsia="zh-CN"/>
        </w:rPr>
        <w:t>，通过传送带运输至末端打捆装袋</w:t>
      </w:r>
      <w:r>
        <w:rPr>
          <w:rFonts w:ascii="Times New Roman" w:eastAsia="宋体"/>
          <w:color w:val="auto"/>
        </w:rPr>
        <w:t>，</w:t>
      </w:r>
      <w:r>
        <w:rPr>
          <w:rFonts w:hint="eastAsia" w:ascii="Times New Roman" w:eastAsia="宋体"/>
          <w:color w:val="auto"/>
        </w:rPr>
        <w:t>暂存于</w:t>
      </w:r>
      <w:r>
        <w:rPr>
          <w:rFonts w:hint="eastAsia" w:ascii="Times New Roman" w:eastAsia="宋体"/>
          <w:color w:val="auto"/>
          <w:lang w:eastAsia="zh-CN"/>
        </w:rPr>
        <w:t>鸡舍内</w:t>
      </w:r>
      <w:r>
        <w:rPr>
          <w:rFonts w:hint="eastAsia" w:ascii="Times New Roman" w:eastAsia="宋体"/>
          <w:color w:val="auto"/>
        </w:rPr>
        <w:t>鸡粪暂</w:t>
      </w:r>
      <w:r>
        <w:rPr>
          <w:rFonts w:hint="eastAsia" w:ascii="Times New Roman" w:eastAsia="宋体"/>
          <w:color w:val="auto"/>
          <w:lang w:eastAsia="zh-CN"/>
        </w:rPr>
        <w:t>区</w:t>
      </w:r>
      <w:r>
        <w:rPr>
          <w:rFonts w:hint="eastAsia" w:ascii="Times New Roman" w:eastAsia="宋体"/>
          <w:color w:val="auto"/>
        </w:rPr>
        <w:t>，后定期外售</w:t>
      </w:r>
      <w:r>
        <w:rPr>
          <w:rFonts w:hint="eastAsia" w:ascii="Times New Roman" w:eastAsia="宋体"/>
          <w:color w:val="auto"/>
          <w:lang w:val="en-US" w:eastAsia="zh-CN"/>
        </w:rPr>
        <w:t>制肥</w:t>
      </w:r>
      <w:r>
        <w:rPr>
          <w:rFonts w:ascii="Times New Roman" w:eastAsia="宋体"/>
          <w:color w:val="auto"/>
        </w:rPr>
        <w:t>；病死鸡</w:t>
      </w:r>
      <w:r>
        <w:rPr>
          <w:rFonts w:hint="eastAsia" w:ascii="Times New Roman" w:eastAsia="宋体"/>
          <w:color w:val="auto"/>
        </w:rPr>
        <w:t>暂存冷</w:t>
      </w:r>
      <w:r>
        <w:rPr>
          <w:rFonts w:hint="eastAsia" w:ascii="Times New Roman" w:eastAsia="宋体"/>
          <w:color w:val="auto"/>
          <w:lang w:eastAsia="zh-CN"/>
        </w:rPr>
        <w:t>藏</w:t>
      </w:r>
      <w:r>
        <w:rPr>
          <w:rFonts w:hint="eastAsia" w:ascii="Times New Roman" w:eastAsia="宋体"/>
          <w:color w:val="auto"/>
        </w:rPr>
        <w:t>柜，定期</w:t>
      </w:r>
      <w:r>
        <w:rPr>
          <w:rFonts w:hint="eastAsia" w:ascii="Times New Roman" w:eastAsia="宋体"/>
          <w:color w:val="auto"/>
          <w:lang w:val="en-US" w:eastAsia="zh-CN"/>
        </w:rPr>
        <w:t>交由</w:t>
      </w:r>
      <w:r>
        <w:rPr>
          <w:rFonts w:hint="eastAsia" w:ascii="Times New Roman" w:eastAsia="宋体"/>
          <w:color w:val="auto"/>
        </w:rPr>
        <w:t>岳阳县病死禽无害处理厂进行无害化处理</w:t>
      </w:r>
      <w:r>
        <w:rPr>
          <w:rFonts w:ascii="Times New Roman" w:eastAsia="宋体"/>
          <w:color w:val="auto"/>
        </w:rPr>
        <w:t>，不外排</w:t>
      </w:r>
      <w:r>
        <w:rPr>
          <w:rFonts w:hint="eastAsia" w:ascii="Times New Roman" w:eastAsia="宋体"/>
          <w:color w:val="auto"/>
        </w:rPr>
        <w:t>；医疗废物暂存危废间，交由有资质单位处置。</w:t>
      </w:r>
    </w:p>
    <w:p>
      <w:pPr>
        <w:spacing w:line="360" w:lineRule="auto"/>
        <w:ind w:firstLine="496" w:firstLineChars="200"/>
        <w:rPr>
          <w:rFonts w:ascii="Times New Roman" w:eastAsia="宋体"/>
          <w:color w:val="auto"/>
        </w:rPr>
      </w:pPr>
      <w:r>
        <w:rPr>
          <w:rFonts w:ascii="Times New Roman" w:eastAsia="宋体"/>
          <w:color w:val="auto"/>
        </w:rPr>
        <w:t>综合分析，项目所采取的各项污染防治措施从技术经济角度分析均具有可行性，且在项目建设方认真落实报告所述各项污染防治措施后，可使区域环境质量得到明显改善。</w:t>
      </w:r>
    </w:p>
    <w:bookmarkEnd w:id="594"/>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11" w:name="_Toc27207"/>
      <w:bookmarkStart w:id="612" w:name="_Toc16553"/>
      <w:bookmarkStart w:id="613" w:name="_Toc27272"/>
      <w:bookmarkStart w:id="614" w:name="_Toc397698141"/>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.5总量控制结论</w:t>
      </w:r>
      <w:bookmarkEnd w:id="611"/>
      <w:bookmarkEnd w:id="612"/>
      <w:bookmarkEnd w:id="613"/>
      <w:r>
        <w:rPr>
          <w:rFonts w:ascii="Times New Roman" w:hAnsi="Times New Roman" w:eastAsia="宋体"/>
          <w:color w:val="auto"/>
          <w:kern w:val="2"/>
          <w:sz w:val="28"/>
          <w:szCs w:val="28"/>
        </w:rPr>
        <w:tab/>
      </w:r>
    </w:p>
    <w:p>
      <w:pPr>
        <w:spacing w:line="360" w:lineRule="auto"/>
        <w:ind w:firstLine="496" w:firstLineChars="200"/>
        <w:rPr>
          <w:rFonts w:ascii="Times New Roman" w:eastAsia="宋体"/>
          <w:color w:val="auto"/>
          <w:szCs w:val="24"/>
        </w:rPr>
      </w:pPr>
      <w:bookmarkStart w:id="615" w:name="_Toc987"/>
      <w:bookmarkStart w:id="616" w:name="_Toc3697"/>
      <w:bookmarkStart w:id="617" w:name="_Toc185"/>
      <w:bookmarkStart w:id="618" w:name="_Toc15069"/>
      <w:bookmarkStart w:id="619" w:name="_Toc550"/>
      <w:r>
        <w:rPr>
          <w:rFonts w:ascii="Times New Roman" w:eastAsia="宋体"/>
          <w:color w:val="auto"/>
          <w:szCs w:val="24"/>
        </w:rPr>
        <w:t>根据国家十二五规划和国家环境保护部关于总量控制的有关要求，并结合项目污染物类型及排放去向，本评价认为项目总量指标建议值NO</w:t>
      </w:r>
      <w:r>
        <w:rPr>
          <w:rFonts w:ascii="Times New Roman" w:eastAsia="宋体"/>
          <w:color w:val="auto"/>
          <w:szCs w:val="24"/>
          <w:vertAlign w:val="subscript"/>
        </w:rPr>
        <w:t>X</w:t>
      </w:r>
      <w:r>
        <w:rPr>
          <w:rFonts w:ascii="Times New Roman" w:eastAsia="宋体"/>
          <w:color w:val="auto"/>
          <w:szCs w:val="24"/>
        </w:rPr>
        <w:t>：</w:t>
      </w:r>
      <w:r>
        <w:rPr>
          <w:rFonts w:hint="eastAsia" w:ascii="Times New Roman" w:eastAsia="宋体"/>
          <w:color w:val="auto"/>
          <w:szCs w:val="24"/>
        </w:rPr>
        <w:t>0.</w:t>
      </w:r>
      <w:r>
        <w:rPr>
          <w:rFonts w:hint="eastAsia" w:ascii="Times New Roman" w:eastAsia="宋体"/>
          <w:color w:val="auto"/>
          <w:szCs w:val="24"/>
          <w:lang w:val="en-US" w:eastAsia="zh-CN"/>
        </w:rPr>
        <w:t>490t</w:t>
      </w:r>
      <w:r>
        <w:rPr>
          <w:rFonts w:ascii="Times New Roman" w:eastAsia="宋体"/>
          <w:color w:val="auto"/>
          <w:szCs w:val="24"/>
        </w:rPr>
        <w:t>/a</w:t>
      </w:r>
      <w:r>
        <w:rPr>
          <w:rFonts w:hint="eastAsia" w:ascii="Times New Roman" w:eastAsia="宋体"/>
          <w:color w:val="auto"/>
          <w:szCs w:val="24"/>
        </w:rPr>
        <w:t>，SO</w:t>
      </w:r>
      <w:r>
        <w:rPr>
          <w:rFonts w:hint="eastAsia" w:ascii="Times New Roman" w:eastAsia="宋体"/>
          <w:color w:val="auto"/>
          <w:szCs w:val="24"/>
          <w:vertAlign w:val="subscript"/>
        </w:rPr>
        <w:t>2</w:t>
      </w:r>
      <w:r>
        <w:rPr>
          <w:rFonts w:hint="eastAsia" w:ascii="Times New Roman" w:eastAsia="宋体"/>
          <w:color w:val="auto"/>
          <w:szCs w:val="24"/>
        </w:rPr>
        <w:t>：</w:t>
      </w:r>
      <w:r>
        <w:rPr>
          <w:rFonts w:ascii="Times New Roman" w:eastAsia="宋体"/>
          <w:color w:val="auto"/>
        </w:rPr>
        <w:t>0.</w:t>
      </w:r>
      <w:r>
        <w:rPr>
          <w:rFonts w:hint="eastAsia" w:ascii="Times New Roman" w:eastAsia="宋体"/>
          <w:color w:val="auto"/>
          <w:szCs w:val="24"/>
          <w:lang w:val="en-US" w:eastAsia="zh-CN"/>
        </w:rPr>
        <w:t>571</w:t>
      </w:r>
      <w:r>
        <w:rPr>
          <w:rFonts w:ascii="Times New Roman" w:eastAsia="宋体"/>
          <w:color w:val="auto"/>
          <w:szCs w:val="24"/>
        </w:rPr>
        <w:t>t/a。</w:t>
      </w:r>
      <w:bookmarkEnd w:id="615"/>
      <w:bookmarkEnd w:id="616"/>
      <w:bookmarkEnd w:id="617"/>
      <w:bookmarkEnd w:id="618"/>
      <w:bookmarkEnd w:id="619"/>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20" w:name="_Toc13909"/>
      <w:bookmarkStart w:id="621" w:name="_Toc27303"/>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.6公众参与结论</w:t>
      </w:r>
      <w:bookmarkEnd w:id="614"/>
      <w:bookmarkEnd w:id="620"/>
      <w:bookmarkEnd w:id="621"/>
      <w:r>
        <w:rPr>
          <w:rFonts w:ascii="Times New Roman" w:hAnsi="Times New Roman" w:eastAsia="宋体"/>
          <w:color w:val="auto"/>
          <w:kern w:val="2"/>
          <w:sz w:val="28"/>
          <w:szCs w:val="28"/>
        </w:rPr>
        <w:tab/>
      </w:r>
    </w:p>
    <w:p>
      <w:pPr>
        <w:spacing w:line="360" w:lineRule="auto"/>
        <w:ind w:firstLine="496" w:firstLineChars="200"/>
        <w:rPr>
          <w:rFonts w:ascii="Times New Roman" w:eastAsia="宋体"/>
          <w:color w:val="auto"/>
          <w:szCs w:val="24"/>
        </w:rPr>
      </w:pPr>
      <w:r>
        <w:rPr>
          <w:rFonts w:hint="eastAsia" w:ascii="Times New Roman" w:eastAsia="宋体"/>
          <w:color w:val="auto"/>
          <w:szCs w:val="24"/>
        </w:rPr>
        <w:t>根据《环境影响评价中公众参与暂行办法》的要求，项目单位开展可公众参与。2023年</w:t>
      </w:r>
      <w:r>
        <w:rPr>
          <w:rFonts w:hint="eastAsia" w:ascii="Times New Roman" w:eastAsia="宋体"/>
          <w:color w:val="auto"/>
          <w:szCs w:val="24"/>
          <w:lang w:val="en-US" w:eastAsia="zh-CN"/>
        </w:rPr>
        <w:t>6</w:t>
      </w:r>
      <w:r>
        <w:rPr>
          <w:rFonts w:hint="eastAsia" w:ascii="Times New Roman" w:eastAsia="宋体"/>
          <w:color w:val="auto"/>
          <w:szCs w:val="24"/>
        </w:rPr>
        <w:t>月，建设单位在全国建设项目环境信息公示平台网站行了第一次公示10个工作日，并在场址入口处进行了张贴公示，2023年8月，建设单位在全国建设项目环境信息公示平台网站进行了二次公示10个工作日，公示期间在环球日报登报2次，并在</w:t>
      </w:r>
      <w:r>
        <w:rPr>
          <w:rFonts w:hint="eastAsia" w:ascii="Times New Roman" w:eastAsia="宋体"/>
          <w:color w:val="auto"/>
          <w:szCs w:val="24"/>
          <w:lang w:eastAsia="zh-CN"/>
        </w:rPr>
        <w:t>项目所在村委会</w:t>
      </w:r>
      <w:r>
        <w:rPr>
          <w:rFonts w:hint="eastAsia" w:ascii="Times New Roman" w:eastAsia="宋体"/>
          <w:color w:val="auto"/>
          <w:szCs w:val="24"/>
        </w:rPr>
        <w:t>进行张贴公示。此次公众参与的调查结果基本上可以反映评价区内大多数公众对项目的看法和建议，无反对意见，本次评价对公众参与调查结果予以采纳。</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22" w:name="_Toc32321"/>
      <w:bookmarkStart w:id="623" w:name="_Toc3246"/>
      <w:bookmarkStart w:id="624" w:name="_Toc23069"/>
      <w:bookmarkStart w:id="625" w:name="_Toc397698142"/>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.7选址合理性及产业政策分析</w:t>
      </w:r>
      <w:bookmarkEnd w:id="622"/>
      <w:bookmarkEnd w:id="623"/>
      <w:bookmarkEnd w:id="624"/>
      <w:r>
        <w:rPr>
          <w:rFonts w:ascii="Times New Roman" w:hAnsi="Times New Roman" w:eastAsia="宋体"/>
          <w:color w:val="auto"/>
          <w:kern w:val="2"/>
          <w:sz w:val="28"/>
          <w:szCs w:val="28"/>
        </w:rPr>
        <w:tab/>
      </w:r>
    </w:p>
    <w:p>
      <w:pPr>
        <w:spacing w:line="360" w:lineRule="auto"/>
        <w:ind w:firstLine="496" w:firstLineChars="200"/>
        <w:rPr>
          <w:rFonts w:ascii="Times New Roman" w:eastAsia="宋体"/>
          <w:color w:val="auto"/>
          <w:szCs w:val="24"/>
        </w:rPr>
      </w:pPr>
      <w:r>
        <w:rPr>
          <w:rFonts w:ascii="Times New Roman" w:eastAsia="宋体"/>
          <w:color w:val="auto"/>
          <w:szCs w:val="24"/>
        </w:rPr>
        <w:t>本项目建设地所在区域尚无明确的土地利用规划，且本项目属于农业项目，项目用地和项目周边用地类型不冲突，且不属于当地规划的“禁养区”、“限养区”，用地属性合理；不违背国家的产业政策，厂址与当地城市发展和环境功能区划不冲突；不占用基本农田，不占用保护林地。建设项目区已有硬化水泥路面及村道连接，其对外交通便利。项目产生的“三废”经处理后均达标排放，不改变区域环境功能级别。综上所述，从环保角度看，项目的厂址选择是可行的。</w:t>
      </w:r>
    </w:p>
    <w:p>
      <w:pPr>
        <w:spacing w:line="360" w:lineRule="auto"/>
        <w:ind w:firstLine="496" w:firstLineChars="200"/>
        <w:rPr>
          <w:rFonts w:ascii="Times New Roman" w:eastAsia="宋体"/>
          <w:color w:val="auto"/>
          <w:szCs w:val="24"/>
        </w:rPr>
      </w:pPr>
      <w:r>
        <w:rPr>
          <w:rFonts w:ascii="Times New Roman" w:eastAsia="宋体"/>
          <w:color w:val="auto"/>
          <w:szCs w:val="24"/>
        </w:rPr>
        <w:t>本项目属于《产业结构调整指导目录（201</w:t>
      </w:r>
      <w:r>
        <w:rPr>
          <w:rFonts w:hint="eastAsia" w:ascii="Times New Roman" w:eastAsia="宋体"/>
          <w:color w:val="auto"/>
          <w:szCs w:val="24"/>
        </w:rPr>
        <w:t>9</w:t>
      </w:r>
      <w:r>
        <w:rPr>
          <w:rFonts w:ascii="Times New Roman" w:eastAsia="宋体"/>
          <w:color w:val="auto"/>
          <w:szCs w:val="24"/>
        </w:rPr>
        <w:t>年）》中“第一类鼓励类第一项、农林业第5条、畜禽标准化规模养殖技术开发与应用”，是国家鼓励类项目，符合国家产业政策。</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26" w:name="_Toc17962"/>
      <w:bookmarkStart w:id="627" w:name="_Toc32441"/>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w:t>
      </w:r>
      <w:bookmarkEnd w:id="625"/>
      <w:r>
        <w:rPr>
          <w:rFonts w:hint="eastAsia" w:ascii="Times New Roman" w:hAnsi="Times New Roman" w:eastAsia="宋体"/>
          <w:color w:val="auto"/>
          <w:kern w:val="2"/>
          <w:sz w:val="28"/>
          <w:szCs w:val="28"/>
        </w:rPr>
        <w:t>8环境影响经济损益分析</w:t>
      </w:r>
      <w:bookmarkEnd w:id="626"/>
      <w:bookmarkEnd w:id="627"/>
    </w:p>
    <w:p>
      <w:pPr>
        <w:spacing w:line="360" w:lineRule="auto"/>
        <w:ind w:firstLine="496" w:firstLineChars="200"/>
        <w:rPr>
          <w:rFonts w:ascii="Times New Roman" w:eastAsia="宋体"/>
          <w:color w:val="auto"/>
          <w:szCs w:val="24"/>
        </w:rPr>
      </w:pPr>
      <w:r>
        <w:rPr>
          <w:rFonts w:hint="eastAsia" w:ascii="Times New Roman" w:eastAsia="宋体"/>
          <w:color w:val="auto"/>
          <w:szCs w:val="24"/>
        </w:rPr>
        <w:t>本项目建成投产后，对项目所在地水环境、声环境和环境空气的负面影响较小，采取有效的防治措施后，完全可以控制在当地环境容量可以接受的范围内。社会经济效益显著，对促进地区经济持续、健康的发展有重要的意义。总之，从环境和社会经济方面来看，该项目具有良好的综合效益，其建设可行。</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28" w:name="_Toc9735"/>
      <w:bookmarkStart w:id="629" w:name="_Toc28194"/>
      <w:bookmarkStart w:id="630" w:name="_Toc397698143"/>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9环境管理与监测计划</w:t>
      </w:r>
      <w:bookmarkEnd w:id="628"/>
      <w:bookmarkEnd w:id="629"/>
    </w:p>
    <w:p>
      <w:pPr>
        <w:spacing w:line="360" w:lineRule="auto"/>
        <w:ind w:firstLine="496" w:firstLineChars="200"/>
        <w:rPr>
          <w:rFonts w:ascii="Times New Roman" w:eastAsia="宋体"/>
          <w:color w:val="auto"/>
          <w:szCs w:val="24"/>
        </w:rPr>
      </w:pPr>
      <w:r>
        <w:rPr>
          <w:rFonts w:hint="eastAsia" w:ascii="Times New Roman" w:eastAsia="宋体"/>
          <w:color w:val="auto"/>
          <w:szCs w:val="24"/>
        </w:rPr>
        <w:t>建设单位在投产时，各类排污口必须规范化建设和管理，而且规范化工作应与污染治理同步实施，治理设施完工时，规范化工作必须同时完成，并列入污染物治理设施的验收内容。</w:t>
      </w:r>
    </w:p>
    <w:p>
      <w:pPr>
        <w:spacing w:line="360" w:lineRule="auto"/>
        <w:ind w:firstLine="496" w:firstLineChars="200"/>
        <w:rPr>
          <w:rFonts w:ascii="Times New Roman" w:eastAsia="宋体"/>
          <w:color w:val="auto"/>
          <w:szCs w:val="24"/>
        </w:rPr>
      </w:pPr>
      <w:r>
        <w:rPr>
          <w:rFonts w:hint="eastAsia" w:ascii="Times New Roman" w:eastAsia="宋体"/>
          <w:color w:val="auto"/>
          <w:szCs w:val="24"/>
        </w:rPr>
        <w:t>本项目中的污染物防治措施必须与设备安装同时设计、同时施工、同时投产使用。建设单位应按照环评报告中提出的监测计划定期进行污染源和环境质量监测、严格按照环境管理计划进行管理，以达到保护环境、防治污染的目的。</w:t>
      </w:r>
    </w:p>
    <w:p>
      <w:pPr>
        <w:pStyle w:val="3"/>
        <w:keepNext w:val="0"/>
        <w:overflowPunct w:val="0"/>
        <w:autoSpaceDE w:val="0"/>
        <w:autoSpaceDN w:val="0"/>
        <w:adjustRightInd w:val="0"/>
        <w:spacing w:before="0" w:after="0" w:line="360" w:lineRule="auto"/>
        <w:textAlignment w:val="baseline"/>
        <w:rPr>
          <w:rFonts w:ascii="Times New Roman" w:hAnsi="Times New Roman" w:eastAsia="宋体"/>
          <w:color w:val="auto"/>
          <w:kern w:val="2"/>
          <w:sz w:val="28"/>
          <w:szCs w:val="28"/>
        </w:rPr>
      </w:pPr>
      <w:bookmarkStart w:id="631" w:name="_Toc8076"/>
      <w:bookmarkStart w:id="632" w:name="_Toc25001"/>
      <w:r>
        <w:rPr>
          <w:rFonts w:hint="eastAsia" w:ascii="Times New Roman" w:hAnsi="Times New Roman" w:eastAsia="宋体"/>
          <w:color w:val="auto"/>
          <w:kern w:val="2"/>
          <w:sz w:val="28"/>
          <w:szCs w:val="28"/>
        </w:rPr>
        <w:t>9</w:t>
      </w:r>
      <w:r>
        <w:rPr>
          <w:rFonts w:ascii="Times New Roman" w:hAnsi="Times New Roman" w:eastAsia="宋体"/>
          <w:color w:val="auto"/>
          <w:kern w:val="2"/>
          <w:sz w:val="28"/>
          <w:szCs w:val="28"/>
        </w:rPr>
        <w:t>.</w:t>
      </w:r>
      <w:r>
        <w:rPr>
          <w:rFonts w:hint="eastAsia" w:ascii="Times New Roman" w:hAnsi="Times New Roman" w:eastAsia="宋体"/>
          <w:color w:val="auto"/>
          <w:kern w:val="2"/>
          <w:sz w:val="28"/>
          <w:szCs w:val="28"/>
        </w:rPr>
        <w:t>10</w:t>
      </w:r>
      <w:bookmarkEnd w:id="630"/>
      <w:r>
        <w:rPr>
          <w:rFonts w:ascii="Times New Roman" w:hAnsi="Times New Roman" w:eastAsia="宋体"/>
          <w:color w:val="auto"/>
          <w:kern w:val="2"/>
          <w:sz w:val="28"/>
          <w:szCs w:val="28"/>
        </w:rPr>
        <w:t>综合性结论</w:t>
      </w:r>
      <w:bookmarkEnd w:id="631"/>
      <w:bookmarkEnd w:id="632"/>
    </w:p>
    <w:p>
      <w:pPr>
        <w:spacing w:line="360" w:lineRule="auto"/>
        <w:ind w:firstLine="496" w:firstLineChars="200"/>
        <w:rPr>
          <w:rFonts w:ascii="Times New Roman" w:eastAsia="宋体"/>
          <w:b/>
          <w:color w:val="auto"/>
          <w:sz w:val="28"/>
          <w:szCs w:val="28"/>
        </w:rPr>
      </w:pPr>
      <w:r>
        <w:rPr>
          <w:rFonts w:hint="eastAsia" w:ascii="Times New Roman" w:eastAsia="宋体"/>
          <w:color w:val="auto"/>
          <w:szCs w:val="24"/>
        </w:rPr>
        <w:t>本项目属《产业结构调整指导目录（2019年本）》中鼓励类项目，符合国家产业政策。项目的实施符合国家和地方的相关规划要求，有利于当地产业结构调整和社会经济发展。项目采用清洁生产工艺，并采取相应的污染防治措施，污染物可达标排放且对环境影响较小，满足环境功能区划要求，环境风险可控，公众调查结果显示公众对本项目的建设无人持反对意见。因此，</w:t>
      </w:r>
      <w:r>
        <w:rPr>
          <w:rFonts w:ascii="Times New Roman" w:eastAsia="宋体"/>
          <w:color w:val="auto"/>
          <w:szCs w:val="24"/>
        </w:rPr>
        <w:t>建设单位在切实落实本评价报告所提出的各项环保措施和对策，充分保证环保投入，认真执行环保“三同时”制度，实施总量控制计划，确保污染物稳定达标排放，可确保区域环境质量能够满足环境目标的要求。从环境保护角度来看，项目建设是可行的。</w:t>
      </w:r>
    </w:p>
    <w:sectPr>
      <w:headerReference r:id="rId12" w:type="default"/>
      <w:footerReference r:id="rId13" w:type="default"/>
      <w:pgSz w:w="11906" w:h="16838"/>
      <w:pgMar w:top="1440" w:right="1803" w:bottom="1440" w:left="1803" w:header="850" w:footer="992" w:gutter="0"/>
      <w:pgNumType w:fmt="decimal"/>
      <w:cols w:space="720" w:num="1"/>
      <w:docGrid w:type="linesAndChars" w:linePitch="319" w:charSpace="1724"/>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serif">
    <w:altName w:val="微软雅黑"/>
    <w:panose1 w:val="00000000000000000000"/>
    <w:charset w:val="00"/>
    <w:family w:val="auto"/>
    <w:pitch w:val="default"/>
    <w:sig w:usb0="00000000" w:usb1="00000000" w:usb2="00000000" w:usb3="00000000" w:csb0="00040001" w:csb1="00000000"/>
  </w:font>
  <w:font w:name="华文行楷">
    <w:panose1 w:val="02010800040101010101"/>
    <w:charset w:val="86"/>
    <w:family w:val="auto"/>
    <w:pitch w:val="default"/>
    <w:sig w:usb0="00000001" w:usb1="080F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大标宋简体">
    <w:altName w:val="宋体"/>
    <w:panose1 w:val="00000000000000000000"/>
    <w:charset w:val="86"/>
    <w:family w:val="auto"/>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DFKai-SB">
    <w:altName w:val="Microsoft JhengHei Light"/>
    <w:panose1 w:val="03000509000000000000"/>
    <w:charset w:val="88"/>
    <w:family w:val="script"/>
    <w:pitch w:val="default"/>
    <w:sig w:usb0="00000000" w:usb1="00000000" w:usb2="00000016" w:usb3="00000000" w:csb0="00100001" w:csb1="00000000"/>
  </w:font>
  <w:font w:name="MingLiU">
    <w:altName w:val="PMingLiU-ExtB"/>
    <w:panose1 w:val="02020509000000000000"/>
    <w:charset w:val="88"/>
    <w:family w:val="moder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Light">
    <w:panose1 w:val="020B0304030504040204"/>
    <w:charset w:val="88"/>
    <w:family w:val="auto"/>
    <w:pitch w:val="default"/>
    <w:sig w:usb0="800002A7" w:usb1="28CF4400" w:usb2="00000016" w:usb3="00000000" w:csb0="00100009"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top w:val="none" w:color="auto" w:sz="0" w:space="1"/>
        <w:left w:val="none" w:color="auto" w:sz="0" w:space="4"/>
        <w:bottom w:val="none" w:color="auto" w:sz="0" w:space="1"/>
        <w:right w:val="none" w:color="auto" w:sz="0" w:space="4"/>
      </w:pBdr>
      <w:jc w:val="both"/>
      <w:rPr>
        <w:szCs w:val="21"/>
      </w:rPr>
    </w:pPr>
    <w:r>
      <w:rPr>
        <w:sz w:val="21"/>
      </w:rPr>
      <mc:AlternateContent>
        <mc:Choice Requires="wps">
          <w:drawing>
            <wp:anchor distT="0" distB="0" distL="114300" distR="114300" simplePos="0" relativeHeight="251689984" behindDoc="0" locked="0" layoutInCell="1" allowOverlap="1">
              <wp:simplePos x="0" y="0"/>
              <wp:positionH relativeFrom="margin">
                <wp:align>right</wp:align>
              </wp:positionH>
              <wp:positionV relativeFrom="paragraph">
                <wp:posOffset>1905</wp:posOffset>
              </wp:positionV>
              <wp:extent cx="469265" cy="214630"/>
              <wp:effectExtent l="0" t="0" r="0" b="0"/>
              <wp:wrapNone/>
              <wp:docPr id="114" name="文本框 2"/>
              <wp:cNvGraphicFramePr/>
              <a:graphic xmlns:a="http://schemas.openxmlformats.org/drawingml/2006/main">
                <a:graphicData uri="http://schemas.microsoft.com/office/word/2010/wordprocessingShape">
                  <wps:wsp>
                    <wps:cNvSpPr txBox="1"/>
                    <wps:spPr>
                      <a:xfrm>
                        <a:off x="0" y="0"/>
                        <a:ext cx="469265" cy="214630"/>
                      </a:xfrm>
                      <a:prstGeom prst="rect">
                        <a:avLst/>
                      </a:prstGeom>
                      <a:noFill/>
                      <a:ln w="6350">
                        <a:noFill/>
                      </a:ln>
                    </wps:spPr>
                    <wps:txbx>
                      <w:txbxContent>
                        <w:p>
                          <w:pPr>
                            <w:pStyle w:val="33"/>
                          </w:pPr>
                          <w:r>
                            <w:fldChar w:fldCharType="begin"/>
                          </w:r>
                          <w:r>
                            <w:instrText xml:space="preserve"> PAGE  \* MERGEFORMAT </w:instrText>
                          </w:r>
                          <w:r>
                            <w:fldChar w:fldCharType="separate"/>
                          </w:r>
                          <w:r>
                            <w:t>1</w:t>
                          </w:r>
                          <w:r>
                            <w:fldChar w:fldCharType="end"/>
                          </w:r>
                        </w:p>
                      </w:txbxContent>
                    </wps:txbx>
                    <wps:bodyPr lIns="0" tIns="0" rIns="0" bIns="0" upright="1"/>
                  </wps:wsp>
                </a:graphicData>
              </a:graphic>
            </wp:anchor>
          </w:drawing>
        </mc:Choice>
        <mc:Fallback>
          <w:pict>
            <v:shape id="文本框 2" o:spid="_x0000_s1026" o:spt="202" type="#_x0000_t202" style="position:absolute;left:0pt;margin-top:0.15pt;height:16.9pt;width:36.95pt;mso-position-horizontal:right;mso-position-horizontal-relative:margin;z-index:251689984;mso-width-relative:page;mso-height-relative:page;" filled="f" stroked="f" coordsize="21600,21600" o:gfxdata="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M5u3bNIAAAADAQAADwAAAAAAAAABACAAAAAiAAAAZHJzL2Rvd25yZXYueG1s&#10;UEsBAhQAFAAAAAgAh07iQOdQ5FnFAQAAfAMAAA4AAAAAAAAAAQAgAAAAIQEAAGRycy9lMm9Eb2Mu&#10;eG1sUEsFBgAAAAAGAAYAWQEAAFgFAAAAAA==&#10;">
              <v:fill on="f" focussize="0,0"/>
              <v:stroke on="f" weight="0.5pt"/>
              <v:imagedata o:title=""/>
              <o:lock v:ext="edit" aspectratio="f"/>
              <v:textbox inset="0mm,0mm,0mm,0mm">
                <w:txbxContent>
                  <w:p>
                    <w:pPr>
                      <w:pStyle w:val="33"/>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margin">
                <wp:posOffset>2601595</wp:posOffset>
              </wp:positionH>
              <wp:positionV relativeFrom="paragraph">
                <wp:posOffset>-7620</wp:posOffset>
              </wp:positionV>
              <wp:extent cx="76200" cy="160655"/>
              <wp:effectExtent l="0" t="0" r="0" b="0"/>
              <wp:wrapNone/>
              <wp:docPr id="113" name="文本框 2072"/>
              <wp:cNvGraphicFramePr/>
              <a:graphic xmlns:a="http://schemas.openxmlformats.org/drawingml/2006/main">
                <a:graphicData uri="http://schemas.microsoft.com/office/word/2010/wordprocessingShape">
                  <wps:wsp>
                    <wps:cNvSpPr txBox="1"/>
                    <wps:spPr>
                      <a:xfrm>
                        <a:off x="0" y="0"/>
                        <a:ext cx="76200" cy="160655"/>
                      </a:xfrm>
                      <a:prstGeom prst="rect">
                        <a:avLst/>
                      </a:prstGeom>
                      <a:noFill/>
                      <a:ln>
                        <a:noFill/>
                      </a:ln>
                      <a:effectLst/>
                    </wps:spPr>
                    <wps:txbx>
                      <w:txbxContent>
                        <w:p>
                          <w:pPr>
                            <w:pStyle w:val="33"/>
                            <w:rPr>
                              <w:rFonts w:eastAsia="宋体"/>
                            </w:rPr>
                          </w:pPr>
                        </w:p>
                      </w:txbxContent>
                    </wps:txbx>
                    <wps:bodyPr wrap="square" lIns="0" tIns="0" rIns="0" bIns="0"/>
                  </wps:wsp>
                </a:graphicData>
              </a:graphic>
            </wp:anchor>
          </w:drawing>
        </mc:Choice>
        <mc:Fallback>
          <w:pict>
            <v:shape id="文本框 2072" o:spid="_x0000_s1026" o:spt="202" type="#_x0000_t202" style="position:absolute;left:0pt;margin-left:204.85pt;margin-top:-0.6pt;height:12.65pt;width:6pt;mso-position-horizontal-relative:margin;z-index:251688960;mso-width-relative:page;mso-height-relative:page;" filled="f" stroked="f" coordsize="21600,21600" o:gfxdata="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wT5nvYAAAACQEAAA8AAAAAAAAAAQAgAAAAIgAAAGRycy9kb3ducmV2&#10;LnhtbFBLAQIUABQAAAAIAIdO4kC8lQUawwEAAIUDAAAOAAAAAAAAAAEAIAAAACcBAABkcnMvZTJv&#10;RG9jLnhtbFBLBQYAAAAABgAGAFkBAABcBQAAAAA=&#10;">
              <v:fill on="f" focussize="0,0"/>
              <v:stroke on="f"/>
              <v:imagedata o:title=""/>
              <o:lock v:ext="edit" aspectratio="f"/>
              <v:textbox inset="0mm,0mm,0mm,0mm">
                <w:txbxContent>
                  <w:p>
                    <w:pPr>
                      <w:pStyle w:val="33"/>
                      <w:rPr>
                        <w:rFonts w:eastAsia="宋体"/>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top w:val="single" w:color="auto" w:sz="4" w:space="1"/>
        <w:left w:val="none" w:color="auto" w:sz="0" w:space="4"/>
        <w:bottom w:val="none" w:color="auto" w:sz="0" w:space="1"/>
        <w:right w:val="none" w:color="auto" w:sz="0" w:space="4"/>
      </w:pBdr>
      <w:tabs>
        <w:tab w:val="center" w:pos="4573"/>
        <w:tab w:val="center" w:pos="6675"/>
        <w:tab w:val="left" w:pos="6865"/>
        <w:tab w:val="left" w:pos="8277"/>
      </w:tabs>
      <w:jc w:val="left"/>
      <w:rPr>
        <w:szCs w:val="21"/>
      </w:rPr>
    </w:pPr>
    <w:r>
      <w:rPr>
        <w:sz w:val="21"/>
      </w:rPr>
      <mc:AlternateContent>
        <mc:Choice Requires="wps">
          <w:drawing>
            <wp:anchor distT="0" distB="0" distL="114300" distR="114300" simplePos="0" relativeHeight="251691008" behindDoc="0" locked="0" layoutInCell="1" allowOverlap="1">
              <wp:simplePos x="0" y="0"/>
              <wp:positionH relativeFrom="margin">
                <wp:align>right</wp:align>
              </wp:positionH>
              <wp:positionV relativeFrom="paragraph">
                <wp:posOffset>1905</wp:posOffset>
              </wp:positionV>
              <wp:extent cx="1828800" cy="1828800"/>
              <wp:effectExtent l="0" t="0" r="0" b="0"/>
              <wp:wrapNone/>
              <wp:docPr id="11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3"/>
                          </w:pPr>
                          <w:r>
                            <w:fldChar w:fldCharType="begin"/>
                          </w:r>
                          <w:r>
                            <w:instrText xml:space="preserve"> PAGE  \* MERGEFORMAT </w:instrText>
                          </w:r>
                          <w:r>
                            <w:fldChar w:fldCharType="separate"/>
                          </w:r>
                          <w:r>
                            <w:t>43</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15pt;height:144pt;width:144pt;mso-position-horizontal:right;mso-position-horizontal-relative:margin;mso-wrap-style:none;z-index:251691008;mso-width-relative:page;mso-height-relative:page;" filled="f" stroked="f" coordsize="21600,21600" o:gfxdata="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&#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68G8X0gAAAAUBAAAPAAAAAAAAAAEAIAAAACIAAABk&#10;cnMvZG93bnJldi54bWxQSwECFAAUAAAACACHTuJAriDCs9MBAACkAwAADgAAAAAAAAABACAAAAAh&#10;AQAAZHJzL2Uyb0RvYy54bWxQSwUGAAAAAAYABgBZAQAAZgUAAAAA&#10;">
              <v:fill on="f" focussize="0,0"/>
              <v:stroke on="f" weight="0.5pt"/>
              <v:imagedata o:title=""/>
              <o:lock v:ext="edit" aspectratio="f"/>
              <v:textbox inset="0mm,0mm,0mm,0mm" style="mso-fit-shape-to-text:t;">
                <w:txbxContent>
                  <w:p>
                    <w:pPr>
                      <w:pStyle w:val="33"/>
                    </w:pPr>
                    <w:r>
                      <w:fldChar w:fldCharType="begin"/>
                    </w:r>
                    <w:r>
                      <w:instrText xml:space="preserve"> PAGE  \* MERGEFORMAT </w:instrText>
                    </w:r>
                    <w:r>
                      <w:fldChar w:fldCharType="separate"/>
                    </w:r>
                    <w:r>
                      <w:t>43</w:t>
                    </w:r>
                    <w:r>
                      <w:fldChar w:fldCharType="end"/>
                    </w:r>
                  </w:p>
                </w:txbxContent>
              </v:textbox>
            </v:shape>
          </w:pict>
        </mc:Fallback>
      </mc:AlternateContent>
    </w:r>
    <w:r>
      <w:rPr>
        <w:szCs w:val="21"/>
      </w:rPr>
      <mc:AlternateContent>
        <mc:Choice Requires="wps">
          <w:drawing>
            <wp:anchor distT="0" distB="0" distL="114300" distR="114300" simplePos="0" relativeHeight="251686912" behindDoc="0" locked="0" layoutInCell="1" allowOverlap="1">
              <wp:simplePos x="0" y="0"/>
              <wp:positionH relativeFrom="column">
                <wp:posOffset>0</wp:posOffset>
              </wp:positionH>
              <wp:positionV relativeFrom="paragraph">
                <wp:posOffset>-3810</wp:posOffset>
              </wp:positionV>
              <wp:extent cx="5224780" cy="18415"/>
              <wp:effectExtent l="0" t="0" r="0" b="0"/>
              <wp:wrapNone/>
              <wp:docPr id="112" name="直线 1029"/>
              <wp:cNvGraphicFramePr/>
              <a:graphic xmlns:a="http://schemas.openxmlformats.org/drawingml/2006/main">
                <a:graphicData uri="http://schemas.microsoft.com/office/word/2010/wordprocessingShape">
                  <wps:wsp>
                    <wps:cNvCnPr/>
                    <wps:spPr>
                      <a:xfrm>
                        <a:off x="0" y="0"/>
                        <a:ext cx="5224780" cy="18415"/>
                      </a:xfrm>
                      <a:prstGeom prst="line">
                        <a:avLst/>
                      </a:prstGeom>
                      <a:ln>
                        <a:noFill/>
                      </a:ln>
                      <a:effectLst/>
                    </wps:spPr>
                    <wps:bodyPr/>
                  </wps:wsp>
                </a:graphicData>
              </a:graphic>
            </wp:anchor>
          </w:drawing>
        </mc:Choice>
        <mc:Fallback>
          <w:pict>
            <v:line id="直线 1029" o:spid="_x0000_s1026" o:spt="20" style="position:absolute;left:0pt;margin-left:0pt;margin-top:-0.3pt;height:1.45pt;width:411.4pt;z-index:251686912;mso-width-relative:page;mso-height-relative:page;" filled="f" stroked="f" coordsize="21600,21600" o:gfxdata="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Fwc2jvVAAAABAEAAA8AAAAAAAAAAQAgAAAAIgAA&#10;AGRycy9kb3ducmV2LnhtbFBLAQIUABQAAAAIAIdO4kAIRfO6mQEAADEDAAAOAAAAAAAAAAEAIAAA&#10;ACQBAABkcnMvZTJvRG9jLnhtbFBLBQYAAAAABgAGAFkBAAAvBQAAAAA=&#10;">
              <v:fill on="f" focussize="0,0"/>
              <v:stroke on="f"/>
              <v:imagedata o:title=""/>
              <o:lock v:ext="edit" aspectratio="f"/>
            </v:line>
          </w:pict>
        </mc:Fallback>
      </mc:AlternateContent>
    </w:r>
    <w:r>
      <w:rPr>
        <w:rFonts w:hint="eastAsia"/>
        <w:szCs w:val="21"/>
      </w:rPr>
      <w:tab/>
    </w:r>
    <w:r>
      <w:rPr>
        <w:rFonts w:hint="eastAsia"/>
        <w:szCs w:val="21"/>
      </w:rPr>
      <w:tab/>
    </w:r>
    <w:r>
      <w:rPr>
        <w:rFonts w:hint="eastAsia"/>
        <w:szCs w:val="21"/>
      </w:rPr>
      <w:tab/>
    </w:r>
    <w:r>
      <w:rPr>
        <w:rFonts w:hint="eastAsia"/>
        <w:szCs w:val="21"/>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top w:val="single" w:color="auto" w:sz="4" w:space="1"/>
      </w:pBdr>
    </w:pPr>
    <w:r>
      <w:rPr>
        <w:sz w:val="21"/>
      </w:rPr>
      <mc:AlternateContent>
        <mc:Choice Requires="wps">
          <w:drawing>
            <wp:anchor distT="0" distB="0" distL="114300" distR="114300" simplePos="0" relativeHeight="251692032" behindDoc="0" locked="0" layoutInCell="1" allowOverlap="1">
              <wp:simplePos x="0" y="0"/>
              <wp:positionH relativeFrom="margin">
                <wp:align>right</wp:align>
              </wp:positionH>
              <wp:positionV relativeFrom="paragraph">
                <wp:posOffset>1905</wp:posOffset>
              </wp:positionV>
              <wp:extent cx="1828800" cy="1828800"/>
              <wp:effectExtent l="0" t="0" r="0" b="0"/>
              <wp:wrapNone/>
              <wp:docPr id="11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3"/>
                          </w:pPr>
                          <w:r>
                            <w:fldChar w:fldCharType="begin"/>
                          </w:r>
                          <w:r>
                            <w:instrText xml:space="preserve"> PAGE  \* MERGEFORMAT </w:instrText>
                          </w:r>
                          <w:r>
                            <w:fldChar w:fldCharType="separate"/>
                          </w:r>
                          <w:r>
                            <w:t>60</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15pt;height:144pt;width:144pt;mso-position-horizontal:right;mso-position-horizontal-relative:margin;mso-wrap-style:none;z-index:251692032;mso-width-relative:page;mso-height-relative:page;" filled="f" stroked="f" coordsize="21600,21600" o:gfxdata="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68G8X0gAAAAUBAAAPAAAAAAAAAAEAIAAAACIAAABk&#10;cnMvZG93bnJldi54bWxQSwECFAAUAAAACACHTuJA6TMIAtMBAACkAwAADgAAAAAAAAABACAAAAAh&#10;AQAAZHJzL2Uyb0RvYy54bWxQSwUGAAAAAAYABgBZAQAAZgUAAAAA&#10;">
              <v:fill on="f" focussize="0,0"/>
              <v:stroke on="f" weight="0.5pt"/>
              <v:imagedata o:title=""/>
              <o:lock v:ext="edit" aspectratio="f"/>
              <v:textbox inset="0mm,0mm,0mm,0mm" style="mso-fit-shape-to-text:t;">
                <w:txbxContent>
                  <w:p>
                    <w:pPr>
                      <w:pStyle w:val="33"/>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top w:val="single" w:color="auto" w:sz="4" w:space="1"/>
      </w:pBdr>
      <w:tabs>
        <w:tab w:val="center" w:pos="7039"/>
        <w:tab w:val="left" w:pos="7695"/>
      </w:tabs>
      <w:jc w:val="left"/>
    </w:pPr>
    <w:r>
      <w:rPr>
        <w:sz w:val="21"/>
      </w:rPr>
      <mc:AlternateContent>
        <mc:Choice Requires="wps">
          <w:drawing>
            <wp:anchor distT="0" distB="0" distL="114300" distR="114300" simplePos="0" relativeHeight="251693056" behindDoc="0" locked="0" layoutInCell="1" allowOverlap="1">
              <wp:simplePos x="0" y="0"/>
              <wp:positionH relativeFrom="margin">
                <wp:align>right</wp:align>
              </wp:positionH>
              <wp:positionV relativeFrom="paragraph">
                <wp:posOffset>1905</wp:posOffset>
              </wp:positionV>
              <wp:extent cx="1828800" cy="1828800"/>
              <wp:effectExtent l="0" t="0" r="0" b="0"/>
              <wp:wrapNone/>
              <wp:docPr id="11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3"/>
                          </w:pPr>
                          <w:r>
                            <w:fldChar w:fldCharType="begin"/>
                          </w:r>
                          <w:r>
                            <w:instrText xml:space="preserve"> PAGE  \* MERGEFORMAT </w:instrText>
                          </w:r>
                          <w:r>
                            <w:fldChar w:fldCharType="separate"/>
                          </w:r>
                          <w:r>
                            <w:t>73</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15pt;height:144pt;width:144pt;mso-position-horizontal:right;mso-position-horizontal-relative:margin;mso-wrap-style:none;z-index:251693056;mso-width-relative:page;mso-height-relative:page;" filled="f" stroked="f" coordsize="21600,21600" o:gfxdata="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68G8X0gAAAAUBAAAPAAAAAAAAAAEAIAAAACIAAABk&#10;cnMvZG93bnJldi54bWxQSwECFAAUAAAACACHTuJAdB/XftMBAACkAwAADgAAAAAAAAABACAAAAAh&#10;AQAAZHJzL2Uyb0RvYy54bWxQSwUGAAAAAAYABgBZAQAAZgUAAAAA&#10;">
              <v:fill on="f" focussize="0,0"/>
              <v:stroke on="f" weight="0.5pt"/>
              <v:imagedata o:title=""/>
              <o:lock v:ext="edit" aspectratio="f"/>
              <v:textbox inset="0mm,0mm,0mm,0mm" style="mso-fit-shape-to-text:t;">
                <w:txbxContent>
                  <w:p>
                    <w:pPr>
                      <w:pStyle w:val="33"/>
                    </w:pPr>
                    <w:r>
                      <w:fldChar w:fldCharType="begin"/>
                    </w:r>
                    <w:r>
                      <w:instrText xml:space="preserve"> PAGE  \* MERGEFORMAT </w:instrText>
                    </w:r>
                    <w:r>
                      <w:fldChar w:fldCharType="separate"/>
                    </w:r>
                    <w:r>
                      <w:t>73</w:t>
                    </w:r>
                    <w:r>
                      <w:fldChar w:fldCharType="end"/>
                    </w:r>
                  </w:p>
                </w:txbxContent>
              </v:textbox>
            </v:shape>
          </w:pict>
        </mc:Fallback>
      </mc:AlternateContent>
    </w:r>
    <w:r>
      <w:rPr>
        <w:rFonts w:hint="eastAsia"/>
      </w:rPr>
      <w:tab/>
    </w:r>
    <w:r>
      <w:rPr>
        <w:rFonts w:hint="eastAsia"/>
      </w:rPr>
      <w:tab/>
    </w:r>
    <w:r>
      <w:rPr>
        <w:rFonts w:hint="eastAsia"/>
      </w:rPr>
      <w:tab/>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sz w:val="21"/>
      </w:rP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1905</wp:posOffset>
              </wp:positionV>
              <wp:extent cx="1828800" cy="1828800"/>
              <wp:effectExtent l="0" t="0" r="0" b="0"/>
              <wp:wrapNone/>
              <wp:docPr id="118"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3"/>
                          </w:pPr>
                          <w:r>
                            <w:fldChar w:fldCharType="begin"/>
                          </w:r>
                          <w:r>
                            <w:instrText xml:space="preserve"> PAGE  \* MERGEFORMAT </w:instrText>
                          </w:r>
                          <w:r>
                            <w:fldChar w:fldCharType="separate"/>
                          </w:r>
                          <w:r>
                            <w:t>112</w:t>
                          </w:r>
                          <w:r>
                            <w:fldChar w:fldCharType="end"/>
                          </w:r>
                        </w:p>
                      </w:txbxContent>
                    </wps:txbx>
                    <wps:bodyPr wrap="none" lIns="0" tIns="0" rIns="0" bIns="0" upright="1">
                      <a:spAutoFit/>
                    </wps:bodyPr>
                  </wps:wsp>
                </a:graphicData>
              </a:graphic>
            </wp:anchor>
          </w:drawing>
        </mc:Choice>
        <mc:Fallback>
          <w:pict>
            <v:shape id="文本框 6" o:spid="_x0000_s1026" o:spt="202" type="#_x0000_t202" style="position:absolute;left:0pt;margin-top:0.15pt;height:144pt;width:144pt;mso-position-horizontal:right;mso-position-horizontal-relative:margin;mso-wrap-style:none;z-index:251694080;mso-width-relative:page;mso-height-relative:page;" filled="f" stroked="f" coordsize="21600,21600" o:gfxdata="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&#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68G8X0gAAAAUBAAAPAAAAAAAAAAEAIAAAACIAAABk&#10;cnMvZG93bnJldi54bWxQSwECFAAUAAAACACHTuJArB1d3tMBAACkAwAADgAAAAAAAAABACAAAAAh&#10;AQAAZHJzL2Uyb0RvYy54bWxQSwUGAAAAAAYABgBZAQAAZgUAAAAA&#10;">
              <v:fill on="f" focussize="0,0"/>
              <v:stroke on="f" weight="0.5pt"/>
              <v:imagedata o:title=""/>
              <o:lock v:ext="edit" aspectratio="f"/>
              <v:textbox inset="0mm,0mm,0mm,0mm" style="mso-fit-shape-to-text:t;">
                <w:txbxContent>
                  <w:p>
                    <w:pPr>
                      <w:pStyle w:val="33"/>
                    </w:pPr>
                    <w:r>
                      <w:fldChar w:fldCharType="begin"/>
                    </w:r>
                    <w:r>
                      <w:instrText xml:space="preserve"> PAGE  \* MERGEFORMAT </w:instrText>
                    </w:r>
                    <w:r>
                      <w:fldChar w:fldCharType="separate"/>
                    </w:r>
                    <w:r>
                      <w:t>112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2"/>
      </w:rPr>
    </w:pPr>
    <w:r>
      <w:fldChar w:fldCharType="begin"/>
    </w:r>
    <w:r>
      <w:rPr>
        <w:rStyle w:val="52"/>
      </w:rPr>
      <w:instrText xml:space="preserve">PAGE  </w:instrText>
    </w:r>
    <w:r>
      <w:fldChar w:fldCharType="end"/>
    </w:r>
  </w:p>
  <w:p>
    <w:pPr>
      <w:pStyle w:val="33"/>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right"/>
    </w:pPr>
    <w:r>
      <w:rPr>
        <w:rFonts w:hint="eastAsia"/>
      </w:rPr>
      <w:t>凤城市同达禽业有限公司年出栏150万只肉鸡饲养项目环境影响报告书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Times New Roman" w:eastAsia="宋体"/>
        <w:b w:val="0"/>
        <w:sz w:val="21"/>
        <w:szCs w:val="21"/>
      </w:rPr>
    </w:pPr>
    <w:r>
      <w:rPr>
        <w:rFonts w:ascii="Times New Roman" w:eastAsia="宋体"/>
        <w:b w:val="0"/>
        <w:sz w:val="21"/>
        <w:szCs w:val="21"/>
      </w:rPr>
      <w:t>岳阳湘佳牧业有限公司桃源肉鸡养殖项目</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0"/>
      <w:pBdr>
        <w:bottom w:val="single" w:color="000000" w:sz="4" w:space="0"/>
      </w:pBdr>
      <w:spacing w:line="0" w:lineRule="atLeast"/>
      <w:jc w:val="center"/>
      <w:rPr>
        <w:sz w:val="21"/>
        <w:szCs w:val="21"/>
      </w:rPr>
    </w:pPr>
    <w:r>
      <w:rPr>
        <w:rFonts w:hint="eastAsia" w:ascii="Times New Roman" w:hAnsi="Times New Roman"/>
        <w:sz w:val="21"/>
        <w:szCs w:val="21"/>
      </w:rPr>
      <w:t>岳阳湘佳牧业有限公司</w:t>
    </w:r>
    <w:r>
      <w:rPr>
        <w:rFonts w:ascii="Times New Roman" w:hAnsi="Times New Roman"/>
        <w:sz w:val="21"/>
        <w:szCs w:val="21"/>
      </w:rPr>
      <w:t>肉鸡养殖项目</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000000"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B8D7D9"/>
    <w:multiLevelType w:val="singleLevel"/>
    <w:tmpl w:val="A2B8D7D9"/>
    <w:lvl w:ilvl="0" w:tentative="0">
      <w:start w:val="1"/>
      <w:numFmt w:val="decimal"/>
      <w:suff w:val="nothing"/>
      <w:lvlText w:val="（%1）"/>
      <w:lvlJc w:val="left"/>
    </w:lvl>
  </w:abstractNum>
  <w:abstractNum w:abstractNumId="1">
    <w:nsid w:val="C925961A"/>
    <w:multiLevelType w:val="singleLevel"/>
    <w:tmpl w:val="C925961A"/>
    <w:lvl w:ilvl="0" w:tentative="0">
      <w:start w:val="1"/>
      <w:numFmt w:val="decimal"/>
      <w:suff w:val="nothing"/>
      <w:lvlText w:val="（%1）"/>
      <w:lvlJc w:val="left"/>
    </w:lvl>
  </w:abstractNum>
  <w:abstractNum w:abstractNumId="2">
    <w:nsid w:val="F70E4398"/>
    <w:multiLevelType w:val="singleLevel"/>
    <w:tmpl w:val="F70E4398"/>
    <w:lvl w:ilvl="0" w:tentative="0">
      <w:start w:val="13"/>
      <w:numFmt w:val="chineseCounting"/>
      <w:suff w:val="space"/>
      <w:lvlText w:val="第%1条"/>
      <w:lvlJc w:val="left"/>
      <w:rPr>
        <w:rFonts w:hint="eastAsia"/>
      </w:rPr>
    </w:lvl>
  </w:abstractNum>
  <w:abstractNum w:abstractNumId="3">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4">
    <w:nsid w:val="0E3A6D67"/>
    <w:multiLevelType w:val="multilevel"/>
    <w:tmpl w:val="0E3A6D67"/>
    <w:lvl w:ilvl="0" w:tentative="0">
      <w:start w:val="1"/>
      <w:numFmt w:val="decimal"/>
      <w:pStyle w:val="2"/>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b w:val="0"/>
        <w:bCs w:val="0"/>
        <w:i w:val="0"/>
        <w:iCs w:val="0"/>
        <w:caps w:val="0"/>
        <w:smallCaps w:val="0"/>
        <w:strike w:val="0"/>
        <w:dstrike w:val="0"/>
        <w:outline w:val="0"/>
        <w:shadow w:val="0"/>
        <w:emboss w:val="0"/>
        <w:imprint w:val="0"/>
        <w:vanish w:val="0"/>
        <w:spacing w:val="0"/>
        <w:position w:val="0"/>
        <w:u w:val="none"/>
        <w:vertAlign w:val="baseline"/>
      </w:rPr>
    </w:lvl>
    <w:lvl w:ilvl="2" w:tentative="0">
      <w:start w:val="1"/>
      <w:numFmt w:val="decimal"/>
      <w:lvlText w:val="%1.%2.%3"/>
      <w:lvlJc w:val="left"/>
      <w:pPr>
        <w:tabs>
          <w:tab w:val="left" w:pos="720"/>
        </w:tabs>
        <w:ind w:left="720" w:hanging="720"/>
      </w:pPr>
      <w:rPr>
        <w:rFonts w:hint="eastAsia"/>
      </w:rPr>
    </w:lvl>
    <w:lvl w:ilvl="3" w:tentative="0">
      <w:start w:val="1"/>
      <w:numFmt w:val="decimal"/>
      <w:pStyle w:val="5"/>
      <w:lvlText w:val="%1.%2.%3.%4"/>
      <w:lvlJc w:val="left"/>
      <w:pPr>
        <w:tabs>
          <w:tab w:val="left" w:pos="864"/>
        </w:tabs>
        <w:ind w:left="864" w:hanging="8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5">
    <w:nsid w:val="14B61F2F"/>
    <w:multiLevelType w:val="singleLevel"/>
    <w:tmpl w:val="14B61F2F"/>
    <w:lvl w:ilvl="0" w:tentative="0">
      <w:start w:val="1"/>
      <w:numFmt w:val="decimal"/>
      <w:suff w:val="nothing"/>
      <w:lvlText w:val="（%1）"/>
      <w:lvlJc w:val="left"/>
    </w:lvl>
  </w:abstractNum>
  <w:abstractNum w:abstractNumId="6">
    <w:nsid w:val="1F554AFF"/>
    <w:multiLevelType w:val="singleLevel"/>
    <w:tmpl w:val="1F554AFF"/>
    <w:lvl w:ilvl="0" w:tentative="0">
      <w:start w:val="1"/>
      <w:numFmt w:val="bullet"/>
      <w:pStyle w:val="28"/>
      <w:lvlText w:val=""/>
      <w:lvlJc w:val="left"/>
      <w:pPr>
        <w:tabs>
          <w:tab w:val="left" w:pos="2040"/>
        </w:tabs>
        <w:ind w:left="2040" w:hanging="360"/>
      </w:pPr>
      <w:rPr>
        <w:rFonts w:hint="default" w:ascii="Wingdings" w:hAnsi="Wingdings"/>
      </w:rPr>
    </w:lvl>
  </w:abstractNum>
  <w:abstractNum w:abstractNumId="7">
    <w:nsid w:val="38D1059A"/>
    <w:multiLevelType w:val="singleLevel"/>
    <w:tmpl w:val="38D1059A"/>
    <w:lvl w:ilvl="0" w:tentative="0">
      <w:start w:val="1"/>
      <w:numFmt w:val="upperLetter"/>
      <w:suff w:val="space"/>
      <w:lvlText w:val="%1."/>
      <w:lvlJc w:val="left"/>
    </w:lvl>
  </w:abstractNum>
  <w:abstractNum w:abstractNumId="8">
    <w:nsid w:val="4C15A5B0"/>
    <w:multiLevelType w:val="singleLevel"/>
    <w:tmpl w:val="4C15A5B0"/>
    <w:lvl w:ilvl="0" w:tentative="0">
      <w:start w:val="1"/>
      <w:numFmt w:val="decimal"/>
      <w:suff w:val="nothing"/>
      <w:lvlText w:val="（%1）"/>
      <w:lvlJc w:val="left"/>
    </w:lvl>
  </w:abstractNum>
  <w:abstractNum w:abstractNumId="9">
    <w:nsid w:val="52CEE40E"/>
    <w:multiLevelType w:val="singleLevel"/>
    <w:tmpl w:val="52CEE40E"/>
    <w:lvl w:ilvl="0" w:tentative="0">
      <w:start w:val="1"/>
      <w:numFmt w:val="upperLetter"/>
      <w:suff w:val="space"/>
      <w:lvlText w:val="%1."/>
      <w:lvlJc w:val="left"/>
    </w:lvl>
  </w:abstractNum>
  <w:abstractNum w:abstractNumId="10">
    <w:nsid w:val="5982BE11"/>
    <w:multiLevelType w:val="singleLevel"/>
    <w:tmpl w:val="5982BE11"/>
    <w:lvl w:ilvl="0" w:tentative="0">
      <w:start w:val="1"/>
      <w:numFmt w:val="decimal"/>
      <w:suff w:val="nothing"/>
      <w:lvlText w:val="（%1）"/>
      <w:lvlJc w:val="left"/>
    </w:lvl>
  </w:abstractNum>
  <w:abstractNum w:abstractNumId="11">
    <w:nsid w:val="7EDE12E1"/>
    <w:multiLevelType w:val="singleLevel"/>
    <w:tmpl w:val="7EDE12E1"/>
    <w:lvl w:ilvl="0" w:tentative="0">
      <w:start w:val="1"/>
      <w:numFmt w:val="decimal"/>
      <w:suff w:val="nothing"/>
      <w:lvlText w:val="%1、"/>
      <w:lvlJc w:val="left"/>
    </w:lvl>
  </w:abstractNum>
  <w:num w:numId="1">
    <w:abstractNumId w:val="4"/>
  </w:num>
  <w:num w:numId="2">
    <w:abstractNumId w:val="3"/>
  </w:num>
  <w:num w:numId="3">
    <w:abstractNumId w:val="6"/>
  </w:num>
  <w:num w:numId="4">
    <w:abstractNumId w:val="2"/>
  </w:num>
  <w:num w:numId="5">
    <w:abstractNumId w:val="10"/>
  </w:num>
  <w:num w:numId="6">
    <w:abstractNumId w:val="8"/>
  </w:num>
  <w:num w:numId="7">
    <w:abstractNumId w:val="11"/>
  </w:num>
  <w:num w:numId="8">
    <w:abstractNumId w:val="7"/>
  </w:num>
  <w:num w:numId="9">
    <w:abstractNumId w:val="9"/>
  </w:num>
  <w:num w:numId="10">
    <w:abstractNumId w:val="1"/>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isplayBackgroundShape w:val="1"/>
  <w:bordersDoNotSurroundHeader w:val="0"/>
  <w:bordersDoNotSurroundFooter w:val="0"/>
  <w:documentProtection w:enforcement="0"/>
  <w:defaultTabStop w:val="420"/>
  <w:drawingGridHorizontalSpacing w:val="109"/>
  <w:drawingGridVerticalSpacing w:val="16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1MTE4YjQ1NjFlN2Y5YjY3MWRhMjM3YjI2MzEwYjkifQ=="/>
  </w:docVars>
  <w:rsids>
    <w:rsidRoot w:val="00172A27"/>
    <w:rsid w:val="00000101"/>
    <w:rsid w:val="000004E3"/>
    <w:rsid w:val="00000868"/>
    <w:rsid w:val="00001991"/>
    <w:rsid w:val="000060DA"/>
    <w:rsid w:val="000062D6"/>
    <w:rsid w:val="000077A8"/>
    <w:rsid w:val="0000785C"/>
    <w:rsid w:val="000108F1"/>
    <w:rsid w:val="00011ABF"/>
    <w:rsid w:val="00011DBA"/>
    <w:rsid w:val="000122E1"/>
    <w:rsid w:val="000124D2"/>
    <w:rsid w:val="00012A21"/>
    <w:rsid w:val="000147BF"/>
    <w:rsid w:val="00014EA9"/>
    <w:rsid w:val="00014F0D"/>
    <w:rsid w:val="000161E7"/>
    <w:rsid w:val="00016944"/>
    <w:rsid w:val="00016B0A"/>
    <w:rsid w:val="00020902"/>
    <w:rsid w:val="00021521"/>
    <w:rsid w:val="00021F5F"/>
    <w:rsid w:val="00022014"/>
    <w:rsid w:val="000232F7"/>
    <w:rsid w:val="00024102"/>
    <w:rsid w:val="0002501A"/>
    <w:rsid w:val="0002693C"/>
    <w:rsid w:val="0002727F"/>
    <w:rsid w:val="00030212"/>
    <w:rsid w:val="0003021B"/>
    <w:rsid w:val="000307C9"/>
    <w:rsid w:val="00030C4B"/>
    <w:rsid w:val="0003173E"/>
    <w:rsid w:val="000321C0"/>
    <w:rsid w:val="000321D6"/>
    <w:rsid w:val="00032BB8"/>
    <w:rsid w:val="00032E12"/>
    <w:rsid w:val="00035783"/>
    <w:rsid w:val="0003778C"/>
    <w:rsid w:val="00040E62"/>
    <w:rsid w:val="00041AF7"/>
    <w:rsid w:val="00041B94"/>
    <w:rsid w:val="00042231"/>
    <w:rsid w:val="00043FE3"/>
    <w:rsid w:val="0004480D"/>
    <w:rsid w:val="00047643"/>
    <w:rsid w:val="00047A2C"/>
    <w:rsid w:val="00050982"/>
    <w:rsid w:val="00051AB4"/>
    <w:rsid w:val="00052CE0"/>
    <w:rsid w:val="00053D6D"/>
    <w:rsid w:val="000551EB"/>
    <w:rsid w:val="00055772"/>
    <w:rsid w:val="00060C65"/>
    <w:rsid w:val="00060F30"/>
    <w:rsid w:val="00061977"/>
    <w:rsid w:val="00063583"/>
    <w:rsid w:val="00063ADA"/>
    <w:rsid w:val="0006444F"/>
    <w:rsid w:val="00064900"/>
    <w:rsid w:val="00064FA1"/>
    <w:rsid w:val="00065635"/>
    <w:rsid w:val="00070B72"/>
    <w:rsid w:val="00071A3F"/>
    <w:rsid w:val="00071CB2"/>
    <w:rsid w:val="00072783"/>
    <w:rsid w:val="00073BC0"/>
    <w:rsid w:val="00075AAC"/>
    <w:rsid w:val="00077CC1"/>
    <w:rsid w:val="0008051F"/>
    <w:rsid w:val="000816EA"/>
    <w:rsid w:val="00081830"/>
    <w:rsid w:val="00081F88"/>
    <w:rsid w:val="0008484C"/>
    <w:rsid w:val="0008492C"/>
    <w:rsid w:val="00085163"/>
    <w:rsid w:val="00087DA4"/>
    <w:rsid w:val="00090F92"/>
    <w:rsid w:val="00091C78"/>
    <w:rsid w:val="00092355"/>
    <w:rsid w:val="00092EFE"/>
    <w:rsid w:val="00093D51"/>
    <w:rsid w:val="0009404F"/>
    <w:rsid w:val="000941F0"/>
    <w:rsid w:val="00094623"/>
    <w:rsid w:val="00094653"/>
    <w:rsid w:val="000948BA"/>
    <w:rsid w:val="00094FB0"/>
    <w:rsid w:val="00094FDA"/>
    <w:rsid w:val="00097FFC"/>
    <w:rsid w:val="000A0A7F"/>
    <w:rsid w:val="000A131C"/>
    <w:rsid w:val="000A53E4"/>
    <w:rsid w:val="000A77AC"/>
    <w:rsid w:val="000A7868"/>
    <w:rsid w:val="000B017D"/>
    <w:rsid w:val="000B136B"/>
    <w:rsid w:val="000B1E6C"/>
    <w:rsid w:val="000B3844"/>
    <w:rsid w:val="000B4B11"/>
    <w:rsid w:val="000B4B4A"/>
    <w:rsid w:val="000B550A"/>
    <w:rsid w:val="000B5566"/>
    <w:rsid w:val="000B5616"/>
    <w:rsid w:val="000B5645"/>
    <w:rsid w:val="000B67DD"/>
    <w:rsid w:val="000C0F73"/>
    <w:rsid w:val="000C1B39"/>
    <w:rsid w:val="000C247E"/>
    <w:rsid w:val="000C386E"/>
    <w:rsid w:val="000C3903"/>
    <w:rsid w:val="000C3C53"/>
    <w:rsid w:val="000C457B"/>
    <w:rsid w:val="000C4812"/>
    <w:rsid w:val="000C4D93"/>
    <w:rsid w:val="000C6ED6"/>
    <w:rsid w:val="000D149D"/>
    <w:rsid w:val="000D1C81"/>
    <w:rsid w:val="000D2640"/>
    <w:rsid w:val="000D2CEB"/>
    <w:rsid w:val="000D2FCB"/>
    <w:rsid w:val="000D6019"/>
    <w:rsid w:val="000D67E5"/>
    <w:rsid w:val="000E09ED"/>
    <w:rsid w:val="000E12B7"/>
    <w:rsid w:val="000E190F"/>
    <w:rsid w:val="000E2451"/>
    <w:rsid w:val="000E3D35"/>
    <w:rsid w:val="000E4392"/>
    <w:rsid w:val="000E47BF"/>
    <w:rsid w:val="000E4E8F"/>
    <w:rsid w:val="000E5C69"/>
    <w:rsid w:val="000E60CC"/>
    <w:rsid w:val="000E67D3"/>
    <w:rsid w:val="000E6F03"/>
    <w:rsid w:val="000E7B18"/>
    <w:rsid w:val="000E7F84"/>
    <w:rsid w:val="000E7FFA"/>
    <w:rsid w:val="000F1026"/>
    <w:rsid w:val="000F17AB"/>
    <w:rsid w:val="000F2287"/>
    <w:rsid w:val="000F2904"/>
    <w:rsid w:val="000F3232"/>
    <w:rsid w:val="000F44CA"/>
    <w:rsid w:val="000F4AF0"/>
    <w:rsid w:val="000F557A"/>
    <w:rsid w:val="000F5F62"/>
    <w:rsid w:val="000F6372"/>
    <w:rsid w:val="000F6C1C"/>
    <w:rsid w:val="000F6C9B"/>
    <w:rsid w:val="000F7DBF"/>
    <w:rsid w:val="00100682"/>
    <w:rsid w:val="00102AA3"/>
    <w:rsid w:val="00103890"/>
    <w:rsid w:val="00103D81"/>
    <w:rsid w:val="001054DA"/>
    <w:rsid w:val="001067A2"/>
    <w:rsid w:val="00106C29"/>
    <w:rsid w:val="001108D5"/>
    <w:rsid w:val="00110C15"/>
    <w:rsid w:val="001110F5"/>
    <w:rsid w:val="00111808"/>
    <w:rsid w:val="00111F25"/>
    <w:rsid w:val="001143DB"/>
    <w:rsid w:val="00114D31"/>
    <w:rsid w:val="0011534D"/>
    <w:rsid w:val="001155D2"/>
    <w:rsid w:val="0011587B"/>
    <w:rsid w:val="00115D12"/>
    <w:rsid w:val="001164EF"/>
    <w:rsid w:val="00116E1D"/>
    <w:rsid w:val="00117F05"/>
    <w:rsid w:val="00120020"/>
    <w:rsid w:val="0012181F"/>
    <w:rsid w:val="00121DC6"/>
    <w:rsid w:val="00122C8C"/>
    <w:rsid w:val="00122DA1"/>
    <w:rsid w:val="00124F25"/>
    <w:rsid w:val="0013037B"/>
    <w:rsid w:val="00131416"/>
    <w:rsid w:val="00131705"/>
    <w:rsid w:val="001326C2"/>
    <w:rsid w:val="00133AC3"/>
    <w:rsid w:val="00135356"/>
    <w:rsid w:val="00136F79"/>
    <w:rsid w:val="00137E37"/>
    <w:rsid w:val="00140268"/>
    <w:rsid w:val="00140F0A"/>
    <w:rsid w:val="0014181A"/>
    <w:rsid w:val="001425EB"/>
    <w:rsid w:val="00142F85"/>
    <w:rsid w:val="001438CF"/>
    <w:rsid w:val="0014482C"/>
    <w:rsid w:val="001452CC"/>
    <w:rsid w:val="00145CB2"/>
    <w:rsid w:val="001473AA"/>
    <w:rsid w:val="00150035"/>
    <w:rsid w:val="0015006B"/>
    <w:rsid w:val="00150917"/>
    <w:rsid w:val="0015123F"/>
    <w:rsid w:val="00151531"/>
    <w:rsid w:val="00151CD3"/>
    <w:rsid w:val="00152246"/>
    <w:rsid w:val="00152435"/>
    <w:rsid w:val="00153009"/>
    <w:rsid w:val="00153072"/>
    <w:rsid w:val="001533CE"/>
    <w:rsid w:val="00153455"/>
    <w:rsid w:val="00153C7F"/>
    <w:rsid w:val="00153CE2"/>
    <w:rsid w:val="001565C9"/>
    <w:rsid w:val="00156C89"/>
    <w:rsid w:val="00160758"/>
    <w:rsid w:val="00160F4E"/>
    <w:rsid w:val="00161143"/>
    <w:rsid w:val="001627FA"/>
    <w:rsid w:val="00165277"/>
    <w:rsid w:val="0016793E"/>
    <w:rsid w:val="00170350"/>
    <w:rsid w:val="00170D6F"/>
    <w:rsid w:val="00172A27"/>
    <w:rsid w:val="00172BBA"/>
    <w:rsid w:val="00173090"/>
    <w:rsid w:val="001733F7"/>
    <w:rsid w:val="00173693"/>
    <w:rsid w:val="001741D2"/>
    <w:rsid w:val="00174991"/>
    <w:rsid w:val="001750F4"/>
    <w:rsid w:val="0017675C"/>
    <w:rsid w:val="0017684C"/>
    <w:rsid w:val="00176C74"/>
    <w:rsid w:val="00177B5B"/>
    <w:rsid w:val="0018011F"/>
    <w:rsid w:val="0018036F"/>
    <w:rsid w:val="0018051C"/>
    <w:rsid w:val="00182483"/>
    <w:rsid w:val="001828E1"/>
    <w:rsid w:val="00183F7C"/>
    <w:rsid w:val="0018539B"/>
    <w:rsid w:val="0018605E"/>
    <w:rsid w:val="00186694"/>
    <w:rsid w:val="0018759D"/>
    <w:rsid w:val="00190B18"/>
    <w:rsid w:val="001910A2"/>
    <w:rsid w:val="0019167D"/>
    <w:rsid w:val="00192572"/>
    <w:rsid w:val="00192F64"/>
    <w:rsid w:val="00193B2D"/>
    <w:rsid w:val="00195D70"/>
    <w:rsid w:val="001967D4"/>
    <w:rsid w:val="001969FF"/>
    <w:rsid w:val="001977EB"/>
    <w:rsid w:val="001A1525"/>
    <w:rsid w:val="001A29E8"/>
    <w:rsid w:val="001A3075"/>
    <w:rsid w:val="001A3DE2"/>
    <w:rsid w:val="001A41F2"/>
    <w:rsid w:val="001A527B"/>
    <w:rsid w:val="001A6481"/>
    <w:rsid w:val="001A7D21"/>
    <w:rsid w:val="001A7DAA"/>
    <w:rsid w:val="001A7EFB"/>
    <w:rsid w:val="001B0EC2"/>
    <w:rsid w:val="001B3B10"/>
    <w:rsid w:val="001B5574"/>
    <w:rsid w:val="001B55DE"/>
    <w:rsid w:val="001B6294"/>
    <w:rsid w:val="001B62C4"/>
    <w:rsid w:val="001B6A49"/>
    <w:rsid w:val="001C0241"/>
    <w:rsid w:val="001C08DA"/>
    <w:rsid w:val="001C1A9A"/>
    <w:rsid w:val="001C1E50"/>
    <w:rsid w:val="001C2C2F"/>
    <w:rsid w:val="001C3A89"/>
    <w:rsid w:val="001C3CC8"/>
    <w:rsid w:val="001C4335"/>
    <w:rsid w:val="001C445D"/>
    <w:rsid w:val="001C4B44"/>
    <w:rsid w:val="001C5B87"/>
    <w:rsid w:val="001C609B"/>
    <w:rsid w:val="001C6C5F"/>
    <w:rsid w:val="001C7F86"/>
    <w:rsid w:val="001D2F47"/>
    <w:rsid w:val="001D43BD"/>
    <w:rsid w:val="001D47C8"/>
    <w:rsid w:val="001D653B"/>
    <w:rsid w:val="001D7084"/>
    <w:rsid w:val="001D715E"/>
    <w:rsid w:val="001D7714"/>
    <w:rsid w:val="001D79CE"/>
    <w:rsid w:val="001E12D6"/>
    <w:rsid w:val="001E3A17"/>
    <w:rsid w:val="001E3BB3"/>
    <w:rsid w:val="001E3F76"/>
    <w:rsid w:val="001E537C"/>
    <w:rsid w:val="001E5628"/>
    <w:rsid w:val="001E5B8F"/>
    <w:rsid w:val="001E7B1D"/>
    <w:rsid w:val="001F067D"/>
    <w:rsid w:val="001F0C24"/>
    <w:rsid w:val="001F171F"/>
    <w:rsid w:val="001F3067"/>
    <w:rsid w:val="001F3223"/>
    <w:rsid w:val="001F4D4C"/>
    <w:rsid w:val="001F5592"/>
    <w:rsid w:val="001F6070"/>
    <w:rsid w:val="001F75FD"/>
    <w:rsid w:val="001F7D07"/>
    <w:rsid w:val="00200A72"/>
    <w:rsid w:val="0020138D"/>
    <w:rsid w:val="00201847"/>
    <w:rsid w:val="002024A1"/>
    <w:rsid w:val="00203ABA"/>
    <w:rsid w:val="0020415C"/>
    <w:rsid w:val="00205EAA"/>
    <w:rsid w:val="0020629E"/>
    <w:rsid w:val="00206C93"/>
    <w:rsid w:val="00206F34"/>
    <w:rsid w:val="00211974"/>
    <w:rsid w:val="00212178"/>
    <w:rsid w:val="00217451"/>
    <w:rsid w:val="00220BF3"/>
    <w:rsid w:val="00221DEE"/>
    <w:rsid w:val="00222456"/>
    <w:rsid w:val="0022395F"/>
    <w:rsid w:val="00223E33"/>
    <w:rsid w:val="00224870"/>
    <w:rsid w:val="002252C6"/>
    <w:rsid w:val="0022706B"/>
    <w:rsid w:val="002270E1"/>
    <w:rsid w:val="00230142"/>
    <w:rsid w:val="00230A7A"/>
    <w:rsid w:val="00230C13"/>
    <w:rsid w:val="00232B17"/>
    <w:rsid w:val="00232EDC"/>
    <w:rsid w:val="00233918"/>
    <w:rsid w:val="00233D93"/>
    <w:rsid w:val="002348CB"/>
    <w:rsid w:val="00234EA2"/>
    <w:rsid w:val="0023619C"/>
    <w:rsid w:val="00237225"/>
    <w:rsid w:val="00237734"/>
    <w:rsid w:val="002418E0"/>
    <w:rsid w:val="00241E20"/>
    <w:rsid w:val="00242359"/>
    <w:rsid w:val="00242680"/>
    <w:rsid w:val="00242F89"/>
    <w:rsid w:val="00243443"/>
    <w:rsid w:val="00244826"/>
    <w:rsid w:val="002448D3"/>
    <w:rsid w:val="002449DE"/>
    <w:rsid w:val="00246496"/>
    <w:rsid w:val="00247DEE"/>
    <w:rsid w:val="00250A8F"/>
    <w:rsid w:val="0025122E"/>
    <w:rsid w:val="00252AD6"/>
    <w:rsid w:val="00252D85"/>
    <w:rsid w:val="00253119"/>
    <w:rsid w:val="00254FA8"/>
    <w:rsid w:val="00255798"/>
    <w:rsid w:val="0025645A"/>
    <w:rsid w:val="00257048"/>
    <w:rsid w:val="00260451"/>
    <w:rsid w:val="002607E8"/>
    <w:rsid w:val="0026091F"/>
    <w:rsid w:val="00263172"/>
    <w:rsid w:val="00264ECB"/>
    <w:rsid w:val="00265729"/>
    <w:rsid w:val="002676DB"/>
    <w:rsid w:val="00270A64"/>
    <w:rsid w:val="00270B88"/>
    <w:rsid w:val="00271A71"/>
    <w:rsid w:val="00272BCC"/>
    <w:rsid w:val="00273D59"/>
    <w:rsid w:val="00274183"/>
    <w:rsid w:val="00275325"/>
    <w:rsid w:val="002756AE"/>
    <w:rsid w:val="00276D43"/>
    <w:rsid w:val="002775AE"/>
    <w:rsid w:val="002800EF"/>
    <w:rsid w:val="00280149"/>
    <w:rsid w:val="00280BAF"/>
    <w:rsid w:val="0028110E"/>
    <w:rsid w:val="002823C3"/>
    <w:rsid w:val="00282519"/>
    <w:rsid w:val="00282C1B"/>
    <w:rsid w:val="00283488"/>
    <w:rsid w:val="002866ED"/>
    <w:rsid w:val="002869BD"/>
    <w:rsid w:val="002872B6"/>
    <w:rsid w:val="00290B3F"/>
    <w:rsid w:val="0029108C"/>
    <w:rsid w:val="00294905"/>
    <w:rsid w:val="00294FA9"/>
    <w:rsid w:val="0029504C"/>
    <w:rsid w:val="00296723"/>
    <w:rsid w:val="002968D9"/>
    <w:rsid w:val="002A0016"/>
    <w:rsid w:val="002A05B8"/>
    <w:rsid w:val="002A27A2"/>
    <w:rsid w:val="002A32F8"/>
    <w:rsid w:val="002A4240"/>
    <w:rsid w:val="002A4CB1"/>
    <w:rsid w:val="002A5408"/>
    <w:rsid w:val="002A55FF"/>
    <w:rsid w:val="002A6244"/>
    <w:rsid w:val="002A6B15"/>
    <w:rsid w:val="002A7286"/>
    <w:rsid w:val="002B05CA"/>
    <w:rsid w:val="002B10A3"/>
    <w:rsid w:val="002B2BD6"/>
    <w:rsid w:val="002B44BF"/>
    <w:rsid w:val="002B6A4D"/>
    <w:rsid w:val="002C0A30"/>
    <w:rsid w:val="002C185C"/>
    <w:rsid w:val="002C18A9"/>
    <w:rsid w:val="002C1A4B"/>
    <w:rsid w:val="002C3028"/>
    <w:rsid w:val="002C3582"/>
    <w:rsid w:val="002C4389"/>
    <w:rsid w:val="002C452F"/>
    <w:rsid w:val="002C51C2"/>
    <w:rsid w:val="002C5D3B"/>
    <w:rsid w:val="002C767B"/>
    <w:rsid w:val="002D0AE1"/>
    <w:rsid w:val="002D1A4D"/>
    <w:rsid w:val="002D1BFD"/>
    <w:rsid w:val="002D2B27"/>
    <w:rsid w:val="002D2C8C"/>
    <w:rsid w:val="002D42B1"/>
    <w:rsid w:val="002D4653"/>
    <w:rsid w:val="002D4ACB"/>
    <w:rsid w:val="002D4DFC"/>
    <w:rsid w:val="002D520D"/>
    <w:rsid w:val="002D6409"/>
    <w:rsid w:val="002D64CC"/>
    <w:rsid w:val="002D74B1"/>
    <w:rsid w:val="002D78C0"/>
    <w:rsid w:val="002E05E1"/>
    <w:rsid w:val="002E07DD"/>
    <w:rsid w:val="002E09F1"/>
    <w:rsid w:val="002E1051"/>
    <w:rsid w:val="002E204B"/>
    <w:rsid w:val="002E28B1"/>
    <w:rsid w:val="002E4BA4"/>
    <w:rsid w:val="002E5517"/>
    <w:rsid w:val="002E55C8"/>
    <w:rsid w:val="002E633A"/>
    <w:rsid w:val="002E6C74"/>
    <w:rsid w:val="002E7634"/>
    <w:rsid w:val="002E7DD5"/>
    <w:rsid w:val="002F1379"/>
    <w:rsid w:val="002F3D3D"/>
    <w:rsid w:val="002F443B"/>
    <w:rsid w:val="002F51B0"/>
    <w:rsid w:val="002F57E7"/>
    <w:rsid w:val="002F5A56"/>
    <w:rsid w:val="002F7728"/>
    <w:rsid w:val="00300675"/>
    <w:rsid w:val="00301A6F"/>
    <w:rsid w:val="00301D3B"/>
    <w:rsid w:val="00301E22"/>
    <w:rsid w:val="00301FE4"/>
    <w:rsid w:val="0030289B"/>
    <w:rsid w:val="0030327C"/>
    <w:rsid w:val="00303C94"/>
    <w:rsid w:val="00304326"/>
    <w:rsid w:val="00305751"/>
    <w:rsid w:val="003076D2"/>
    <w:rsid w:val="0031076A"/>
    <w:rsid w:val="00310A27"/>
    <w:rsid w:val="003117CD"/>
    <w:rsid w:val="00311E22"/>
    <w:rsid w:val="00312737"/>
    <w:rsid w:val="00314D43"/>
    <w:rsid w:val="00315606"/>
    <w:rsid w:val="00316A2C"/>
    <w:rsid w:val="00317408"/>
    <w:rsid w:val="00321E64"/>
    <w:rsid w:val="00323BE9"/>
    <w:rsid w:val="00325106"/>
    <w:rsid w:val="003306C8"/>
    <w:rsid w:val="00330FCF"/>
    <w:rsid w:val="003312D6"/>
    <w:rsid w:val="0033245F"/>
    <w:rsid w:val="00332824"/>
    <w:rsid w:val="00332867"/>
    <w:rsid w:val="003339D6"/>
    <w:rsid w:val="00333D17"/>
    <w:rsid w:val="00333D70"/>
    <w:rsid w:val="00334491"/>
    <w:rsid w:val="00334C9F"/>
    <w:rsid w:val="00335FF5"/>
    <w:rsid w:val="0033732D"/>
    <w:rsid w:val="00337B4D"/>
    <w:rsid w:val="0034187D"/>
    <w:rsid w:val="003437B5"/>
    <w:rsid w:val="00344DEA"/>
    <w:rsid w:val="003451E6"/>
    <w:rsid w:val="00345AC9"/>
    <w:rsid w:val="00345C43"/>
    <w:rsid w:val="00346EC3"/>
    <w:rsid w:val="003475A0"/>
    <w:rsid w:val="00347BF4"/>
    <w:rsid w:val="00351051"/>
    <w:rsid w:val="003525C7"/>
    <w:rsid w:val="00352AF9"/>
    <w:rsid w:val="00352B97"/>
    <w:rsid w:val="00352E78"/>
    <w:rsid w:val="003531FE"/>
    <w:rsid w:val="0035497F"/>
    <w:rsid w:val="003559FE"/>
    <w:rsid w:val="00357157"/>
    <w:rsid w:val="00357508"/>
    <w:rsid w:val="00360A80"/>
    <w:rsid w:val="003612E3"/>
    <w:rsid w:val="00365E32"/>
    <w:rsid w:val="003661CE"/>
    <w:rsid w:val="00366265"/>
    <w:rsid w:val="00366D05"/>
    <w:rsid w:val="0037057F"/>
    <w:rsid w:val="00370869"/>
    <w:rsid w:val="003714D4"/>
    <w:rsid w:val="0037175D"/>
    <w:rsid w:val="0037177A"/>
    <w:rsid w:val="00371D1D"/>
    <w:rsid w:val="00373F68"/>
    <w:rsid w:val="00374079"/>
    <w:rsid w:val="00374088"/>
    <w:rsid w:val="003752D3"/>
    <w:rsid w:val="003758E4"/>
    <w:rsid w:val="00375E59"/>
    <w:rsid w:val="00376B70"/>
    <w:rsid w:val="003772FF"/>
    <w:rsid w:val="00377BEC"/>
    <w:rsid w:val="00377E71"/>
    <w:rsid w:val="0038085C"/>
    <w:rsid w:val="00380AE6"/>
    <w:rsid w:val="0038160B"/>
    <w:rsid w:val="00383389"/>
    <w:rsid w:val="003834C4"/>
    <w:rsid w:val="00385369"/>
    <w:rsid w:val="00385BDD"/>
    <w:rsid w:val="003906DD"/>
    <w:rsid w:val="003907AB"/>
    <w:rsid w:val="00392C59"/>
    <w:rsid w:val="00395B22"/>
    <w:rsid w:val="0039738C"/>
    <w:rsid w:val="0039739C"/>
    <w:rsid w:val="003A01D6"/>
    <w:rsid w:val="003A0437"/>
    <w:rsid w:val="003A0C9E"/>
    <w:rsid w:val="003A0E1B"/>
    <w:rsid w:val="003A38DC"/>
    <w:rsid w:val="003A3A7E"/>
    <w:rsid w:val="003A4B56"/>
    <w:rsid w:val="003A518E"/>
    <w:rsid w:val="003A528C"/>
    <w:rsid w:val="003A5400"/>
    <w:rsid w:val="003A58D3"/>
    <w:rsid w:val="003A5C84"/>
    <w:rsid w:val="003A6BCF"/>
    <w:rsid w:val="003A74A1"/>
    <w:rsid w:val="003A7A60"/>
    <w:rsid w:val="003B06EB"/>
    <w:rsid w:val="003B0CBB"/>
    <w:rsid w:val="003B0D26"/>
    <w:rsid w:val="003B17B9"/>
    <w:rsid w:val="003B19D0"/>
    <w:rsid w:val="003B1DE8"/>
    <w:rsid w:val="003B1E10"/>
    <w:rsid w:val="003B1FD1"/>
    <w:rsid w:val="003B20BA"/>
    <w:rsid w:val="003B36D5"/>
    <w:rsid w:val="003B3A26"/>
    <w:rsid w:val="003B48C7"/>
    <w:rsid w:val="003B48FA"/>
    <w:rsid w:val="003B6892"/>
    <w:rsid w:val="003B6B73"/>
    <w:rsid w:val="003C04AB"/>
    <w:rsid w:val="003C2F50"/>
    <w:rsid w:val="003C3B2E"/>
    <w:rsid w:val="003C3C4B"/>
    <w:rsid w:val="003C3EC7"/>
    <w:rsid w:val="003C3FF9"/>
    <w:rsid w:val="003C420B"/>
    <w:rsid w:val="003C4A2D"/>
    <w:rsid w:val="003C4B39"/>
    <w:rsid w:val="003C512D"/>
    <w:rsid w:val="003C6EBB"/>
    <w:rsid w:val="003C78EB"/>
    <w:rsid w:val="003D1A9A"/>
    <w:rsid w:val="003D384F"/>
    <w:rsid w:val="003D43BD"/>
    <w:rsid w:val="003D45B9"/>
    <w:rsid w:val="003D5369"/>
    <w:rsid w:val="003D54D1"/>
    <w:rsid w:val="003D5577"/>
    <w:rsid w:val="003D580F"/>
    <w:rsid w:val="003D5F75"/>
    <w:rsid w:val="003D6567"/>
    <w:rsid w:val="003D65BC"/>
    <w:rsid w:val="003D6E0D"/>
    <w:rsid w:val="003E1E27"/>
    <w:rsid w:val="003E28C4"/>
    <w:rsid w:val="003E3DB4"/>
    <w:rsid w:val="003E3ECF"/>
    <w:rsid w:val="003E4719"/>
    <w:rsid w:val="003E4901"/>
    <w:rsid w:val="003E584D"/>
    <w:rsid w:val="003E5B1E"/>
    <w:rsid w:val="003E5BB2"/>
    <w:rsid w:val="003E75D4"/>
    <w:rsid w:val="003E7C7B"/>
    <w:rsid w:val="003F022B"/>
    <w:rsid w:val="003F0492"/>
    <w:rsid w:val="003F04B6"/>
    <w:rsid w:val="003F2442"/>
    <w:rsid w:val="003F3F81"/>
    <w:rsid w:val="003F3FD8"/>
    <w:rsid w:val="003F4BF4"/>
    <w:rsid w:val="003F5376"/>
    <w:rsid w:val="003F5DAC"/>
    <w:rsid w:val="003F635D"/>
    <w:rsid w:val="003F6C6C"/>
    <w:rsid w:val="003F7031"/>
    <w:rsid w:val="003F775D"/>
    <w:rsid w:val="00400807"/>
    <w:rsid w:val="00400993"/>
    <w:rsid w:val="004012D9"/>
    <w:rsid w:val="004016B5"/>
    <w:rsid w:val="00401726"/>
    <w:rsid w:val="0040299C"/>
    <w:rsid w:val="00403145"/>
    <w:rsid w:val="004035DE"/>
    <w:rsid w:val="004037E4"/>
    <w:rsid w:val="00405873"/>
    <w:rsid w:val="00406C8F"/>
    <w:rsid w:val="00406D94"/>
    <w:rsid w:val="00407087"/>
    <w:rsid w:val="00407155"/>
    <w:rsid w:val="00407905"/>
    <w:rsid w:val="00410B31"/>
    <w:rsid w:val="00411112"/>
    <w:rsid w:val="0041133B"/>
    <w:rsid w:val="00411455"/>
    <w:rsid w:val="004120AE"/>
    <w:rsid w:val="00412382"/>
    <w:rsid w:val="00412A70"/>
    <w:rsid w:val="0041315C"/>
    <w:rsid w:val="00413E2F"/>
    <w:rsid w:val="00413E9A"/>
    <w:rsid w:val="004141F2"/>
    <w:rsid w:val="004148A0"/>
    <w:rsid w:val="004170FB"/>
    <w:rsid w:val="00417E83"/>
    <w:rsid w:val="004200A3"/>
    <w:rsid w:val="0042089E"/>
    <w:rsid w:val="00421084"/>
    <w:rsid w:val="0042226D"/>
    <w:rsid w:val="0042239E"/>
    <w:rsid w:val="004228A0"/>
    <w:rsid w:val="00422A39"/>
    <w:rsid w:val="00422ADA"/>
    <w:rsid w:val="00422C94"/>
    <w:rsid w:val="00423271"/>
    <w:rsid w:val="00423D08"/>
    <w:rsid w:val="00424E20"/>
    <w:rsid w:val="00426A44"/>
    <w:rsid w:val="00430598"/>
    <w:rsid w:val="00430710"/>
    <w:rsid w:val="00430EA3"/>
    <w:rsid w:val="00432D05"/>
    <w:rsid w:val="00433664"/>
    <w:rsid w:val="00433E90"/>
    <w:rsid w:val="00435C10"/>
    <w:rsid w:val="004366D1"/>
    <w:rsid w:val="0044013F"/>
    <w:rsid w:val="00440A5D"/>
    <w:rsid w:val="00440C67"/>
    <w:rsid w:val="00441356"/>
    <w:rsid w:val="00441B8A"/>
    <w:rsid w:val="0044478D"/>
    <w:rsid w:val="004457A5"/>
    <w:rsid w:val="00445820"/>
    <w:rsid w:val="00446BD8"/>
    <w:rsid w:val="00447486"/>
    <w:rsid w:val="0044792F"/>
    <w:rsid w:val="00450EAA"/>
    <w:rsid w:val="00452DA6"/>
    <w:rsid w:val="004538AD"/>
    <w:rsid w:val="00453FBE"/>
    <w:rsid w:val="00454B89"/>
    <w:rsid w:val="0045559D"/>
    <w:rsid w:val="0045570D"/>
    <w:rsid w:val="004557F5"/>
    <w:rsid w:val="00456DD3"/>
    <w:rsid w:val="00460A5D"/>
    <w:rsid w:val="00460F40"/>
    <w:rsid w:val="00460F51"/>
    <w:rsid w:val="00461925"/>
    <w:rsid w:val="00461D23"/>
    <w:rsid w:val="004638DF"/>
    <w:rsid w:val="0046486F"/>
    <w:rsid w:val="00464DC2"/>
    <w:rsid w:val="00465486"/>
    <w:rsid w:val="00465C20"/>
    <w:rsid w:val="004676FB"/>
    <w:rsid w:val="00470452"/>
    <w:rsid w:val="00470796"/>
    <w:rsid w:val="00471837"/>
    <w:rsid w:val="0047186A"/>
    <w:rsid w:val="00471E58"/>
    <w:rsid w:val="004720E1"/>
    <w:rsid w:val="0047239A"/>
    <w:rsid w:val="004727A7"/>
    <w:rsid w:val="004737B1"/>
    <w:rsid w:val="00473866"/>
    <w:rsid w:val="004748BF"/>
    <w:rsid w:val="004750E8"/>
    <w:rsid w:val="00475B4B"/>
    <w:rsid w:val="004763E9"/>
    <w:rsid w:val="0047793D"/>
    <w:rsid w:val="00481756"/>
    <w:rsid w:val="00481C67"/>
    <w:rsid w:val="00482601"/>
    <w:rsid w:val="00482947"/>
    <w:rsid w:val="00483302"/>
    <w:rsid w:val="004835BD"/>
    <w:rsid w:val="004838C6"/>
    <w:rsid w:val="00483C2D"/>
    <w:rsid w:val="00483F50"/>
    <w:rsid w:val="004842F4"/>
    <w:rsid w:val="004856DD"/>
    <w:rsid w:val="00485A88"/>
    <w:rsid w:val="00487130"/>
    <w:rsid w:val="0049023D"/>
    <w:rsid w:val="00490937"/>
    <w:rsid w:val="00490F4A"/>
    <w:rsid w:val="004910C7"/>
    <w:rsid w:val="004920BB"/>
    <w:rsid w:val="00492549"/>
    <w:rsid w:val="00493E71"/>
    <w:rsid w:val="00494063"/>
    <w:rsid w:val="00494376"/>
    <w:rsid w:val="00494901"/>
    <w:rsid w:val="00494F47"/>
    <w:rsid w:val="00495214"/>
    <w:rsid w:val="004954E0"/>
    <w:rsid w:val="00495CC1"/>
    <w:rsid w:val="0049621B"/>
    <w:rsid w:val="004A0828"/>
    <w:rsid w:val="004A2F63"/>
    <w:rsid w:val="004A339B"/>
    <w:rsid w:val="004A4413"/>
    <w:rsid w:val="004A4AD6"/>
    <w:rsid w:val="004A5170"/>
    <w:rsid w:val="004A5BEC"/>
    <w:rsid w:val="004A6EC7"/>
    <w:rsid w:val="004A733B"/>
    <w:rsid w:val="004A7DA6"/>
    <w:rsid w:val="004B12F1"/>
    <w:rsid w:val="004B2763"/>
    <w:rsid w:val="004B3EBE"/>
    <w:rsid w:val="004B465F"/>
    <w:rsid w:val="004B4FEB"/>
    <w:rsid w:val="004B63AA"/>
    <w:rsid w:val="004B7186"/>
    <w:rsid w:val="004B7436"/>
    <w:rsid w:val="004B75C1"/>
    <w:rsid w:val="004C1072"/>
    <w:rsid w:val="004C32B2"/>
    <w:rsid w:val="004C418D"/>
    <w:rsid w:val="004C569A"/>
    <w:rsid w:val="004C625C"/>
    <w:rsid w:val="004C6AD1"/>
    <w:rsid w:val="004C709B"/>
    <w:rsid w:val="004D0444"/>
    <w:rsid w:val="004D0A9E"/>
    <w:rsid w:val="004D0B32"/>
    <w:rsid w:val="004D150E"/>
    <w:rsid w:val="004D227A"/>
    <w:rsid w:val="004D5B23"/>
    <w:rsid w:val="004D62F4"/>
    <w:rsid w:val="004D733C"/>
    <w:rsid w:val="004D79CC"/>
    <w:rsid w:val="004D7A3B"/>
    <w:rsid w:val="004D7C90"/>
    <w:rsid w:val="004E0EBC"/>
    <w:rsid w:val="004E1317"/>
    <w:rsid w:val="004E2B47"/>
    <w:rsid w:val="004E2EFF"/>
    <w:rsid w:val="004E3BCC"/>
    <w:rsid w:val="004E5BFC"/>
    <w:rsid w:val="004E62E9"/>
    <w:rsid w:val="004E6FC2"/>
    <w:rsid w:val="004F03A6"/>
    <w:rsid w:val="004F12CA"/>
    <w:rsid w:val="004F13B1"/>
    <w:rsid w:val="004F1620"/>
    <w:rsid w:val="004F4268"/>
    <w:rsid w:val="004F57E3"/>
    <w:rsid w:val="004F7324"/>
    <w:rsid w:val="004F7592"/>
    <w:rsid w:val="00500168"/>
    <w:rsid w:val="005014A7"/>
    <w:rsid w:val="00501D79"/>
    <w:rsid w:val="00502744"/>
    <w:rsid w:val="005055AE"/>
    <w:rsid w:val="00506B71"/>
    <w:rsid w:val="00511A51"/>
    <w:rsid w:val="00511E1E"/>
    <w:rsid w:val="00512F57"/>
    <w:rsid w:val="00513854"/>
    <w:rsid w:val="005144F5"/>
    <w:rsid w:val="0051492E"/>
    <w:rsid w:val="00514E07"/>
    <w:rsid w:val="00515711"/>
    <w:rsid w:val="00515A43"/>
    <w:rsid w:val="00521E10"/>
    <w:rsid w:val="00521EFB"/>
    <w:rsid w:val="0052465D"/>
    <w:rsid w:val="005249A1"/>
    <w:rsid w:val="00526DFE"/>
    <w:rsid w:val="00527845"/>
    <w:rsid w:val="0053116B"/>
    <w:rsid w:val="00531D3E"/>
    <w:rsid w:val="005322C0"/>
    <w:rsid w:val="00532BD3"/>
    <w:rsid w:val="00532E19"/>
    <w:rsid w:val="0053328B"/>
    <w:rsid w:val="00535908"/>
    <w:rsid w:val="00535B9F"/>
    <w:rsid w:val="00535CC7"/>
    <w:rsid w:val="00537212"/>
    <w:rsid w:val="00540E11"/>
    <w:rsid w:val="005412A7"/>
    <w:rsid w:val="00541A08"/>
    <w:rsid w:val="005432FE"/>
    <w:rsid w:val="0054536C"/>
    <w:rsid w:val="00545A57"/>
    <w:rsid w:val="00546A9B"/>
    <w:rsid w:val="00546CE9"/>
    <w:rsid w:val="005524B2"/>
    <w:rsid w:val="005524FE"/>
    <w:rsid w:val="00552D7E"/>
    <w:rsid w:val="00552DB6"/>
    <w:rsid w:val="00553AC8"/>
    <w:rsid w:val="0055419E"/>
    <w:rsid w:val="00554457"/>
    <w:rsid w:val="00555038"/>
    <w:rsid w:val="00556345"/>
    <w:rsid w:val="005563A0"/>
    <w:rsid w:val="00557AB1"/>
    <w:rsid w:val="0056091C"/>
    <w:rsid w:val="005624BA"/>
    <w:rsid w:val="0056306E"/>
    <w:rsid w:val="00565096"/>
    <w:rsid w:val="0056535B"/>
    <w:rsid w:val="005655B7"/>
    <w:rsid w:val="0056607E"/>
    <w:rsid w:val="0056694E"/>
    <w:rsid w:val="005671E2"/>
    <w:rsid w:val="0057096C"/>
    <w:rsid w:val="00570F47"/>
    <w:rsid w:val="0057168C"/>
    <w:rsid w:val="005719A1"/>
    <w:rsid w:val="00571A60"/>
    <w:rsid w:val="005737C3"/>
    <w:rsid w:val="00573995"/>
    <w:rsid w:val="0057477E"/>
    <w:rsid w:val="00574AE3"/>
    <w:rsid w:val="00575256"/>
    <w:rsid w:val="00575A28"/>
    <w:rsid w:val="00576278"/>
    <w:rsid w:val="00576279"/>
    <w:rsid w:val="0057766B"/>
    <w:rsid w:val="005776A8"/>
    <w:rsid w:val="00577CC0"/>
    <w:rsid w:val="00580AC4"/>
    <w:rsid w:val="005818C2"/>
    <w:rsid w:val="00582930"/>
    <w:rsid w:val="00583316"/>
    <w:rsid w:val="00583607"/>
    <w:rsid w:val="005861D6"/>
    <w:rsid w:val="00586D9F"/>
    <w:rsid w:val="00587665"/>
    <w:rsid w:val="00587B26"/>
    <w:rsid w:val="00587DE4"/>
    <w:rsid w:val="0059120E"/>
    <w:rsid w:val="00591F01"/>
    <w:rsid w:val="005923F7"/>
    <w:rsid w:val="00594EDB"/>
    <w:rsid w:val="005962A1"/>
    <w:rsid w:val="00596A66"/>
    <w:rsid w:val="0059702E"/>
    <w:rsid w:val="005A03ED"/>
    <w:rsid w:val="005A07A7"/>
    <w:rsid w:val="005A0C5B"/>
    <w:rsid w:val="005A0EFF"/>
    <w:rsid w:val="005A16BA"/>
    <w:rsid w:val="005A41AD"/>
    <w:rsid w:val="005A5636"/>
    <w:rsid w:val="005B0DAB"/>
    <w:rsid w:val="005B0F77"/>
    <w:rsid w:val="005B48BD"/>
    <w:rsid w:val="005B54FE"/>
    <w:rsid w:val="005C11CE"/>
    <w:rsid w:val="005C12D4"/>
    <w:rsid w:val="005C15A6"/>
    <w:rsid w:val="005C24EE"/>
    <w:rsid w:val="005C3C4E"/>
    <w:rsid w:val="005C42EF"/>
    <w:rsid w:val="005C438B"/>
    <w:rsid w:val="005C4B69"/>
    <w:rsid w:val="005C5136"/>
    <w:rsid w:val="005D0A0D"/>
    <w:rsid w:val="005D10AC"/>
    <w:rsid w:val="005D3181"/>
    <w:rsid w:val="005D3B57"/>
    <w:rsid w:val="005D5AFD"/>
    <w:rsid w:val="005D5C74"/>
    <w:rsid w:val="005D60A4"/>
    <w:rsid w:val="005D6F26"/>
    <w:rsid w:val="005D74B7"/>
    <w:rsid w:val="005D7723"/>
    <w:rsid w:val="005E0438"/>
    <w:rsid w:val="005E1C1E"/>
    <w:rsid w:val="005E326A"/>
    <w:rsid w:val="005E3683"/>
    <w:rsid w:val="005E3724"/>
    <w:rsid w:val="005E4F5D"/>
    <w:rsid w:val="005E52A9"/>
    <w:rsid w:val="005E5469"/>
    <w:rsid w:val="005E76FA"/>
    <w:rsid w:val="005E77EB"/>
    <w:rsid w:val="005E78EF"/>
    <w:rsid w:val="005F032A"/>
    <w:rsid w:val="005F144E"/>
    <w:rsid w:val="005F2017"/>
    <w:rsid w:val="005F347B"/>
    <w:rsid w:val="005F3738"/>
    <w:rsid w:val="005F50BE"/>
    <w:rsid w:val="005F5C67"/>
    <w:rsid w:val="005F5CFC"/>
    <w:rsid w:val="005F60CE"/>
    <w:rsid w:val="005F6686"/>
    <w:rsid w:val="005F732E"/>
    <w:rsid w:val="005F7931"/>
    <w:rsid w:val="005F7B37"/>
    <w:rsid w:val="006009C1"/>
    <w:rsid w:val="00601380"/>
    <w:rsid w:val="006026C2"/>
    <w:rsid w:val="006032A3"/>
    <w:rsid w:val="006039C4"/>
    <w:rsid w:val="00603EEF"/>
    <w:rsid w:val="00604366"/>
    <w:rsid w:val="00604E31"/>
    <w:rsid w:val="0060599C"/>
    <w:rsid w:val="00605A9C"/>
    <w:rsid w:val="00605B35"/>
    <w:rsid w:val="00606984"/>
    <w:rsid w:val="00607739"/>
    <w:rsid w:val="006110ED"/>
    <w:rsid w:val="006114B8"/>
    <w:rsid w:val="006128F7"/>
    <w:rsid w:val="006134D0"/>
    <w:rsid w:val="00614582"/>
    <w:rsid w:val="00614AF5"/>
    <w:rsid w:val="00615A08"/>
    <w:rsid w:val="00615C65"/>
    <w:rsid w:val="006170FB"/>
    <w:rsid w:val="00617521"/>
    <w:rsid w:val="00617C3A"/>
    <w:rsid w:val="006210FA"/>
    <w:rsid w:val="0062168D"/>
    <w:rsid w:val="006219C6"/>
    <w:rsid w:val="00623138"/>
    <w:rsid w:val="0062533C"/>
    <w:rsid w:val="006255D4"/>
    <w:rsid w:val="0063088D"/>
    <w:rsid w:val="00634126"/>
    <w:rsid w:val="00634967"/>
    <w:rsid w:val="00634B16"/>
    <w:rsid w:val="00636AB4"/>
    <w:rsid w:val="00637A8C"/>
    <w:rsid w:val="0064094D"/>
    <w:rsid w:val="00640D64"/>
    <w:rsid w:val="006411B3"/>
    <w:rsid w:val="00641AEF"/>
    <w:rsid w:val="00641BF9"/>
    <w:rsid w:val="00643E23"/>
    <w:rsid w:val="00645CD0"/>
    <w:rsid w:val="00645FE7"/>
    <w:rsid w:val="00647BA5"/>
    <w:rsid w:val="00647C40"/>
    <w:rsid w:val="00647D8A"/>
    <w:rsid w:val="006501DF"/>
    <w:rsid w:val="006515C0"/>
    <w:rsid w:val="00652009"/>
    <w:rsid w:val="00652760"/>
    <w:rsid w:val="00652855"/>
    <w:rsid w:val="00653EB7"/>
    <w:rsid w:val="00653F15"/>
    <w:rsid w:val="006545BB"/>
    <w:rsid w:val="0065492D"/>
    <w:rsid w:val="00656416"/>
    <w:rsid w:val="00660402"/>
    <w:rsid w:val="00660A58"/>
    <w:rsid w:val="00662D12"/>
    <w:rsid w:val="00663600"/>
    <w:rsid w:val="006652C2"/>
    <w:rsid w:val="00666B14"/>
    <w:rsid w:val="0066744D"/>
    <w:rsid w:val="00667A4D"/>
    <w:rsid w:val="00670621"/>
    <w:rsid w:val="00670A0A"/>
    <w:rsid w:val="00670E2A"/>
    <w:rsid w:val="00673783"/>
    <w:rsid w:val="006738E9"/>
    <w:rsid w:val="00673938"/>
    <w:rsid w:val="00673BAC"/>
    <w:rsid w:val="006747EC"/>
    <w:rsid w:val="006757EC"/>
    <w:rsid w:val="00677D72"/>
    <w:rsid w:val="00680C6A"/>
    <w:rsid w:val="00682F04"/>
    <w:rsid w:val="00683127"/>
    <w:rsid w:val="0068323E"/>
    <w:rsid w:val="00683CE5"/>
    <w:rsid w:val="00684637"/>
    <w:rsid w:val="006852BC"/>
    <w:rsid w:val="0068577C"/>
    <w:rsid w:val="006868A1"/>
    <w:rsid w:val="00686E37"/>
    <w:rsid w:val="0068790D"/>
    <w:rsid w:val="00690CDE"/>
    <w:rsid w:val="00690FBE"/>
    <w:rsid w:val="006918E6"/>
    <w:rsid w:val="006926AC"/>
    <w:rsid w:val="006949C3"/>
    <w:rsid w:val="00694ACB"/>
    <w:rsid w:val="00694C79"/>
    <w:rsid w:val="00695994"/>
    <w:rsid w:val="00695ADF"/>
    <w:rsid w:val="00696C9C"/>
    <w:rsid w:val="006977C2"/>
    <w:rsid w:val="00697E76"/>
    <w:rsid w:val="006A179E"/>
    <w:rsid w:val="006A19BB"/>
    <w:rsid w:val="006A1F3C"/>
    <w:rsid w:val="006A23E0"/>
    <w:rsid w:val="006A25C0"/>
    <w:rsid w:val="006A2F63"/>
    <w:rsid w:val="006A3443"/>
    <w:rsid w:val="006A3779"/>
    <w:rsid w:val="006A3B5E"/>
    <w:rsid w:val="006A5724"/>
    <w:rsid w:val="006A63A3"/>
    <w:rsid w:val="006A6A68"/>
    <w:rsid w:val="006A7E87"/>
    <w:rsid w:val="006B096C"/>
    <w:rsid w:val="006B098F"/>
    <w:rsid w:val="006B1784"/>
    <w:rsid w:val="006B3BE2"/>
    <w:rsid w:val="006B3C99"/>
    <w:rsid w:val="006B4159"/>
    <w:rsid w:val="006B4628"/>
    <w:rsid w:val="006B6104"/>
    <w:rsid w:val="006C0357"/>
    <w:rsid w:val="006C0FC9"/>
    <w:rsid w:val="006C273D"/>
    <w:rsid w:val="006C3D28"/>
    <w:rsid w:val="006C410A"/>
    <w:rsid w:val="006C4393"/>
    <w:rsid w:val="006C47FE"/>
    <w:rsid w:val="006C5AAC"/>
    <w:rsid w:val="006C5DE3"/>
    <w:rsid w:val="006C5F2D"/>
    <w:rsid w:val="006C7238"/>
    <w:rsid w:val="006C780A"/>
    <w:rsid w:val="006D0D34"/>
    <w:rsid w:val="006D0D3E"/>
    <w:rsid w:val="006D193C"/>
    <w:rsid w:val="006D2CB1"/>
    <w:rsid w:val="006D4CC5"/>
    <w:rsid w:val="006D50F3"/>
    <w:rsid w:val="006D5402"/>
    <w:rsid w:val="006D5618"/>
    <w:rsid w:val="006D610B"/>
    <w:rsid w:val="006D71BE"/>
    <w:rsid w:val="006E265D"/>
    <w:rsid w:val="006E2834"/>
    <w:rsid w:val="006E493A"/>
    <w:rsid w:val="006E4C4D"/>
    <w:rsid w:val="006E4D3E"/>
    <w:rsid w:val="006E5AA0"/>
    <w:rsid w:val="006E6939"/>
    <w:rsid w:val="006E772A"/>
    <w:rsid w:val="006F34AA"/>
    <w:rsid w:val="006F43D1"/>
    <w:rsid w:val="006F5412"/>
    <w:rsid w:val="006F6815"/>
    <w:rsid w:val="006F69AC"/>
    <w:rsid w:val="006F6B44"/>
    <w:rsid w:val="006F7002"/>
    <w:rsid w:val="00700542"/>
    <w:rsid w:val="00700892"/>
    <w:rsid w:val="007018BD"/>
    <w:rsid w:val="007027AF"/>
    <w:rsid w:val="00702904"/>
    <w:rsid w:val="0070357C"/>
    <w:rsid w:val="0070383E"/>
    <w:rsid w:val="007045D9"/>
    <w:rsid w:val="00704FEC"/>
    <w:rsid w:val="00710058"/>
    <w:rsid w:val="0071033E"/>
    <w:rsid w:val="0071087C"/>
    <w:rsid w:val="00710B35"/>
    <w:rsid w:val="007118E7"/>
    <w:rsid w:val="00713FFA"/>
    <w:rsid w:val="007142F0"/>
    <w:rsid w:val="0071495A"/>
    <w:rsid w:val="0071499F"/>
    <w:rsid w:val="00715DF3"/>
    <w:rsid w:val="00717BB7"/>
    <w:rsid w:val="007203A3"/>
    <w:rsid w:val="00720C0D"/>
    <w:rsid w:val="00721F60"/>
    <w:rsid w:val="00723F21"/>
    <w:rsid w:val="007242DF"/>
    <w:rsid w:val="00724D21"/>
    <w:rsid w:val="007260ED"/>
    <w:rsid w:val="00726446"/>
    <w:rsid w:val="0073193C"/>
    <w:rsid w:val="007321B6"/>
    <w:rsid w:val="00732AAB"/>
    <w:rsid w:val="00734936"/>
    <w:rsid w:val="007351A8"/>
    <w:rsid w:val="00735D3C"/>
    <w:rsid w:val="007360A9"/>
    <w:rsid w:val="007361BB"/>
    <w:rsid w:val="0073679B"/>
    <w:rsid w:val="007371E6"/>
    <w:rsid w:val="00737698"/>
    <w:rsid w:val="007400BF"/>
    <w:rsid w:val="00740E29"/>
    <w:rsid w:val="00742324"/>
    <w:rsid w:val="007424E7"/>
    <w:rsid w:val="00742889"/>
    <w:rsid w:val="00744720"/>
    <w:rsid w:val="00745C35"/>
    <w:rsid w:val="007477A5"/>
    <w:rsid w:val="007502F2"/>
    <w:rsid w:val="0075038F"/>
    <w:rsid w:val="00750555"/>
    <w:rsid w:val="00750902"/>
    <w:rsid w:val="007509F0"/>
    <w:rsid w:val="007514A7"/>
    <w:rsid w:val="007531CE"/>
    <w:rsid w:val="0075328B"/>
    <w:rsid w:val="0075550B"/>
    <w:rsid w:val="00760DE7"/>
    <w:rsid w:val="0076172F"/>
    <w:rsid w:val="0076182A"/>
    <w:rsid w:val="00761D0B"/>
    <w:rsid w:val="00762263"/>
    <w:rsid w:val="00762E0F"/>
    <w:rsid w:val="007635BF"/>
    <w:rsid w:val="00764C7C"/>
    <w:rsid w:val="00765115"/>
    <w:rsid w:val="00765D65"/>
    <w:rsid w:val="00767145"/>
    <w:rsid w:val="0076717A"/>
    <w:rsid w:val="0076744E"/>
    <w:rsid w:val="00770CAF"/>
    <w:rsid w:val="00774292"/>
    <w:rsid w:val="00774ED7"/>
    <w:rsid w:val="00775C7B"/>
    <w:rsid w:val="00775C97"/>
    <w:rsid w:val="007806C3"/>
    <w:rsid w:val="007817BC"/>
    <w:rsid w:val="00782E8C"/>
    <w:rsid w:val="00790A3A"/>
    <w:rsid w:val="00791245"/>
    <w:rsid w:val="00791920"/>
    <w:rsid w:val="00791F13"/>
    <w:rsid w:val="00793A43"/>
    <w:rsid w:val="00793F8F"/>
    <w:rsid w:val="00796B83"/>
    <w:rsid w:val="007A003C"/>
    <w:rsid w:val="007A0A3F"/>
    <w:rsid w:val="007A221D"/>
    <w:rsid w:val="007A340E"/>
    <w:rsid w:val="007A609B"/>
    <w:rsid w:val="007A682B"/>
    <w:rsid w:val="007B07BB"/>
    <w:rsid w:val="007B10B3"/>
    <w:rsid w:val="007B135C"/>
    <w:rsid w:val="007B18EC"/>
    <w:rsid w:val="007B1CCA"/>
    <w:rsid w:val="007B2880"/>
    <w:rsid w:val="007B2BA9"/>
    <w:rsid w:val="007B37B1"/>
    <w:rsid w:val="007B3C9E"/>
    <w:rsid w:val="007B4B3A"/>
    <w:rsid w:val="007B5382"/>
    <w:rsid w:val="007B594E"/>
    <w:rsid w:val="007B6CEC"/>
    <w:rsid w:val="007B6E4F"/>
    <w:rsid w:val="007B71D2"/>
    <w:rsid w:val="007B7360"/>
    <w:rsid w:val="007B7812"/>
    <w:rsid w:val="007C0FB9"/>
    <w:rsid w:val="007C1A82"/>
    <w:rsid w:val="007C228E"/>
    <w:rsid w:val="007C2502"/>
    <w:rsid w:val="007C31D4"/>
    <w:rsid w:val="007C3C57"/>
    <w:rsid w:val="007D072D"/>
    <w:rsid w:val="007D12F8"/>
    <w:rsid w:val="007D1BFD"/>
    <w:rsid w:val="007D2502"/>
    <w:rsid w:val="007D2CDC"/>
    <w:rsid w:val="007D32B9"/>
    <w:rsid w:val="007D538D"/>
    <w:rsid w:val="007D5800"/>
    <w:rsid w:val="007D6EF0"/>
    <w:rsid w:val="007D7B9B"/>
    <w:rsid w:val="007E05BA"/>
    <w:rsid w:val="007E060C"/>
    <w:rsid w:val="007E37BF"/>
    <w:rsid w:val="007E4849"/>
    <w:rsid w:val="007E4A00"/>
    <w:rsid w:val="007E4CC7"/>
    <w:rsid w:val="007E736F"/>
    <w:rsid w:val="007F0DFF"/>
    <w:rsid w:val="007F0F8C"/>
    <w:rsid w:val="007F154D"/>
    <w:rsid w:val="007F1B66"/>
    <w:rsid w:val="007F2D97"/>
    <w:rsid w:val="007F35F1"/>
    <w:rsid w:val="007F4107"/>
    <w:rsid w:val="007F4898"/>
    <w:rsid w:val="007F7194"/>
    <w:rsid w:val="007F7EBE"/>
    <w:rsid w:val="00801C35"/>
    <w:rsid w:val="00802EA2"/>
    <w:rsid w:val="008037C1"/>
    <w:rsid w:val="00803BB2"/>
    <w:rsid w:val="00803E1B"/>
    <w:rsid w:val="00805B18"/>
    <w:rsid w:val="00807AEC"/>
    <w:rsid w:val="00807B39"/>
    <w:rsid w:val="00807B6B"/>
    <w:rsid w:val="00807B96"/>
    <w:rsid w:val="00807CCC"/>
    <w:rsid w:val="00810A61"/>
    <w:rsid w:val="00810B5A"/>
    <w:rsid w:val="008144CA"/>
    <w:rsid w:val="0081460A"/>
    <w:rsid w:val="00814BA3"/>
    <w:rsid w:val="00814BAD"/>
    <w:rsid w:val="00814BD6"/>
    <w:rsid w:val="00816CCC"/>
    <w:rsid w:val="0082291F"/>
    <w:rsid w:val="00825355"/>
    <w:rsid w:val="00825CC6"/>
    <w:rsid w:val="00826265"/>
    <w:rsid w:val="00826EB6"/>
    <w:rsid w:val="0083023E"/>
    <w:rsid w:val="0083277D"/>
    <w:rsid w:val="008334E7"/>
    <w:rsid w:val="00833A3A"/>
    <w:rsid w:val="008342FE"/>
    <w:rsid w:val="0083495C"/>
    <w:rsid w:val="00836C35"/>
    <w:rsid w:val="008371E2"/>
    <w:rsid w:val="00840449"/>
    <w:rsid w:val="008404ED"/>
    <w:rsid w:val="00841553"/>
    <w:rsid w:val="00843127"/>
    <w:rsid w:val="00843D0D"/>
    <w:rsid w:val="0085038C"/>
    <w:rsid w:val="00850FB8"/>
    <w:rsid w:val="008523F2"/>
    <w:rsid w:val="00852632"/>
    <w:rsid w:val="00852A59"/>
    <w:rsid w:val="00852B48"/>
    <w:rsid w:val="008531A2"/>
    <w:rsid w:val="008559D9"/>
    <w:rsid w:val="00855BFD"/>
    <w:rsid w:val="008567B7"/>
    <w:rsid w:val="0085728F"/>
    <w:rsid w:val="0085730D"/>
    <w:rsid w:val="00857467"/>
    <w:rsid w:val="00860413"/>
    <w:rsid w:val="00861550"/>
    <w:rsid w:val="00861EDA"/>
    <w:rsid w:val="00862052"/>
    <w:rsid w:val="00863870"/>
    <w:rsid w:val="0086427C"/>
    <w:rsid w:val="008649F9"/>
    <w:rsid w:val="00864B47"/>
    <w:rsid w:val="0086612B"/>
    <w:rsid w:val="00866282"/>
    <w:rsid w:val="00866809"/>
    <w:rsid w:val="00870572"/>
    <w:rsid w:val="00870574"/>
    <w:rsid w:val="00871998"/>
    <w:rsid w:val="0087326F"/>
    <w:rsid w:val="00873F8C"/>
    <w:rsid w:val="008764D9"/>
    <w:rsid w:val="00876AE8"/>
    <w:rsid w:val="00880DBF"/>
    <w:rsid w:val="00880DE2"/>
    <w:rsid w:val="00881ED7"/>
    <w:rsid w:val="00882027"/>
    <w:rsid w:val="00882382"/>
    <w:rsid w:val="008823FD"/>
    <w:rsid w:val="00882B94"/>
    <w:rsid w:val="0088375F"/>
    <w:rsid w:val="00884577"/>
    <w:rsid w:val="008850B2"/>
    <w:rsid w:val="008851D1"/>
    <w:rsid w:val="00885A6E"/>
    <w:rsid w:val="00887074"/>
    <w:rsid w:val="008913AC"/>
    <w:rsid w:val="00894E6D"/>
    <w:rsid w:val="0089560D"/>
    <w:rsid w:val="00895A0C"/>
    <w:rsid w:val="00896918"/>
    <w:rsid w:val="008976D9"/>
    <w:rsid w:val="00897F77"/>
    <w:rsid w:val="008A0543"/>
    <w:rsid w:val="008A05C1"/>
    <w:rsid w:val="008A09CA"/>
    <w:rsid w:val="008A315B"/>
    <w:rsid w:val="008A32C3"/>
    <w:rsid w:val="008A402C"/>
    <w:rsid w:val="008A4109"/>
    <w:rsid w:val="008A4526"/>
    <w:rsid w:val="008A5762"/>
    <w:rsid w:val="008A58D0"/>
    <w:rsid w:val="008A7A70"/>
    <w:rsid w:val="008A7F70"/>
    <w:rsid w:val="008B17ED"/>
    <w:rsid w:val="008B1EC5"/>
    <w:rsid w:val="008B24AA"/>
    <w:rsid w:val="008B3650"/>
    <w:rsid w:val="008B4696"/>
    <w:rsid w:val="008B51E4"/>
    <w:rsid w:val="008B585C"/>
    <w:rsid w:val="008B6E8E"/>
    <w:rsid w:val="008B6EB5"/>
    <w:rsid w:val="008B7162"/>
    <w:rsid w:val="008B7572"/>
    <w:rsid w:val="008B76D4"/>
    <w:rsid w:val="008B7BB9"/>
    <w:rsid w:val="008C052B"/>
    <w:rsid w:val="008C0E3C"/>
    <w:rsid w:val="008C14E7"/>
    <w:rsid w:val="008C612E"/>
    <w:rsid w:val="008C7073"/>
    <w:rsid w:val="008C75F6"/>
    <w:rsid w:val="008C7A40"/>
    <w:rsid w:val="008D0D5A"/>
    <w:rsid w:val="008D2982"/>
    <w:rsid w:val="008D423E"/>
    <w:rsid w:val="008D549F"/>
    <w:rsid w:val="008D5B80"/>
    <w:rsid w:val="008D61E1"/>
    <w:rsid w:val="008D64D4"/>
    <w:rsid w:val="008D6CFE"/>
    <w:rsid w:val="008D7099"/>
    <w:rsid w:val="008E088A"/>
    <w:rsid w:val="008E0CA9"/>
    <w:rsid w:val="008E2A33"/>
    <w:rsid w:val="008E2EF9"/>
    <w:rsid w:val="008E430F"/>
    <w:rsid w:val="008E4459"/>
    <w:rsid w:val="008E5857"/>
    <w:rsid w:val="008E63BC"/>
    <w:rsid w:val="008E6AFC"/>
    <w:rsid w:val="008E708E"/>
    <w:rsid w:val="008E7FAA"/>
    <w:rsid w:val="008F05C0"/>
    <w:rsid w:val="008F0B78"/>
    <w:rsid w:val="008F0EE5"/>
    <w:rsid w:val="008F4482"/>
    <w:rsid w:val="008F44C7"/>
    <w:rsid w:val="008F47D9"/>
    <w:rsid w:val="008F58C7"/>
    <w:rsid w:val="008F71CE"/>
    <w:rsid w:val="00900AA8"/>
    <w:rsid w:val="00900DA4"/>
    <w:rsid w:val="00901D44"/>
    <w:rsid w:val="00901FFA"/>
    <w:rsid w:val="009028EB"/>
    <w:rsid w:val="00902922"/>
    <w:rsid w:val="0090428E"/>
    <w:rsid w:val="00904AB5"/>
    <w:rsid w:val="00904B57"/>
    <w:rsid w:val="00904F67"/>
    <w:rsid w:val="00906C27"/>
    <w:rsid w:val="00907139"/>
    <w:rsid w:val="00907CF3"/>
    <w:rsid w:val="00907D71"/>
    <w:rsid w:val="0091017A"/>
    <w:rsid w:val="00910930"/>
    <w:rsid w:val="00911015"/>
    <w:rsid w:val="00911772"/>
    <w:rsid w:val="0091216C"/>
    <w:rsid w:val="00913869"/>
    <w:rsid w:val="00913873"/>
    <w:rsid w:val="00913A51"/>
    <w:rsid w:val="00914E30"/>
    <w:rsid w:val="00915090"/>
    <w:rsid w:val="00916281"/>
    <w:rsid w:val="00917CD0"/>
    <w:rsid w:val="009218F5"/>
    <w:rsid w:val="009219D2"/>
    <w:rsid w:val="00921DB4"/>
    <w:rsid w:val="00922654"/>
    <w:rsid w:val="00922712"/>
    <w:rsid w:val="00922929"/>
    <w:rsid w:val="00922E72"/>
    <w:rsid w:val="009237D5"/>
    <w:rsid w:val="00923BFF"/>
    <w:rsid w:val="00924CAB"/>
    <w:rsid w:val="00925F0F"/>
    <w:rsid w:val="00925F20"/>
    <w:rsid w:val="00926AA7"/>
    <w:rsid w:val="00927CAF"/>
    <w:rsid w:val="00927F24"/>
    <w:rsid w:val="0093000F"/>
    <w:rsid w:val="00930FFF"/>
    <w:rsid w:val="00932033"/>
    <w:rsid w:val="00932457"/>
    <w:rsid w:val="00932F53"/>
    <w:rsid w:val="00934B07"/>
    <w:rsid w:val="00934C2F"/>
    <w:rsid w:val="009352BC"/>
    <w:rsid w:val="00935713"/>
    <w:rsid w:val="00935820"/>
    <w:rsid w:val="00935C03"/>
    <w:rsid w:val="00936170"/>
    <w:rsid w:val="0093662F"/>
    <w:rsid w:val="0093741B"/>
    <w:rsid w:val="0094176F"/>
    <w:rsid w:val="00942462"/>
    <w:rsid w:val="0094282F"/>
    <w:rsid w:val="0094311B"/>
    <w:rsid w:val="009433D4"/>
    <w:rsid w:val="00944269"/>
    <w:rsid w:val="00945F72"/>
    <w:rsid w:val="00950127"/>
    <w:rsid w:val="00955F3D"/>
    <w:rsid w:val="0095634B"/>
    <w:rsid w:val="009572F3"/>
    <w:rsid w:val="00957A4C"/>
    <w:rsid w:val="0096018A"/>
    <w:rsid w:val="00960445"/>
    <w:rsid w:val="009606D4"/>
    <w:rsid w:val="009609DB"/>
    <w:rsid w:val="00961885"/>
    <w:rsid w:val="00961CD0"/>
    <w:rsid w:val="0096371E"/>
    <w:rsid w:val="00963FDF"/>
    <w:rsid w:val="0096491F"/>
    <w:rsid w:val="009656CE"/>
    <w:rsid w:val="00965B71"/>
    <w:rsid w:val="009669E8"/>
    <w:rsid w:val="00967037"/>
    <w:rsid w:val="00967D99"/>
    <w:rsid w:val="00970483"/>
    <w:rsid w:val="00970725"/>
    <w:rsid w:val="009707B1"/>
    <w:rsid w:val="009713B6"/>
    <w:rsid w:val="00972A96"/>
    <w:rsid w:val="00973573"/>
    <w:rsid w:val="00973C35"/>
    <w:rsid w:val="00974958"/>
    <w:rsid w:val="00974F17"/>
    <w:rsid w:val="0097501B"/>
    <w:rsid w:val="0097595F"/>
    <w:rsid w:val="0097613F"/>
    <w:rsid w:val="009763C8"/>
    <w:rsid w:val="009763F1"/>
    <w:rsid w:val="00976735"/>
    <w:rsid w:val="00980A3D"/>
    <w:rsid w:val="00980FBF"/>
    <w:rsid w:val="009827A7"/>
    <w:rsid w:val="009837A5"/>
    <w:rsid w:val="00984AD6"/>
    <w:rsid w:val="00984E04"/>
    <w:rsid w:val="009850F0"/>
    <w:rsid w:val="009863A7"/>
    <w:rsid w:val="00987557"/>
    <w:rsid w:val="00987AEF"/>
    <w:rsid w:val="00987ECE"/>
    <w:rsid w:val="00987FE7"/>
    <w:rsid w:val="00991232"/>
    <w:rsid w:val="009913DB"/>
    <w:rsid w:val="00993985"/>
    <w:rsid w:val="009943C1"/>
    <w:rsid w:val="00994CB6"/>
    <w:rsid w:val="00994D93"/>
    <w:rsid w:val="0099649A"/>
    <w:rsid w:val="009A0C2C"/>
    <w:rsid w:val="009A0D3A"/>
    <w:rsid w:val="009A1C8E"/>
    <w:rsid w:val="009A29BB"/>
    <w:rsid w:val="009A2F9C"/>
    <w:rsid w:val="009A32AF"/>
    <w:rsid w:val="009A466C"/>
    <w:rsid w:val="009A5199"/>
    <w:rsid w:val="009A5826"/>
    <w:rsid w:val="009B00AA"/>
    <w:rsid w:val="009B0CD7"/>
    <w:rsid w:val="009B1211"/>
    <w:rsid w:val="009B2215"/>
    <w:rsid w:val="009B23E6"/>
    <w:rsid w:val="009B31BE"/>
    <w:rsid w:val="009B40D8"/>
    <w:rsid w:val="009B4362"/>
    <w:rsid w:val="009B4AD3"/>
    <w:rsid w:val="009B4BFF"/>
    <w:rsid w:val="009B7A14"/>
    <w:rsid w:val="009B7CF9"/>
    <w:rsid w:val="009B7D2D"/>
    <w:rsid w:val="009C137C"/>
    <w:rsid w:val="009C2291"/>
    <w:rsid w:val="009C3206"/>
    <w:rsid w:val="009C5BDA"/>
    <w:rsid w:val="009C7565"/>
    <w:rsid w:val="009C776A"/>
    <w:rsid w:val="009C7997"/>
    <w:rsid w:val="009D234A"/>
    <w:rsid w:val="009D2424"/>
    <w:rsid w:val="009D2B70"/>
    <w:rsid w:val="009D3034"/>
    <w:rsid w:val="009D3126"/>
    <w:rsid w:val="009D343F"/>
    <w:rsid w:val="009D39EA"/>
    <w:rsid w:val="009D60E1"/>
    <w:rsid w:val="009D7252"/>
    <w:rsid w:val="009D79D6"/>
    <w:rsid w:val="009E0B8F"/>
    <w:rsid w:val="009E196A"/>
    <w:rsid w:val="009E19B4"/>
    <w:rsid w:val="009E1AE2"/>
    <w:rsid w:val="009E286A"/>
    <w:rsid w:val="009E3A18"/>
    <w:rsid w:val="009E482A"/>
    <w:rsid w:val="009E5668"/>
    <w:rsid w:val="009E6256"/>
    <w:rsid w:val="009E626C"/>
    <w:rsid w:val="009E7AE0"/>
    <w:rsid w:val="009F07BF"/>
    <w:rsid w:val="009F3F14"/>
    <w:rsid w:val="009F42A4"/>
    <w:rsid w:val="009F5F2D"/>
    <w:rsid w:val="009F6AB0"/>
    <w:rsid w:val="009F6AB6"/>
    <w:rsid w:val="009F6F67"/>
    <w:rsid w:val="009F74D0"/>
    <w:rsid w:val="00A00C25"/>
    <w:rsid w:val="00A012F3"/>
    <w:rsid w:val="00A01DBC"/>
    <w:rsid w:val="00A01DF0"/>
    <w:rsid w:val="00A02001"/>
    <w:rsid w:val="00A02828"/>
    <w:rsid w:val="00A03E0C"/>
    <w:rsid w:val="00A04766"/>
    <w:rsid w:val="00A04DFE"/>
    <w:rsid w:val="00A0573A"/>
    <w:rsid w:val="00A05B45"/>
    <w:rsid w:val="00A06A11"/>
    <w:rsid w:val="00A07056"/>
    <w:rsid w:val="00A07BF5"/>
    <w:rsid w:val="00A07F39"/>
    <w:rsid w:val="00A11AFC"/>
    <w:rsid w:val="00A12418"/>
    <w:rsid w:val="00A14225"/>
    <w:rsid w:val="00A14A87"/>
    <w:rsid w:val="00A1730F"/>
    <w:rsid w:val="00A176B3"/>
    <w:rsid w:val="00A17A57"/>
    <w:rsid w:val="00A2074A"/>
    <w:rsid w:val="00A208D0"/>
    <w:rsid w:val="00A20F16"/>
    <w:rsid w:val="00A2343E"/>
    <w:rsid w:val="00A25142"/>
    <w:rsid w:val="00A26E01"/>
    <w:rsid w:val="00A26E55"/>
    <w:rsid w:val="00A27BB2"/>
    <w:rsid w:val="00A32259"/>
    <w:rsid w:val="00A34EDC"/>
    <w:rsid w:val="00A35270"/>
    <w:rsid w:val="00A3530B"/>
    <w:rsid w:val="00A358CB"/>
    <w:rsid w:val="00A363F5"/>
    <w:rsid w:val="00A36616"/>
    <w:rsid w:val="00A37B4F"/>
    <w:rsid w:val="00A4066C"/>
    <w:rsid w:val="00A41310"/>
    <w:rsid w:val="00A4339A"/>
    <w:rsid w:val="00A44360"/>
    <w:rsid w:val="00A4552F"/>
    <w:rsid w:val="00A45887"/>
    <w:rsid w:val="00A46CE3"/>
    <w:rsid w:val="00A475EF"/>
    <w:rsid w:val="00A509C0"/>
    <w:rsid w:val="00A513F8"/>
    <w:rsid w:val="00A52809"/>
    <w:rsid w:val="00A528C6"/>
    <w:rsid w:val="00A53339"/>
    <w:rsid w:val="00A54455"/>
    <w:rsid w:val="00A60716"/>
    <w:rsid w:val="00A60BC8"/>
    <w:rsid w:val="00A63677"/>
    <w:rsid w:val="00A66487"/>
    <w:rsid w:val="00A700D1"/>
    <w:rsid w:val="00A7015F"/>
    <w:rsid w:val="00A70FDC"/>
    <w:rsid w:val="00A74953"/>
    <w:rsid w:val="00A74E41"/>
    <w:rsid w:val="00A7526F"/>
    <w:rsid w:val="00A776DD"/>
    <w:rsid w:val="00A800E4"/>
    <w:rsid w:val="00A8042C"/>
    <w:rsid w:val="00A80A4E"/>
    <w:rsid w:val="00A80C86"/>
    <w:rsid w:val="00A81613"/>
    <w:rsid w:val="00A81E08"/>
    <w:rsid w:val="00A82DB4"/>
    <w:rsid w:val="00A8305A"/>
    <w:rsid w:val="00A83590"/>
    <w:rsid w:val="00A8379D"/>
    <w:rsid w:val="00A84993"/>
    <w:rsid w:val="00A84D81"/>
    <w:rsid w:val="00A856B8"/>
    <w:rsid w:val="00A85CC7"/>
    <w:rsid w:val="00A8649F"/>
    <w:rsid w:val="00A86C3B"/>
    <w:rsid w:val="00A912B8"/>
    <w:rsid w:val="00A92770"/>
    <w:rsid w:val="00A9320F"/>
    <w:rsid w:val="00A95086"/>
    <w:rsid w:val="00A97A4F"/>
    <w:rsid w:val="00A97BF6"/>
    <w:rsid w:val="00A97F81"/>
    <w:rsid w:val="00AA0505"/>
    <w:rsid w:val="00AA086E"/>
    <w:rsid w:val="00AA19C3"/>
    <w:rsid w:val="00AA1B69"/>
    <w:rsid w:val="00AA255E"/>
    <w:rsid w:val="00AA2939"/>
    <w:rsid w:val="00AA5A95"/>
    <w:rsid w:val="00AA674D"/>
    <w:rsid w:val="00AA78B3"/>
    <w:rsid w:val="00AA7AF7"/>
    <w:rsid w:val="00AB0429"/>
    <w:rsid w:val="00AB0AAA"/>
    <w:rsid w:val="00AB4021"/>
    <w:rsid w:val="00AB5148"/>
    <w:rsid w:val="00AB5218"/>
    <w:rsid w:val="00AB52D9"/>
    <w:rsid w:val="00AB549D"/>
    <w:rsid w:val="00AB597C"/>
    <w:rsid w:val="00AB6F39"/>
    <w:rsid w:val="00AB7716"/>
    <w:rsid w:val="00AB7B53"/>
    <w:rsid w:val="00AB7BBD"/>
    <w:rsid w:val="00AC077A"/>
    <w:rsid w:val="00AC1082"/>
    <w:rsid w:val="00AC18F1"/>
    <w:rsid w:val="00AC2519"/>
    <w:rsid w:val="00AC2BC7"/>
    <w:rsid w:val="00AC3253"/>
    <w:rsid w:val="00AC3BCA"/>
    <w:rsid w:val="00AC45CC"/>
    <w:rsid w:val="00AC4DD4"/>
    <w:rsid w:val="00AC4E21"/>
    <w:rsid w:val="00AC5350"/>
    <w:rsid w:val="00AC5534"/>
    <w:rsid w:val="00AC58CC"/>
    <w:rsid w:val="00AC5E40"/>
    <w:rsid w:val="00AC60A7"/>
    <w:rsid w:val="00AC6D1A"/>
    <w:rsid w:val="00AC7251"/>
    <w:rsid w:val="00AC78F3"/>
    <w:rsid w:val="00AC7A75"/>
    <w:rsid w:val="00AD075E"/>
    <w:rsid w:val="00AD2788"/>
    <w:rsid w:val="00AD27C2"/>
    <w:rsid w:val="00AD318A"/>
    <w:rsid w:val="00AD33D4"/>
    <w:rsid w:val="00AD36E3"/>
    <w:rsid w:val="00AD3DBF"/>
    <w:rsid w:val="00AD40CE"/>
    <w:rsid w:val="00AD5CFF"/>
    <w:rsid w:val="00AD7EFE"/>
    <w:rsid w:val="00AE0902"/>
    <w:rsid w:val="00AE094B"/>
    <w:rsid w:val="00AE1559"/>
    <w:rsid w:val="00AE2D70"/>
    <w:rsid w:val="00AE2DC2"/>
    <w:rsid w:val="00AE34A5"/>
    <w:rsid w:val="00AE3516"/>
    <w:rsid w:val="00AE37A2"/>
    <w:rsid w:val="00AE4C04"/>
    <w:rsid w:val="00AE4E2D"/>
    <w:rsid w:val="00AE5381"/>
    <w:rsid w:val="00AE5F77"/>
    <w:rsid w:val="00AE6380"/>
    <w:rsid w:val="00AE6473"/>
    <w:rsid w:val="00AF1896"/>
    <w:rsid w:val="00AF1C7F"/>
    <w:rsid w:val="00AF1F97"/>
    <w:rsid w:val="00AF205C"/>
    <w:rsid w:val="00AF2B87"/>
    <w:rsid w:val="00AF2D3E"/>
    <w:rsid w:val="00AF3394"/>
    <w:rsid w:val="00AF41B8"/>
    <w:rsid w:val="00AF46D3"/>
    <w:rsid w:val="00AF5899"/>
    <w:rsid w:val="00AF5ED7"/>
    <w:rsid w:val="00AF6231"/>
    <w:rsid w:val="00AF7656"/>
    <w:rsid w:val="00B01FEA"/>
    <w:rsid w:val="00B023FA"/>
    <w:rsid w:val="00B03F2F"/>
    <w:rsid w:val="00B04FEE"/>
    <w:rsid w:val="00B0507E"/>
    <w:rsid w:val="00B05A4B"/>
    <w:rsid w:val="00B109F7"/>
    <w:rsid w:val="00B10DE6"/>
    <w:rsid w:val="00B117A1"/>
    <w:rsid w:val="00B124F5"/>
    <w:rsid w:val="00B12ECD"/>
    <w:rsid w:val="00B14178"/>
    <w:rsid w:val="00B158A6"/>
    <w:rsid w:val="00B15BAE"/>
    <w:rsid w:val="00B15DCE"/>
    <w:rsid w:val="00B1701A"/>
    <w:rsid w:val="00B1708D"/>
    <w:rsid w:val="00B17517"/>
    <w:rsid w:val="00B20BEA"/>
    <w:rsid w:val="00B20CD4"/>
    <w:rsid w:val="00B20E55"/>
    <w:rsid w:val="00B20EB4"/>
    <w:rsid w:val="00B210A1"/>
    <w:rsid w:val="00B21DCF"/>
    <w:rsid w:val="00B21F2E"/>
    <w:rsid w:val="00B22909"/>
    <w:rsid w:val="00B230A5"/>
    <w:rsid w:val="00B23430"/>
    <w:rsid w:val="00B255E9"/>
    <w:rsid w:val="00B256A8"/>
    <w:rsid w:val="00B25C32"/>
    <w:rsid w:val="00B265B4"/>
    <w:rsid w:val="00B2733C"/>
    <w:rsid w:val="00B30B38"/>
    <w:rsid w:val="00B31E1B"/>
    <w:rsid w:val="00B33E98"/>
    <w:rsid w:val="00B3434B"/>
    <w:rsid w:val="00B3464E"/>
    <w:rsid w:val="00B346D8"/>
    <w:rsid w:val="00B35495"/>
    <w:rsid w:val="00B3638B"/>
    <w:rsid w:val="00B37605"/>
    <w:rsid w:val="00B4012A"/>
    <w:rsid w:val="00B41363"/>
    <w:rsid w:val="00B41DF2"/>
    <w:rsid w:val="00B42092"/>
    <w:rsid w:val="00B4278F"/>
    <w:rsid w:val="00B42BD4"/>
    <w:rsid w:val="00B430C0"/>
    <w:rsid w:val="00B4455E"/>
    <w:rsid w:val="00B44883"/>
    <w:rsid w:val="00B45022"/>
    <w:rsid w:val="00B45268"/>
    <w:rsid w:val="00B464F7"/>
    <w:rsid w:val="00B46A36"/>
    <w:rsid w:val="00B50409"/>
    <w:rsid w:val="00B50A9A"/>
    <w:rsid w:val="00B50EDC"/>
    <w:rsid w:val="00B51EED"/>
    <w:rsid w:val="00B533FE"/>
    <w:rsid w:val="00B53D13"/>
    <w:rsid w:val="00B53EB2"/>
    <w:rsid w:val="00B54E64"/>
    <w:rsid w:val="00B55EDB"/>
    <w:rsid w:val="00B55EF3"/>
    <w:rsid w:val="00B56606"/>
    <w:rsid w:val="00B56AA7"/>
    <w:rsid w:val="00B624AA"/>
    <w:rsid w:val="00B62745"/>
    <w:rsid w:val="00B63726"/>
    <w:rsid w:val="00B6463E"/>
    <w:rsid w:val="00B64AC6"/>
    <w:rsid w:val="00B64C3F"/>
    <w:rsid w:val="00B65467"/>
    <w:rsid w:val="00B659AE"/>
    <w:rsid w:val="00B66B26"/>
    <w:rsid w:val="00B67650"/>
    <w:rsid w:val="00B704C0"/>
    <w:rsid w:val="00B704CF"/>
    <w:rsid w:val="00B720A3"/>
    <w:rsid w:val="00B724C0"/>
    <w:rsid w:val="00B74227"/>
    <w:rsid w:val="00B7580F"/>
    <w:rsid w:val="00B76D58"/>
    <w:rsid w:val="00B7727C"/>
    <w:rsid w:val="00B77361"/>
    <w:rsid w:val="00B7786E"/>
    <w:rsid w:val="00B80858"/>
    <w:rsid w:val="00B80EEB"/>
    <w:rsid w:val="00B825FC"/>
    <w:rsid w:val="00B8314D"/>
    <w:rsid w:val="00B83B99"/>
    <w:rsid w:val="00B83C93"/>
    <w:rsid w:val="00B85155"/>
    <w:rsid w:val="00B85756"/>
    <w:rsid w:val="00B85C98"/>
    <w:rsid w:val="00B869B8"/>
    <w:rsid w:val="00B90252"/>
    <w:rsid w:val="00B9034F"/>
    <w:rsid w:val="00B91A0D"/>
    <w:rsid w:val="00B923DB"/>
    <w:rsid w:val="00B9242E"/>
    <w:rsid w:val="00B92480"/>
    <w:rsid w:val="00B93CA5"/>
    <w:rsid w:val="00B940F0"/>
    <w:rsid w:val="00B948F2"/>
    <w:rsid w:val="00B95179"/>
    <w:rsid w:val="00B952B9"/>
    <w:rsid w:val="00B9551E"/>
    <w:rsid w:val="00B955E3"/>
    <w:rsid w:val="00B97180"/>
    <w:rsid w:val="00B97FA5"/>
    <w:rsid w:val="00BA0449"/>
    <w:rsid w:val="00BA0884"/>
    <w:rsid w:val="00BA12AC"/>
    <w:rsid w:val="00BA1A0A"/>
    <w:rsid w:val="00BA3F14"/>
    <w:rsid w:val="00BA4FA7"/>
    <w:rsid w:val="00BA5646"/>
    <w:rsid w:val="00BA7A12"/>
    <w:rsid w:val="00BB086A"/>
    <w:rsid w:val="00BB0E78"/>
    <w:rsid w:val="00BB1DB5"/>
    <w:rsid w:val="00BB237D"/>
    <w:rsid w:val="00BB3172"/>
    <w:rsid w:val="00BB3181"/>
    <w:rsid w:val="00BB36C4"/>
    <w:rsid w:val="00BB64D7"/>
    <w:rsid w:val="00BB677F"/>
    <w:rsid w:val="00BB6C5D"/>
    <w:rsid w:val="00BB7629"/>
    <w:rsid w:val="00BB7D96"/>
    <w:rsid w:val="00BB7F69"/>
    <w:rsid w:val="00BC025F"/>
    <w:rsid w:val="00BC0A08"/>
    <w:rsid w:val="00BC0B87"/>
    <w:rsid w:val="00BC1095"/>
    <w:rsid w:val="00BC1366"/>
    <w:rsid w:val="00BC45D6"/>
    <w:rsid w:val="00BC4A88"/>
    <w:rsid w:val="00BC7116"/>
    <w:rsid w:val="00BD19E8"/>
    <w:rsid w:val="00BD1EC4"/>
    <w:rsid w:val="00BD39C4"/>
    <w:rsid w:val="00BD3C2A"/>
    <w:rsid w:val="00BD7458"/>
    <w:rsid w:val="00BE00C7"/>
    <w:rsid w:val="00BE110B"/>
    <w:rsid w:val="00BE1724"/>
    <w:rsid w:val="00BE32DA"/>
    <w:rsid w:val="00BE3D50"/>
    <w:rsid w:val="00BE4366"/>
    <w:rsid w:val="00BE6C12"/>
    <w:rsid w:val="00BE6C66"/>
    <w:rsid w:val="00BE6FAE"/>
    <w:rsid w:val="00BE758F"/>
    <w:rsid w:val="00BF025D"/>
    <w:rsid w:val="00BF0368"/>
    <w:rsid w:val="00BF1216"/>
    <w:rsid w:val="00BF1309"/>
    <w:rsid w:val="00BF19D5"/>
    <w:rsid w:val="00BF1EBA"/>
    <w:rsid w:val="00BF20E5"/>
    <w:rsid w:val="00BF26F4"/>
    <w:rsid w:val="00BF271C"/>
    <w:rsid w:val="00BF2922"/>
    <w:rsid w:val="00BF2C55"/>
    <w:rsid w:val="00BF4164"/>
    <w:rsid w:val="00BF4845"/>
    <w:rsid w:val="00BF63C7"/>
    <w:rsid w:val="00BF670B"/>
    <w:rsid w:val="00BF73A8"/>
    <w:rsid w:val="00BF7A61"/>
    <w:rsid w:val="00C0229E"/>
    <w:rsid w:val="00C04131"/>
    <w:rsid w:val="00C05AB4"/>
    <w:rsid w:val="00C0630E"/>
    <w:rsid w:val="00C07D52"/>
    <w:rsid w:val="00C10FB6"/>
    <w:rsid w:val="00C11ABA"/>
    <w:rsid w:val="00C1322B"/>
    <w:rsid w:val="00C133B2"/>
    <w:rsid w:val="00C13BB8"/>
    <w:rsid w:val="00C142E4"/>
    <w:rsid w:val="00C1478E"/>
    <w:rsid w:val="00C15CFD"/>
    <w:rsid w:val="00C164B8"/>
    <w:rsid w:val="00C170D7"/>
    <w:rsid w:val="00C17669"/>
    <w:rsid w:val="00C20B5F"/>
    <w:rsid w:val="00C219E1"/>
    <w:rsid w:val="00C23266"/>
    <w:rsid w:val="00C23F85"/>
    <w:rsid w:val="00C24CFF"/>
    <w:rsid w:val="00C26A30"/>
    <w:rsid w:val="00C27246"/>
    <w:rsid w:val="00C30C0C"/>
    <w:rsid w:val="00C30CD3"/>
    <w:rsid w:val="00C312EC"/>
    <w:rsid w:val="00C31BFA"/>
    <w:rsid w:val="00C320F5"/>
    <w:rsid w:val="00C33DB7"/>
    <w:rsid w:val="00C3534C"/>
    <w:rsid w:val="00C358F7"/>
    <w:rsid w:val="00C35D21"/>
    <w:rsid w:val="00C37730"/>
    <w:rsid w:val="00C406E0"/>
    <w:rsid w:val="00C415A0"/>
    <w:rsid w:val="00C43000"/>
    <w:rsid w:val="00C439A7"/>
    <w:rsid w:val="00C45041"/>
    <w:rsid w:val="00C45282"/>
    <w:rsid w:val="00C45F75"/>
    <w:rsid w:val="00C46ACC"/>
    <w:rsid w:val="00C46E96"/>
    <w:rsid w:val="00C519D6"/>
    <w:rsid w:val="00C51FFB"/>
    <w:rsid w:val="00C5234B"/>
    <w:rsid w:val="00C5329B"/>
    <w:rsid w:val="00C53A21"/>
    <w:rsid w:val="00C5409E"/>
    <w:rsid w:val="00C54A31"/>
    <w:rsid w:val="00C55341"/>
    <w:rsid w:val="00C56153"/>
    <w:rsid w:val="00C6076F"/>
    <w:rsid w:val="00C62457"/>
    <w:rsid w:val="00C625E0"/>
    <w:rsid w:val="00C637DE"/>
    <w:rsid w:val="00C63AD5"/>
    <w:rsid w:val="00C64397"/>
    <w:rsid w:val="00C64B5C"/>
    <w:rsid w:val="00C6511D"/>
    <w:rsid w:val="00C65616"/>
    <w:rsid w:val="00C65E04"/>
    <w:rsid w:val="00C65F22"/>
    <w:rsid w:val="00C66107"/>
    <w:rsid w:val="00C6677E"/>
    <w:rsid w:val="00C679B9"/>
    <w:rsid w:val="00C67ED7"/>
    <w:rsid w:val="00C70755"/>
    <w:rsid w:val="00C70F57"/>
    <w:rsid w:val="00C71A21"/>
    <w:rsid w:val="00C720E1"/>
    <w:rsid w:val="00C736E8"/>
    <w:rsid w:val="00C73867"/>
    <w:rsid w:val="00C753DB"/>
    <w:rsid w:val="00C75C8B"/>
    <w:rsid w:val="00C76373"/>
    <w:rsid w:val="00C77FB1"/>
    <w:rsid w:val="00C80789"/>
    <w:rsid w:val="00C816B2"/>
    <w:rsid w:val="00C817BD"/>
    <w:rsid w:val="00C84B13"/>
    <w:rsid w:val="00C84CD0"/>
    <w:rsid w:val="00C85304"/>
    <w:rsid w:val="00C901AA"/>
    <w:rsid w:val="00C90847"/>
    <w:rsid w:val="00C90E9D"/>
    <w:rsid w:val="00C92DD6"/>
    <w:rsid w:val="00C92E84"/>
    <w:rsid w:val="00C95449"/>
    <w:rsid w:val="00C95B8E"/>
    <w:rsid w:val="00C96796"/>
    <w:rsid w:val="00C96FB0"/>
    <w:rsid w:val="00CA01DC"/>
    <w:rsid w:val="00CA044E"/>
    <w:rsid w:val="00CA221C"/>
    <w:rsid w:val="00CA29A8"/>
    <w:rsid w:val="00CA2C61"/>
    <w:rsid w:val="00CA36FF"/>
    <w:rsid w:val="00CA397F"/>
    <w:rsid w:val="00CA4233"/>
    <w:rsid w:val="00CA4CD3"/>
    <w:rsid w:val="00CA4E78"/>
    <w:rsid w:val="00CA5008"/>
    <w:rsid w:val="00CA5A41"/>
    <w:rsid w:val="00CA61B3"/>
    <w:rsid w:val="00CA62BA"/>
    <w:rsid w:val="00CA6B3D"/>
    <w:rsid w:val="00CA7A87"/>
    <w:rsid w:val="00CB1C2A"/>
    <w:rsid w:val="00CB2D36"/>
    <w:rsid w:val="00CB44F2"/>
    <w:rsid w:val="00CB55B7"/>
    <w:rsid w:val="00CB5DC3"/>
    <w:rsid w:val="00CB6758"/>
    <w:rsid w:val="00CC05BE"/>
    <w:rsid w:val="00CC258D"/>
    <w:rsid w:val="00CC2730"/>
    <w:rsid w:val="00CC58A8"/>
    <w:rsid w:val="00CC60B5"/>
    <w:rsid w:val="00CD240D"/>
    <w:rsid w:val="00CD2BAC"/>
    <w:rsid w:val="00CD30A9"/>
    <w:rsid w:val="00CD32C2"/>
    <w:rsid w:val="00CD61B2"/>
    <w:rsid w:val="00CE0DF8"/>
    <w:rsid w:val="00CE143C"/>
    <w:rsid w:val="00CE1643"/>
    <w:rsid w:val="00CE20C1"/>
    <w:rsid w:val="00CE25B5"/>
    <w:rsid w:val="00CE4711"/>
    <w:rsid w:val="00CE48F9"/>
    <w:rsid w:val="00CE5EEE"/>
    <w:rsid w:val="00CE60F2"/>
    <w:rsid w:val="00CE727C"/>
    <w:rsid w:val="00CE7311"/>
    <w:rsid w:val="00CF016E"/>
    <w:rsid w:val="00CF06BE"/>
    <w:rsid w:val="00CF2755"/>
    <w:rsid w:val="00CF306E"/>
    <w:rsid w:val="00CF3CD8"/>
    <w:rsid w:val="00CF4EBE"/>
    <w:rsid w:val="00CF5CC4"/>
    <w:rsid w:val="00CF652B"/>
    <w:rsid w:val="00CF6D64"/>
    <w:rsid w:val="00CF7364"/>
    <w:rsid w:val="00CF7480"/>
    <w:rsid w:val="00CF7E9A"/>
    <w:rsid w:val="00D0033F"/>
    <w:rsid w:val="00D004AC"/>
    <w:rsid w:val="00D007B9"/>
    <w:rsid w:val="00D00962"/>
    <w:rsid w:val="00D013D5"/>
    <w:rsid w:val="00D01D0D"/>
    <w:rsid w:val="00D0224E"/>
    <w:rsid w:val="00D023E9"/>
    <w:rsid w:val="00D02B57"/>
    <w:rsid w:val="00D03F31"/>
    <w:rsid w:val="00D04092"/>
    <w:rsid w:val="00D04D55"/>
    <w:rsid w:val="00D05274"/>
    <w:rsid w:val="00D06807"/>
    <w:rsid w:val="00D105E4"/>
    <w:rsid w:val="00D10693"/>
    <w:rsid w:val="00D10FF2"/>
    <w:rsid w:val="00D11B66"/>
    <w:rsid w:val="00D11F84"/>
    <w:rsid w:val="00D12043"/>
    <w:rsid w:val="00D12563"/>
    <w:rsid w:val="00D1547C"/>
    <w:rsid w:val="00D155DE"/>
    <w:rsid w:val="00D1669C"/>
    <w:rsid w:val="00D17390"/>
    <w:rsid w:val="00D17DBF"/>
    <w:rsid w:val="00D17E77"/>
    <w:rsid w:val="00D216CF"/>
    <w:rsid w:val="00D21E52"/>
    <w:rsid w:val="00D2246A"/>
    <w:rsid w:val="00D22CF4"/>
    <w:rsid w:val="00D230A8"/>
    <w:rsid w:val="00D233E9"/>
    <w:rsid w:val="00D24D79"/>
    <w:rsid w:val="00D26059"/>
    <w:rsid w:val="00D264E5"/>
    <w:rsid w:val="00D2652B"/>
    <w:rsid w:val="00D26744"/>
    <w:rsid w:val="00D26822"/>
    <w:rsid w:val="00D30705"/>
    <w:rsid w:val="00D334CE"/>
    <w:rsid w:val="00D344FA"/>
    <w:rsid w:val="00D35198"/>
    <w:rsid w:val="00D35784"/>
    <w:rsid w:val="00D3633D"/>
    <w:rsid w:val="00D370FB"/>
    <w:rsid w:val="00D40402"/>
    <w:rsid w:val="00D40644"/>
    <w:rsid w:val="00D4267C"/>
    <w:rsid w:val="00D4280C"/>
    <w:rsid w:val="00D429EC"/>
    <w:rsid w:val="00D42E5C"/>
    <w:rsid w:val="00D436D9"/>
    <w:rsid w:val="00D43D89"/>
    <w:rsid w:val="00D44221"/>
    <w:rsid w:val="00D44358"/>
    <w:rsid w:val="00D4452C"/>
    <w:rsid w:val="00D4499B"/>
    <w:rsid w:val="00D450D8"/>
    <w:rsid w:val="00D4753A"/>
    <w:rsid w:val="00D478D8"/>
    <w:rsid w:val="00D47C8C"/>
    <w:rsid w:val="00D47D74"/>
    <w:rsid w:val="00D50BAF"/>
    <w:rsid w:val="00D50C28"/>
    <w:rsid w:val="00D517D1"/>
    <w:rsid w:val="00D5256D"/>
    <w:rsid w:val="00D52818"/>
    <w:rsid w:val="00D5392C"/>
    <w:rsid w:val="00D53C03"/>
    <w:rsid w:val="00D54CFD"/>
    <w:rsid w:val="00D54DB6"/>
    <w:rsid w:val="00D5537E"/>
    <w:rsid w:val="00D560DA"/>
    <w:rsid w:val="00D56C50"/>
    <w:rsid w:val="00D579BB"/>
    <w:rsid w:val="00D60369"/>
    <w:rsid w:val="00D614F0"/>
    <w:rsid w:val="00D63C62"/>
    <w:rsid w:val="00D64FE9"/>
    <w:rsid w:val="00D71339"/>
    <w:rsid w:val="00D71DFB"/>
    <w:rsid w:val="00D72395"/>
    <w:rsid w:val="00D73B36"/>
    <w:rsid w:val="00D73BB8"/>
    <w:rsid w:val="00D74C21"/>
    <w:rsid w:val="00D754E0"/>
    <w:rsid w:val="00D767D9"/>
    <w:rsid w:val="00D7682B"/>
    <w:rsid w:val="00D77E4A"/>
    <w:rsid w:val="00D8077A"/>
    <w:rsid w:val="00D8149A"/>
    <w:rsid w:val="00D81711"/>
    <w:rsid w:val="00D81BA2"/>
    <w:rsid w:val="00D830A0"/>
    <w:rsid w:val="00D84138"/>
    <w:rsid w:val="00D84DED"/>
    <w:rsid w:val="00D84E7A"/>
    <w:rsid w:val="00D84E99"/>
    <w:rsid w:val="00D8590F"/>
    <w:rsid w:val="00D87820"/>
    <w:rsid w:val="00D90176"/>
    <w:rsid w:val="00D9029C"/>
    <w:rsid w:val="00D91E3D"/>
    <w:rsid w:val="00D935F8"/>
    <w:rsid w:val="00D938AF"/>
    <w:rsid w:val="00D94E2C"/>
    <w:rsid w:val="00D9512C"/>
    <w:rsid w:val="00D952C8"/>
    <w:rsid w:val="00D965FA"/>
    <w:rsid w:val="00D96B70"/>
    <w:rsid w:val="00D96CD2"/>
    <w:rsid w:val="00D971D7"/>
    <w:rsid w:val="00D97711"/>
    <w:rsid w:val="00DA016F"/>
    <w:rsid w:val="00DA11D8"/>
    <w:rsid w:val="00DA25A3"/>
    <w:rsid w:val="00DA2679"/>
    <w:rsid w:val="00DA3A23"/>
    <w:rsid w:val="00DA3C19"/>
    <w:rsid w:val="00DA3E63"/>
    <w:rsid w:val="00DA59FF"/>
    <w:rsid w:val="00DA5F20"/>
    <w:rsid w:val="00DA60D9"/>
    <w:rsid w:val="00DA7B3D"/>
    <w:rsid w:val="00DB2EA6"/>
    <w:rsid w:val="00DB308F"/>
    <w:rsid w:val="00DB385E"/>
    <w:rsid w:val="00DB3F31"/>
    <w:rsid w:val="00DB5432"/>
    <w:rsid w:val="00DB5A3B"/>
    <w:rsid w:val="00DB6CAC"/>
    <w:rsid w:val="00DB6E72"/>
    <w:rsid w:val="00DB728F"/>
    <w:rsid w:val="00DC0781"/>
    <w:rsid w:val="00DC27F5"/>
    <w:rsid w:val="00DC51A4"/>
    <w:rsid w:val="00DC5607"/>
    <w:rsid w:val="00DC6726"/>
    <w:rsid w:val="00DC69AB"/>
    <w:rsid w:val="00DC6D0B"/>
    <w:rsid w:val="00DC710F"/>
    <w:rsid w:val="00DD014F"/>
    <w:rsid w:val="00DD0515"/>
    <w:rsid w:val="00DD2938"/>
    <w:rsid w:val="00DD2B8B"/>
    <w:rsid w:val="00DD2EA5"/>
    <w:rsid w:val="00DD4E53"/>
    <w:rsid w:val="00DD50C5"/>
    <w:rsid w:val="00DD6211"/>
    <w:rsid w:val="00DD635E"/>
    <w:rsid w:val="00DD687F"/>
    <w:rsid w:val="00DD6B2C"/>
    <w:rsid w:val="00DD725F"/>
    <w:rsid w:val="00DD75DA"/>
    <w:rsid w:val="00DE14D3"/>
    <w:rsid w:val="00DE159D"/>
    <w:rsid w:val="00DE1751"/>
    <w:rsid w:val="00DE29A7"/>
    <w:rsid w:val="00DE32FE"/>
    <w:rsid w:val="00DE3D1B"/>
    <w:rsid w:val="00DE42ED"/>
    <w:rsid w:val="00DE580D"/>
    <w:rsid w:val="00DE5898"/>
    <w:rsid w:val="00DE5F32"/>
    <w:rsid w:val="00DE6349"/>
    <w:rsid w:val="00DE7227"/>
    <w:rsid w:val="00DF11AD"/>
    <w:rsid w:val="00DF19FA"/>
    <w:rsid w:val="00DF1F54"/>
    <w:rsid w:val="00DF3367"/>
    <w:rsid w:val="00DF3C0F"/>
    <w:rsid w:val="00DF3D0B"/>
    <w:rsid w:val="00DF46EB"/>
    <w:rsid w:val="00DF48A5"/>
    <w:rsid w:val="00DF4C36"/>
    <w:rsid w:val="00DF60CA"/>
    <w:rsid w:val="00DF6147"/>
    <w:rsid w:val="00DF6403"/>
    <w:rsid w:val="00DF664B"/>
    <w:rsid w:val="00E0054D"/>
    <w:rsid w:val="00E00CAE"/>
    <w:rsid w:val="00E01E8A"/>
    <w:rsid w:val="00E0200A"/>
    <w:rsid w:val="00E02C94"/>
    <w:rsid w:val="00E03413"/>
    <w:rsid w:val="00E0348D"/>
    <w:rsid w:val="00E06653"/>
    <w:rsid w:val="00E0672F"/>
    <w:rsid w:val="00E10A94"/>
    <w:rsid w:val="00E12822"/>
    <w:rsid w:val="00E14247"/>
    <w:rsid w:val="00E148F3"/>
    <w:rsid w:val="00E153E3"/>
    <w:rsid w:val="00E154EC"/>
    <w:rsid w:val="00E159DA"/>
    <w:rsid w:val="00E165B9"/>
    <w:rsid w:val="00E171D5"/>
    <w:rsid w:val="00E175B7"/>
    <w:rsid w:val="00E179DF"/>
    <w:rsid w:val="00E20675"/>
    <w:rsid w:val="00E2186D"/>
    <w:rsid w:val="00E220FE"/>
    <w:rsid w:val="00E22AC0"/>
    <w:rsid w:val="00E23266"/>
    <w:rsid w:val="00E2412B"/>
    <w:rsid w:val="00E24E66"/>
    <w:rsid w:val="00E30CBA"/>
    <w:rsid w:val="00E30F56"/>
    <w:rsid w:val="00E32769"/>
    <w:rsid w:val="00E32ECA"/>
    <w:rsid w:val="00E3313D"/>
    <w:rsid w:val="00E339FE"/>
    <w:rsid w:val="00E34AAB"/>
    <w:rsid w:val="00E35C16"/>
    <w:rsid w:val="00E364C6"/>
    <w:rsid w:val="00E366EB"/>
    <w:rsid w:val="00E37780"/>
    <w:rsid w:val="00E4004E"/>
    <w:rsid w:val="00E4013F"/>
    <w:rsid w:val="00E40B18"/>
    <w:rsid w:val="00E42D6E"/>
    <w:rsid w:val="00E442D9"/>
    <w:rsid w:val="00E443BB"/>
    <w:rsid w:val="00E4567B"/>
    <w:rsid w:val="00E45E0A"/>
    <w:rsid w:val="00E45FC0"/>
    <w:rsid w:val="00E46A42"/>
    <w:rsid w:val="00E474E6"/>
    <w:rsid w:val="00E509A3"/>
    <w:rsid w:val="00E51C38"/>
    <w:rsid w:val="00E52514"/>
    <w:rsid w:val="00E53454"/>
    <w:rsid w:val="00E536C1"/>
    <w:rsid w:val="00E55937"/>
    <w:rsid w:val="00E568C6"/>
    <w:rsid w:val="00E57117"/>
    <w:rsid w:val="00E57E06"/>
    <w:rsid w:val="00E6015D"/>
    <w:rsid w:val="00E607C3"/>
    <w:rsid w:val="00E618BC"/>
    <w:rsid w:val="00E622BA"/>
    <w:rsid w:val="00E6232E"/>
    <w:rsid w:val="00E62AAB"/>
    <w:rsid w:val="00E63777"/>
    <w:rsid w:val="00E63F22"/>
    <w:rsid w:val="00E64333"/>
    <w:rsid w:val="00E65720"/>
    <w:rsid w:val="00E671FF"/>
    <w:rsid w:val="00E70A4B"/>
    <w:rsid w:val="00E71899"/>
    <w:rsid w:val="00E7221D"/>
    <w:rsid w:val="00E727A3"/>
    <w:rsid w:val="00E73502"/>
    <w:rsid w:val="00E73717"/>
    <w:rsid w:val="00E73916"/>
    <w:rsid w:val="00E74CF4"/>
    <w:rsid w:val="00E753F6"/>
    <w:rsid w:val="00E75D9E"/>
    <w:rsid w:val="00E7620C"/>
    <w:rsid w:val="00E76642"/>
    <w:rsid w:val="00E76A06"/>
    <w:rsid w:val="00E76BB8"/>
    <w:rsid w:val="00E76C80"/>
    <w:rsid w:val="00E76FDA"/>
    <w:rsid w:val="00E77350"/>
    <w:rsid w:val="00E80463"/>
    <w:rsid w:val="00E811F9"/>
    <w:rsid w:val="00E8154C"/>
    <w:rsid w:val="00E82980"/>
    <w:rsid w:val="00E82CD3"/>
    <w:rsid w:val="00E8399E"/>
    <w:rsid w:val="00E83BD9"/>
    <w:rsid w:val="00E8506A"/>
    <w:rsid w:val="00E85C51"/>
    <w:rsid w:val="00E868AB"/>
    <w:rsid w:val="00E87E2B"/>
    <w:rsid w:val="00E90D5F"/>
    <w:rsid w:val="00E9197D"/>
    <w:rsid w:val="00E92BEA"/>
    <w:rsid w:val="00E9301B"/>
    <w:rsid w:val="00E93548"/>
    <w:rsid w:val="00E93F4C"/>
    <w:rsid w:val="00E94084"/>
    <w:rsid w:val="00E9483B"/>
    <w:rsid w:val="00E94CB9"/>
    <w:rsid w:val="00E9508C"/>
    <w:rsid w:val="00E95588"/>
    <w:rsid w:val="00E96068"/>
    <w:rsid w:val="00E961F5"/>
    <w:rsid w:val="00E96B57"/>
    <w:rsid w:val="00E9714C"/>
    <w:rsid w:val="00E97203"/>
    <w:rsid w:val="00E97340"/>
    <w:rsid w:val="00EA0324"/>
    <w:rsid w:val="00EA04DE"/>
    <w:rsid w:val="00EA05CF"/>
    <w:rsid w:val="00EA0B4D"/>
    <w:rsid w:val="00EA1DE3"/>
    <w:rsid w:val="00EA2223"/>
    <w:rsid w:val="00EA34C5"/>
    <w:rsid w:val="00EA4ED8"/>
    <w:rsid w:val="00EA66D4"/>
    <w:rsid w:val="00EA7465"/>
    <w:rsid w:val="00EA7470"/>
    <w:rsid w:val="00EB08C4"/>
    <w:rsid w:val="00EB0C77"/>
    <w:rsid w:val="00EB0D1A"/>
    <w:rsid w:val="00EB0F2D"/>
    <w:rsid w:val="00EB240C"/>
    <w:rsid w:val="00EB28CA"/>
    <w:rsid w:val="00EB3909"/>
    <w:rsid w:val="00EB3D8E"/>
    <w:rsid w:val="00EB3FC4"/>
    <w:rsid w:val="00EB4CED"/>
    <w:rsid w:val="00EB59CF"/>
    <w:rsid w:val="00EB5D7B"/>
    <w:rsid w:val="00EB6514"/>
    <w:rsid w:val="00EB7673"/>
    <w:rsid w:val="00EC0052"/>
    <w:rsid w:val="00EC115B"/>
    <w:rsid w:val="00EC1244"/>
    <w:rsid w:val="00EC12C0"/>
    <w:rsid w:val="00EC12EC"/>
    <w:rsid w:val="00EC13A2"/>
    <w:rsid w:val="00EC1954"/>
    <w:rsid w:val="00EC23B4"/>
    <w:rsid w:val="00EC297F"/>
    <w:rsid w:val="00EC361E"/>
    <w:rsid w:val="00EC44BC"/>
    <w:rsid w:val="00EC4686"/>
    <w:rsid w:val="00EC4A14"/>
    <w:rsid w:val="00EC5A1A"/>
    <w:rsid w:val="00EC6667"/>
    <w:rsid w:val="00EC71F0"/>
    <w:rsid w:val="00EC7C6A"/>
    <w:rsid w:val="00EC7F48"/>
    <w:rsid w:val="00ED2B54"/>
    <w:rsid w:val="00ED3AF4"/>
    <w:rsid w:val="00ED41A0"/>
    <w:rsid w:val="00ED516F"/>
    <w:rsid w:val="00ED5372"/>
    <w:rsid w:val="00ED725B"/>
    <w:rsid w:val="00ED7787"/>
    <w:rsid w:val="00ED7D3C"/>
    <w:rsid w:val="00EE0437"/>
    <w:rsid w:val="00EE05EF"/>
    <w:rsid w:val="00EE0A56"/>
    <w:rsid w:val="00EE121B"/>
    <w:rsid w:val="00EE1ACF"/>
    <w:rsid w:val="00EE3822"/>
    <w:rsid w:val="00EE5E63"/>
    <w:rsid w:val="00EE60D7"/>
    <w:rsid w:val="00EE6187"/>
    <w:rsid w:val="00EE64E8"/>
    <w:rsid w:val="00EE6922"/>
    <w:rsid w:val="00EE6F61"/>
    <w:rsid w:val="00EF0469"/>
    <w:rsid w:val="00EF193C"/>
    <w:rsid w:val="00EF21E5"/>
    <w:rsid w:val="00EF2883"/>
    <w:rsid w:val="00EF3026"/>
    <w:rsid w:val="00EF69D6"/>
    <w:rsid w:val="00EF6C01"/>
    <w:rsid w:val="00EF7349"/>
    <w:rsid w:val="00F00892"/>
    <w:rsid w:val="00F00C08"/>
    <w:rsid w:val="00F01A4B"/>
    <w:rsid w:val="00F02627"/>
    <w:rsid w:val="00F065E0"/>
    <w:rsid w:val="00F07E53"/>
    <w:rsid w:val="00F1077F"/>
    <w:rsid w:val="00F115D0"/>
    <w:rsid w:val="00F116F1"/>
    <w:rsid w:val="00F121E1"/>
    <w:rsid w:val="00F13D1B"/>
    <w:rsid w:val="00F14A64"/>
    <w:rsid w:val="00F1584B"/>
    <w:rsid w:val="00F16FFD"/>
    <w:rsid w:val="00F17B47"/>
    <w:rsid w:val="00F20099"/>
    <w:rsid w:val="00F21492"/>
    <w:rsid w:val="00F21CB5"/>
    <w:rsid w:val="00F21EF6"/>
    <w:rsid w:val="00F228A8"/>
    <w:rsid w:val="00F22CC8"/>
    <w:rsid w:val="00F22F59"/>
    <w:rsid w:val="00F23155"/>
    <w:rsid w:val="00F23ABC"/>
    <w:rsid w:val="00F24267"/>
    <w:rsid w:val="00F24366"/>
    <w:rsid w:val="00F24549"/>
    <w:rsid w:val="00F2505A"/>
    <w:rsid w:val="00F26BC4"/>
    <w:rsid w:val="00F26CE3"/>
    <w:rsid w:val="00F27C82"/>
    <w:rsid w:val="00F30003"/>
    <w:rsid w:val="00F302EF"/>
    <w:rsid w:val="00F31CEE"/>
    <w:rsid w:val="00F31EA6"/>
    <w:rsid w:val="00F32ACD"/>
    <w:rsid w:val="00F339E1"/>
    <w:rsid w:val="00F33DEE"/>
    <w:rsid w:val="00F34AC5"/>
    <w:rsid w:val="00F353E8"/>
    <w:rsid w:val="00F41FF0"/>
    <w:rsid w:val="00F422F0"/>
    <w:rsid w:val="00F428B8"/>
    <w:rsid w:val="00F43AA0"/>
    <w:rsid w:val="00F440D8"/>
    <w:rsid w:val="00F445A7"/>
    <w:rsid w:val="00F44BE0"/>
    <w:rsid w:val="00F44CA2"/>
    <w:rsid w:val="00F452E9"/>
    <w:rsid w:val="00F4625B"/>
    <w:rsid w:val="00F47D24"/>
    <w:rsid w:val="00F50106"/>
    <w:rsid w:val="00F50D7F"/>
    <w:rsid w:val="00F51213"/>
    <w:rsid w:val="00F5369D"/>
    <w:rsid w:val="00F5463C"/>
    <w:rsid w:val="00F54759"/>
    <w:rsid w:val="00F5640C"/>
    <w:rsid w:val="00F57A58"/>
    <w:rsid w:val="00F60257"/>
    <w:rsid w:val="00F60F0B"/>
    <w:rsid w:val="00F611FE"/>
    <w:rsid w:val="00F6153B"/>
    <w:rsid w:val="00F631C1"/>
    <w:rsid w:val="00F64C5F"/>
    <w:rsid w:val="00F657D1"/>
    <w:rsid w:val="00F65A00"/>
    <w:rsid w:val="00F71AA6"/>
    <w:rsid w:val="00F71F9C"/>
    <w:rsid w:val="00F72517"/>
    <w:rsid w:val="00F74D53"/>
    <w:rsid w:val="00F754D8"/>
    <w:rsid w:val="00F759E8"/>
    <w:rsid w:val="00F76B4E"/>
    <w:rsid w:val="00F7711C"/>
    <w:rsid w:val="00F773F2"/>
    <w:rsid w:val="00F775C7"/>
    <w:rsid w:val="00F77DF8"/>
    <w:rsid w:val="00F806FA"/>
    <w:rsid w:val="00F813BB"/>
    <w:rsid w:val="00F8196C"/>
    <w:rsid w:val="00F8218F"/>
    <w:rsid w:val="00F825EB"/>
    <w:rsid w:val="00F8458D"/>
    <w:rsid w:val="00F84655"/>
    <w:rsid w:val="00F84944"/>
    <w:rsid w:val="00F84A96"/>
    <w:rsid w:val="00F8609C"/>
    <w:rsid w:val="00F866A4"/>
    <w:rsid w:val="00F8690A"/>
    <w:rsid w:val="00F870CC"/>
    <w:rsid w:val="00F872CE"/>
    <w:rsid w:val="00F8774C"/>
    <w:rsid w:val="00F87E99"/>
    <w:rsid w:val="00F90235"/>
    <w:rsid w:val="00F903C1"/>
    <w:rsid w:val="00F90C16"/>
    <w:rsid w:val="00F919F8"/>
    <w:rsid w:val="00F93097"/>
    <w:rsid w:val="00F9371F"/>
    <w:rsid w:val="00F94AB5"/>
    <w:rsid w:val="00F94B11"/>
    <w:rsid w:val="00F95D6B"/>
    <w:rsid w:val="00F97FCB"/>
    <w:rsid w:val="00FA0920"/>
    <w:rsid w:val="00FA20BA"/>
    <w:rsid w:val="00FA22E8"/>
    <w:rsid w:val="00FA2C27"/>
    <w:rsid w:val="00FA2C93"/>
    <w:rsid w:val="00FA3F23"/>
    <w:rsid w:val="00FA5A1D"/>
    <w:rsid w:val="00FA7CA2"/>
    <w:rsid w:val="00FB1681"/>
    <w:rsid w:val="00FB18C8"/>
    <w:rsid w:val="00FB52AB"/>
    <w:rsid w:val="00FB5649"/>
    <w:rsid w:val="00FB5ACD"/>
    <w:rsid w:val="00FB605F"/>
    <w:rsid w:val="00FB60F1"/>
    <w:rsid w:val="00FB763A"/>
    <w:rsid w:val="00FB7D7B"/>
    <w:rsid w:val="00FC17D3"/>
    <w:rsid w:val="00FC25E0"/>
    <w:rsid w:val="00FC28B6"/>
    <w:rsid w:val="00FC2A56"/>
    <w:rsid w:val="00FC2B8D"/>
    <w:rsid w:val="00FC45F8"/>
    <w:rsid w:val="00FC4E9A"/>
    <w:rsid w:val="00FC5820"/>
    <w:rsid w:val="00FC5D52"/>
    <w:rsid w:val="00FD0223"/>
    <w:rsid w:val="00FD183B"/>
    <w:rsid w:val="00FD1FB1"/>
    <w:rsid w:val="00FD2C6B"/>
    <w:rsid w:val="00FD3384"/>
    <w:rsid w:val="00FD4360"/>
    <w:rsid w:val="00FD64F3"/>
    <w:rsid w:val="00FD7C8D"/>
    <w:rsid w:val="00FD7F9C"/>
    <w:rsid w:val="00FE146E"/>
    <w:rsid w:val="00FE1539"/>
    <w:rsid w:val="00FE18AA"/>
    <w:rsid w:val="00FE5397"/>
    <w:rsid w:val="00FE53BC"/>
    <w:rsid w:val="00FE688C"/>
    <w:rsid w:val="00FE74DC"/>
    <w:rsid w:val="00FE7D3C"/>
    <w:rsid w:val="00FF03EB"/>
    <w:rsid w:val="00FF07D6"/>
    <w:rsid w:val="00FF2E70"/>
    <w:rsid w:val="00FF6A7B"/>
    <w:rsid w:val="01080A93"/>
    <w:rsid w:val="010925E0"/>
    <w:rsid w:val="010B5FD7"/>
    <w:rsid w:val="01106BF7"/>
    <w:rsid w:val="01121B5F"/>
    <w:rsid w:val="01171C46"/>
    <w:rsid w:val="01217EB4"/>
    <w:rsid w:val="01230D5E"/>
    <w:rsid w:val="01241441"/>
    <w:rsid w:val="01294D05"/>
    <w:rsid w:val="012B7CED"/>
    <w:rsid w:val="01324BB9"/>
    <w:rsid w:val="01355A8A"/>
    <w:rsid w:val="013D4644"/>
    <w:rsid w:val="01406C06"/>
    <w:rsid w:val="014D606C"/>
    <w:rsid w:val="014F3E2E"/>
    <w:rsid w:val="01534AF9"/>
    <w:rsid w:val="01562D74"/>
    <w:rsid w:val="01580975"/>
    <w:rsid w:val="016345D1"/>
    <w:rsid w:val="0167467D"/>
    <w:rsid w:val="017E2A82"/>
    <w:rsid w:val="017F51E3"/>
    <w:rsid w:val="018312AD"/>
    <w:rsid w:val="018F5477"/>
    <w:rsid w:val="0197477A"/>
    <w:rsid w:val="019747EA"/>
    <w:rsid w:val="019D7704"/>
    <w:rsid w:val="01AC3FC4"/>
    <w:rsid w:val="01B11381"/>
    <w:rsid w:val="01BA7C78"/>
    <w:rsid w:val="01BD7C05"/>
    <w:rsid w:val="01BF4D70"/>
    <w:rsid w:val="01C10C84"/>
    <w:rsid w:val="01C560DD"/>
    <w:rsid w:val="01C76967"/>
    <w:rsid w:val="01CE53F6"/>
    <w:rsid w:val="01DA4693"/>
    <w:rsid w:val="01DA6775"/>
    <w:rsid w:val="01E87883"/>
    <w:rsid w:val="01F213EE"/>
    <w:rsid w:val="01FC2C96"/>
    <w:rsid w:val="01FD04B0"/>
    <w:rsid w:val="02090BBE"/>
    <w:rsid w:val="020D6609"/>
    <w:rsid w:val="02135EBF"/>
    <w:rsid w:val="021B7A55"/>
    <w:rsid w:val="02204B8A"/>
    <w:rsid w:val="0226475A"/>
    <w:rsid w:val="022C2001"/>
    <w:rsid w:val="0233404B"/>
    <w:rsid w:val="023E7A7B"/>
    <w:rsid w:val="02402B2E"/>
    <w:rsid w:val="024A13FA"/>
    <w:rsid w:val="024B474D"/>
    <w:rsid w:val="024C673C"/>
    <w:rsid w:val="026A3ADE"/>
    <w:rsid w:val="026C6D7F"/>
    <w:rsid w:val="027A20BA"/>
    <w:rsid w:val="027B21D9"/>
    <w:rsid w:val="02800D25"/>
    <w:rsid w:val="02820676"/>
    <w:rsid w:val="02841AEC"/>
    <w:rsid w:val="028F0B13"/>
    <w:rsid w:val="02924842"/>
    <w:rsid w:val="0293747C"/>
    <w:rsid w:val="029557B2"/>
    <w:rsid w:val="029A2DC8"/>
    <w:rsid w:val="02A1755D"/>
    <w:rsid w:val="02A27331"/>
    <w:rsid w:val="02B27A5E"/>
    <w:rsid w:val="02B82B77"/>
    <w:rsid w:val="02BA3866"/>
    <w:rsid w:val="02BD3895"/>
    <w:rsid w:val="02BF68EA"/>
    <w:rsid w:val="02CF060B"/>
    <w:rsid w:val="02E14013"/>
    <w:rsid w:val="02E93428"/>
    <w:rsid w:val="02EA14C1"/>
    <w:rsid w:val="02EB0519"/>
    <w:rsid w:val="02EB11A1"/>
    <w:rsid w:val="02EC1049"/>
    <w:rsid w:val="03065600"/>
    <w:rsid w:val="031178FD"/>
    <w:rsid w:val="03170DB6"/>
    <w:rsid w:val="0318411C"/>
    <w:rsid w:val="031D14EB"/>
    <w:rsid w:val="032971BB"/>
    <w:rsid w:val="033C552E"/>
    <w:rsid w:val="03423ACC"/>
    <w:rsid w:val="034E4A70"/>
    <w:rsid w:val="03560A15"/>
    <w:rsid w:val="035806DB"/>
    <w:rsid w:val="035D570D"/>
    <w:rsid w:val="035E30AC"/>
    <w:rsid w:val="03625669"/>
    <w:rsid w:val="03817333"/>
    <w:rsid w:val="038A5742"/>
    <w:rsid w:val="038F3B48"/>
    <w:rsid w:val="039B24A2"/>
    <w:rsid w:val="03A065D0"/>
    <w:rsid w:val="03B16961"/>
    <w:rsid w:val="03B21A66"/>
    <w:rsid w:val="03BC5474"/>
    <w:rsid w:val="03C114CA"/>
    <w:rsid w:val="03C1490A"/>
    <w:rsid w:val="03C37036"/>
    <w:rsid w:val="03C77A64"/>
    <w:rsid w:val="03C96012"/>
    <w:rsid w:val="03DA2E7D"/>
    <w:rsid w:val="03DB7705"/>
    <w:rsid w:val="03DE2016"/>
    <w:rsid w:val="03E33309"/>
    <w:rsid w:val="03E407DD"/>
    <w:rsid w:val="03EF42D8"/>
    <w:rsid w:val="04015589"/>
    <w:rsid w:val="04152AEF"/>
    <w:rsid w:val="04191877"/>
    <w:rsid w:val="04230E91"/>
    <w:rsid w:val="042900C2"/>
    <w:rsid w:val="04316FF6"/>
    <w:rsid w:val="04322088"/>
    <w:rsid w:val="04350540"/>
    <w:rsid w:val="0436741C"/>
    <w:rsid w:val="04375B4D"/>
    <w:rsid w:val="04440075"/>
    <w:rsid w:val="04466FDF"/>
    <w:rsid w:val="044904E2"/>
    <w:rsid w:val="04490791"/>
    <w:rsid w:val="0452676A"/>
    <w:rsid w:val="045331B3"/>
    <w:rsid w:val="045C078E"/>
    <w:rsid w:val="045C73CE"/>
    <w:rsid w:val="045D71F6"/>
    <w:rsid w:val="046238B5"/>
    <w:rsid w:val="04634190"/>
    <w:rsid w:val="046A035D"/>
    <w:rsid w:val="046C237D"/>
    <w:rsid w:val="046F1F12"/>
    <w:rsid w:val="0477697C"/>
    <w:rsid w:val="047D19E7"/>
    <w:rsid w:val="047E1B06"/>
    <w:rsid w:val="047F1293"/>
    <w:rsid w:val="048C3366"/>
    <w:rsid w:val="04947663"/>
    <w:rsid w:val="049B129F"/>
    <w:rsid w:val="049B6566"/>
    <w:rsid w:val="04AB0A95"/>
    <w:rsid w:val="04AF51BA"/>
    <w:rsid w:val="04B50371"/>
    <w:rsid w:val="04BE78C4"/>
    <w:rsid w:val="04D513E1"/>
    <w:rsid w:val="04D9196F"/>
    <w:rsid w:val="04DC7F19"/>
    <w:rsid w:val="04EE3A8E"/>
    <w:rsid w:val="04FF04DB"/>
    <w:rsid w:val="0501231A"/>
    <w:rsid w:val="050414F1"/>
    <w:rsid w:val="050B0ABA"/>
    <w:rsid w:val="050C5862"/>
    <w:rsid w:val="051813EA"/>
    <w:rsid w:val="05185819"/>
    <w:rsid w:val="051F3F91"/>
    <w:rsid w:val="05226D0E"/>
    <w:rsid w:val="052E1F88"/>
    <w:rsid w:val="05300538"/>
    <w:rsid w:val="053144CA"/>
    <w:rsid w:val="054158F5"/>
    <w:rsid w:val="054605CB"/>
    <w:rsid w:val="05467CA0"/>
    <w:rsid w:val="05493D2C"/>
    <w:rsid w:val="055427F5"/>
    <w:rsid w:val="055541FB"/>
    <w:rsid w:val="055A6230"/>
    <w:rsid w:val="055B32C3"/>
    <w:rsid w:val="055C5DC0"/>
    <w:rsid w:val="05625430"/>
    <w:rsid w:val="05684DDE"/>
    <w:rsid w:val="056E61FE"/>
    <w:rsid w:val="05725CA5"/>
    <w:rsid w:val="05730991"/>
    <w:rsid w:val="05741275"/>
    <w:rsid w:val="057A28F8"/>
    <w:rsid w:val="057A460C"/>
    <w:rsid w:val="057B3EB0"/>
    <w:rsid w:val="057E4F34"/>
    <w:rsid w:val="057F6DC9"/>
    <w:rsid w:val="05845AA9"/>
    <w:rsid w:val="058E0946"/>
    <w:rsid w:val="05973A17"/>
    <w:rsid w:val="05990EF2"/>
    <w:rsid w:val="05996C89"/>
    <w:rsid w:val="059F3B78"/>
    <w:rsid w:val="05A327DC"/>
    <w:rsid w:val="05A419BA"/>
    <w:rsid w:val="05A63D2A"/>
    <w:rsid w:val="05B714F4"/>
    <w:rsid w:val="05D363D9"/>
    <w:rsid w:val="060350FD"/>
    <w:rsid w:val="060E75DE"/>
    <w:rsid w:val="061B57DA"/>
    <w:rsid w:val="062D1357"/>
    <w:rsid w:val="06354738"/>
    <w:rsid w:val="06370329"/>
    <w:rsid w:val="06393448"/>
    <w:rsid w:val="063B5B97"/>
    <w:rsid w:val="063D0E8D"/>
    <w:rsid w:val="063F2619"/>
    <w:rsid w:val="064109C6"/>
    <w:rsid w:val="0641752B"/>
    <w:rsid w:val="064D75DC"/>
    <w:rsid w:val="065A1722"/>
    <w:rsid w:val="065B7CDB"/>
    <w:rsid w:val="065E61DC"/>
    <w:rsid w:val="06772072"/>
    <w:rsid w:val="06772613"/>
    <w:rsid w:val="067D770F"/>
    <w:rsid w:val="06884EBA"/>
    <w:rsid w:val="068A07BC"/>
    <w:rsid w:val="068D1AFC"/>
    <w:rsid w:val="069424A2"/>
    <w:rsid w:val="06C56E20"/>
    <w:rsid w:val="06D678BC"/>
    <w:rsid w:val="06D83BF6"/>
    <w:rsid w:val="06DC326E"/>
    <w:rsid w:val="06E03217"/>
    <w:rsid w:val="06E52D35"/>
    <w:rsid w:val="06EC3188"/>
    <w:rsid w:val="06ED17BB"/>
    <w:rsid w:val="06F22C20"/>
    <w:rsid w:val="06F6564C"/>
    <w:rsid w:val="0702022A"/>
    <w:rsid w:val="070325CD"/>
    <w:rsid w:val="07045B87"/>
    <w:rsid w:val="070C4791"/>
    <w:rsid w:val="070F2C72"/>
    <w:rsid w:val="07315A87"/>
    <w:rsid w:val="0735279A"/>
    <w:rsid w:val="07375EA8"/>
    <w:rsid w:val="073F5E00"/>
    <w:rsid w:val="07483E8D"/>
    <w:rsid w:val="074A3602"/>
    <w:rsid w:val="074D648C"/>
    <w:rsid w:val="07532B2A"/>
    <w:rsid w:val="07590890"/>
    <w:rsid w:val="075A7F88"/>
    <w:rsid w:val="07650889"/>
    <w:rsid w:val="07696ECC"/>
    <w:rsid w:val="076B67FE"/>
    <w:rsid w:val="07721C43"/>
    <w:rsid w:val="0784653B"/>
    <w:rsid w:val="079715FD"/>
    <w:rsid w:val="07992D46"/>
    <w:rsid w:val="07AE1B57"/>
    <w:rsid w:val="07B25D1B"/>
    <w:rsid w:val="07B64948"/>
    <w:rsid w:val="07B66992"/>
    <w:rsid w:val="07C07272"/>
    <w:rsid w:val="07C13F50"/>
    <w:rsid w:val="07C45A6D"/>
    <w:rsid w:val="07CC6A06"/>
    <w:rsid w:val="07D15106"/>
    <w:rsid w:val="07D559C0"/>
    <w:rsid w:val="07D8297A"/>
    <w:rsid w:val="07E024C6"/>
    <w:rsid w:val="07E66EAD"/>
    <w:rsid w:val="07E72838"/>
    <w:rsid w:val="07F20E54"/>
    <w:rsid w:val="07F659A2"/>
    <w:rsid w:val="07F937B1"/>
    <w:rsid w:val="07FE0F91"/>
    <w:rsid w:val="08071BE6"/>
    <w:rsid w:val="080F1975"/>
    <w:rsid w:val="08174E60"/>
    <w:rsid w:val="081C329B"/>
    <w:rsid w:val="08216E4B"/>
    <w:rsid w:val="08245A7A"/>
    <w:rsid w:val="08365B83"/>
    <w:rsid w:val="08416679"/>
    <w:rsid w:val="08471D54"/>
    <w:rsid w:val="08566B4A"/>
    <w:rsid w:val="0857559C"/>
    <w:rsid w:val="085D0409"/>
    <w:rsid w:val="086B657E"/>
    <w:rsid w:val="088F2AF9"/>
    <w:rsid w:val="089532F8"/>
    <w:rsid w:val="08963F95"/>
    <w:rsid w:val="089C2A97"/>
    <w:rsid w:val="089D62F5"/>
    <w:rsid w:val="08A57015"/>
    <w:rsid w:val="08A86EAC"/>
    <w:rsid w:val="08B172BC"/>
    <w:rsid w:val="08B207B0"/>
    <w:rsid w:val="08B37296"/>
    <w:rsid w:val="08B616BB"/>
    <w:rsid w:val="08C525C2"/>
    <w:rsid w:val="08CB039C"/>
    <w:rsid w:val="08E23FDB"/>
    <w:rsid w:val="08F218DA"/>
    <w:rsid w:val="08F57714"/>
    <w:rsid w:val="08F96B1A"/>
    <w:rsid w:val="08FB51CC"/>
    <w:rsid w:val="0905489C"/>
    <w:rsid w:val="0905638E"/>
    <w:rsid w:val="090E3CC8"/>
    <w:rsid w:val="090F00C4"/>
    <w:rsid w:val="090F0488"/>
    <w:rsid w:val="091D08E2"/>
    <w:rsid w:val="09256F20"/>
    <w:rsid w:val="092F12D8"/>
    <w:rsid w:val="092F1F93"/>
    <w:rsid w:val="093C6305"/>
    <w:rsid w:val="094E0CA9"/>
    <w:rsid w:val="09504E8A"/>
    <w:rsid w:val="09517749"/>
    <w:rsid w:val="095220EA"/>
    <w:rsid w:val="09602808"/>
    <w:rsid w:val="098846C9"/>
    <w:rsid w:val="098868EA"/>
    <w:rsid w:val="099018C4"/>
    <w:rsid w:val="09907791"/>
    <w:rsid w:val="099401EB"/>
    <w:rsid w:val="09AD1107"/>
    <w:rsid w:val="09B31C4C"/>
    <w:rsid w:val="09BE1FC8"/>
    <w:rsid w:val="09C86E7B"/>
    <w:rsid w:val="09CA4229"/>
    <w:rsid w:val="09D470E7"/>
    <w:rsid w:val="09D62E42"/>
    <w:rsid w:val="09DE3505"/>
    <w:rsid w:val="09E214BC"/>
    <w:rsid w:val="09E635A0"/>
    <w:rsid w:val="09EA5EDA"/>
    <w:rsid w:val="09EC4C5D"/>
    <w:rsid w:val="09FD339B"/>
    <w:rsid w:val="0A0538FF"/>
    <w:rsid w:val="0A0E36FF"/>
    <w:rsid w:val="0A160D4A"/>
    <w:rsid w:val="0A194F44"/>
    <w:rsid w:val="0A1C1675"/>
    <w:rsid w:val="0A206D1E"/>
    <w:rsid w:val="0A2E3462"/>
    <w:rsid w:val="0A3112F7"/>
    <w:rsid w:val="0A385795"/>
    <w:rsid w:val="0A3C320C"/>
    <w:rsid w:val="0A3D1D44"/>
    <w:rsid w:val="0A3D76F2"/>
    <w:rsid w:val="0A423777"/>
    <w:rsid w:val="0A427E55"/>
    <w:rsid w:val="0A444757"/>
    <w:rsid w:val="0A470073"/>
    <w:rsid w:val="0A4F5427"/>
    <w:rsid w:val="0A59408D"/>
    <w:rsid w:val="0A5F4896"/>
    <w:rsid w:val="0A7157F3"/>
    <w:rsid w:val="0A745BB6"/>
    <w:rsid w:val="0A746597"/>
    <w:rsid w:val="0A894A47"/>
    <w:rsid w:val="0A9554E6"/>
    <w:rsid w:val="0A97707B"/>
    <w:rsid w:val="0AA11D67"/>
    <w:rsid w:val="0AAE5F40"/>
    <w:rsid w:val="0AC36CD9"/>
    <w:rsid w:val="0AC4260E"/>
    <w:rsid w:val="0ACC570C"/>
    <w:rsid w:val="0ACE5983"/>
    <w:rsid w:val="0AD03537"/>
    <w:rsid w:val="0AD66B29"/>
    <w:rsid w:val="0ADB1D0B"/>
    <w:rsid w:val="0ADD569C"/>
    <w:rsid w:val="0AE71512"/>
    <w:rsid w:val="0AF636EE"/>
    <w:rsid w:val="0AF90F91"/>
    <w:rsid w:val="0B074868"/>
    <w:rsid w:val="0B0C722B"/>
    <w:rsid w:val="0B10483B"/>
    <w:rsid w:val="0B105D19"/>
    <w:rsid w:val="0B124A9C"/>
    <w:rsid w:val="0B177FA7"/>
    <w:rsid w:val="0B187F1A"/>
    <w:rsid w:val="0B1A3735"/>
    <w:rsid w:val="0B1B3EC9"/>
    <w:rsid w:val="0B2C0492"/>
    <w:rsid w:val="0B2D65E3"/>
    <w:rsid w:val="0B302C44"/>
    <w:rsid w:val="0B303CAD"/>
    <w:rsid w:val="0B344C45"/>
    <w:rsid w:val="0B372EAF"/>
    <w:rsid w:val="0B376D8E"/>
    <w:rsid w:val="0B3C0B0A"/>
    <w:rsid w:val="0B47444A"/>
    <w:rsid w:val="0B587F08"/>
    <w:rsid w:val="0B5B10EB"/>
    <w:rsid w:val="0B6300DF"/>
    <w:rsid w:val="0B640BC8"/>
    <w:rsid w:val="0B65299B"/>
    <w:rsid w:val="0B664C46"/>
    <w:rsid w:val="0B6858C3"/>
    <w:rsid w:val="0B6A44E1"/>
    <w:rsid w:val="0B6B5623"/>
    <w:rsid w:val="0B863E88"/>
    <w:rsid w:val="0B8C7B4E"/>
    <w:rsid w:val="0B924522"/>
    <w:rsid w:val="0B953A3A"/>
    <w:rsid w:val="0B962A5E"/>
    <w:rsid w:val="0B967628"/>
    <w:rsid w:val="0B9E67D0"/>
    <w:rsid w:val="0BAA2E8F"/>
    <w:rsid w:val="0BB85688"/>
    <w:rsid w:val="0BC301E2"/>
    <w:rsid w:val="0BC41871"/>
    <w:rsid w:val="0BCE22A8"/>
    <w:rsid w:val="0BDA09C9"/>
    <w:rsid w:val="0BE14389"/>
    <w:rsid w:val="0BEE60FF"/>
    <w:rsid w:val="0BF04F5B"/>
    <w:rsid w:val="0BF42839"/>
    <w:rsid w:val="0BF53775"/>
    <w:rsid w:val="0BF5471B"/>
    <w:rsid w:val="0BFD4FF2"/>
    <w:rsid w:val="0C084580"/>
    <w:rsid w:val="0C0E6D3D"/>
    <w:rsid w:val="0C0F0038"/>
    <w:rsid w:val="0C13184C"/>
    <w:rsid w:val="0C170591"/>
    <w:rsid w:val="0C172D12"/>
    <w:rsid w:val="0C1A3E41"/>
    <w:rsid w:val="0C20329A"/>
    <w:rsid w:val="0C250BC5"/>
    <w:rsid w:val="0C255462"/>
    <w:rsid w:val="0C28062B"/>
    <w:rsid w:val="0C2A3E14"/>
    <w:rsid w:val="0C2D76D3"/>
    <w:rsid w:val="0C2E5D7D"/>
    <w:rsid w:val="0C32223A"/>
    <w:rsid w:val="0C392663"/>
    <w:rsid w:val="0C40712B"/>
    <w:rsid w:val="0C4A7D89"/>
    <w:rsid w:val="0C4B3A01"/>
    <w:rsid w:val="0C4E4F36"/>
    <w:rsid w:val="0C5E0069"/>
    <w:rsid w:val="0C667F26"/>
    <w:rsid w:val="0C6E18CA"/>
    <w:rsid w:val="0C71426A"/>
    <w:rsid w:val="0C744235"/>
    <w:rsid w:val="0C76009B"/>
    <w:rsid w:val="0C77610C"/>
    <w:rsid w:val="0C7D621A"/>
    <w:rsid w:val="0C956195"/>
    <w:rsid w:val="0C974EE9"/>
    <w:rsid w:val="0C9E222B"/>
    <w:rsid w:val="0CA03E18"/>
    <w:rsid w:val="0CA26229"/>
    <w:rsid w:val="0CA33BB6"/>
    <w:rsid w:val="0CB13F5C"/>
    <w:rsid w:val="0CB4554C"/>
    <w:rsid w:val="0CB53DCF"/>
    <w:rsid w:val="0CBB4DC5"/>
    <w:rsid w:val="0CBE070D"/>
    <w:rsid w:val="0CC00E60"/>
    <w:rsid w:val="0CD90AA9"/>
    <w:rsid w:val="0CF27682"/>
    <w:rsid w:val="0CF328F3"/>
    <w:rsid w:val="0CF97675"/>
    <w:rsid w:val="0D00447A"/>
    <w:rsid w:val="0D045EF3"/>
    <w:rsid w:val="0D056F1C"/>
    <w:rsid w:val="0D09399A"/>
    <w:rsid w:val="0D0C73C8"/>
    <w:rsid w:val="0D135A95"/>
    <w:rsid w:val="0D187144"/>
    <w:rsid w:val="0D1C0E59"/>
    <w:rsid w:val="0D1C43DC"/>
    <w:rsid w:val="0D2206C5"/>
    <w:rsid w:val="0D231653"/>
    <w:rsid w:val="0D2367BF"/>
    <w:rsid w:val="0D2E4F13"/>
    <w:rsid w:val="0D3152A7"/>
    <w:rsid w:val="0D375169"/>
    <w:rsid w:val="0D4234BA"/>
    <w:rsid w:val="0D4710EF"/>
    <w:rsid w:val="0D4B6E14"/>
    <w:rsid w:val="0D4C5756"/>
    <w:rsid w:val="0D4E7649"/>
    <w:rsid w:val="0D595914"/>
    <w:rsid w:val="0D5A79E9"/>
    <w:rsid w:val="0D5E3357"/>
    <w:rsid w:val="0D6636D6"/>
    <w:rsid w:val="0D6768EC"/>
    <w:rsid w:val="0D6C6CD3"/>
    <w:rsid w:val="0D79231D"/>
    <w:rsid w:val="0D7950B7"/>
    <w:rsid w:val="0D7B24FC"/>
    <w:rsid w:val="0D7B51E7"/>
    <w:rsid w:val="0D7C6DCF"/>
    <w:rsid w:val="0D817643"/>
    <w:rsid w:val="0D911C88"/>
    <w:rsid w:val="0D9A4C9C"/>
    <w:rsid w:val="0DA40493"/>
    <w:rsid w:val="0DA85E9F"/>
    <w:rsid w:val="0DAA604A"/>
    <w:rsid w:val="0DB927C3"/>
    <w:rsid w:val="0DC14FDD"/>
    <w:rsid w:val="0DC441A0"/>
    <w:rsid w:val="0DDB4E7E"/>
    <w:rsid w:val="0DE04CA9"/>
    <w:rsid w:val="0DE7666D"/>
    <w:rsid w:val="0DE83DAA"/>
    <w:rsid w:val="0DEB31B1"/>
    <w:rsid w:val="0DEB5432"/>
    <w:rsid w:val="0E035A16"/>
    <w:rsid w:val="0E0E5145"/>
    <w:rsid w:val="0E1319A5"/>
    <w:rsid w:val="0E1A4A3F"/>
    <w:rsid w:val="0E1C1820"/>
    <w:rsid w:val="0E203E49"/>
    <w:rsid w:val="0E2940E6"/>
    <w:rsid w:val="0E2A1375"/>
    <w:rsid w:val="0E393D9B"/>
    <w:rsid w:val="0E426812"/>
    <w:rsid w:val="0E5B2CFF"/>
    <w:rsid w:val="0E600B9E"/>
    <w:rsid w:val="0E705D24"/>
    <w:rsid w:val="0E7B5481"/>
    <w:rsid w:val="0E864DF6"/>
    <w:rsid w:val="0E8D0306"/>
    <w:rsid w:val="0E913352"/>
    <w:rsid w:val="0E9D6C3E"/>
    <w:rsid w:val="0EA44B45"/>
    <w:rsid w:val="0EA45572"/>
    <w:rsid w:val="0EA63F8E"/>
    <w:rsid w:val="0ECC6FAA"/>
    <w:rsid w:val="0EDE1042"/>
    <w:rsid w:val="0EE1325C"/>
    <w:rsid w:val="0EED1D34"/>
    <w:rsid w:val="0EEF6505"/>
    <w:rsid w:val="0EF1788E"/>
    <w:rsid w:val="0EF71EC4"/>
    <w:rsid w:val="0EF726FC"/>
    <w:rsid w:val="0EF7605D"/>
    <w:rsid w:val="0F073D61"/>
    <w:rsid w:val="0F0A21E0"/>
    <w:rsid w:val="0F113188"/>
    <w:rsid w:val="0F152939"/>
    <w:rsid w:val="0F197D59"/>
    <w:rsid w:val="0F1D2EAB"/>
    <w:rsid w:val="0F291291"/>
    <w:rsid w:val="0F29742D"/>
    <w:rsid w:val="0F4548CC"/>
    <w:rsid w:val="0F5476B2"/>
    <w:rsid w:val="0F610550"/>
    <w:rsid w:val="0F6A1DA0"/>
    <w:rsid w:val="0F6E485F"/>
    <w:rsid w:val="0F7727F0"/>
    <w:rsid w:val="0F7F5BAA"/>
    <w:rsid w:val="0F8002DE"/>
    <w:rsid w:val="0F936464"/>
    <w:rsid w:val="0FA30B6A"/>
    <w:rsid w:val="0FAF75C7"/>
    <w:rsid w:val="0FBE6E0C"/>
    <w:rsid w:val="0FC515E9"/>
    <w:rsid w:val="0FC746BD"/>
    <w:rsid w:val="0FD27C68"/>
    <w:rsid w:val="0FD34365"/>
    <w:rsid w:val="0FD86026"/>
    <w:rsid w:val="0FE401F6"/>
    <w:rsid w:val="0FE5060A"/>
    <w:rsid w:val="0FE57D01"/>
    <w:rsid w:val="0FFC3974"/>
    <w:rsid w:val="10003019"/>
    <w:rsid w:val="100A35FF"/>
    <w:rsid w:val="100E6DDB"/>
    <w:rsid w:val="10166ADB"/>
    <w:rsid w:val="1018387F"/>
    <w:rsid w:val="101B3FFA"/>
    <w:rsid w:val="102179F7"/>
    <w:rsid w:val="10262246"/>
    <w:rsid w:val="102E4F9A"/>
    <w:rsid w:val="103161E4"/>
    <w:rsid w:val="10380FD7"/>
    <w:rsid w:val="10384287"/>
    <w:rsid w:val="103E5C20"/>
    <w:rsid w:val="103E69EC"/>
    <w:rsid w:val="104830A0"/>
    <w:rsid w:val="105268D9"/>
    <w:rsid w:val="10544510"/>
    <w:rsid w:val="105A39D2"/>
    <w:rsid w:val="106C09B2"/>
    <w:rsid w:val="10731246"/>
    <w:rsid w:val="10761DA0"/>
    <w:rsid w:val="107C6565"/>
    <w:rsid w:val="1091748A"/>
    <w:rsid w:val="10925F92"/>
    <w:rsid w:val="10987657"/>
    <w:rsid w:val="109A27F0"/>
    <w:rsid w:val="10A419DA"/>
    <w:rsid w:val="10AE282F"/>
    <w:rsid w:val="10BB7E6D"/>
    <w:rsid w:val="10DC3D61"/>
    <w:rsid w:val="10DD204D"/>
    <w:rsid w:val="10E13D52"/>
    <w:rsid w:val="10ED7269"/>
    <w:rsid w:val="10EE5E2E"/>
    <w:rsid w:val="10F92125"/>
    <w:rsid w:val="11096B80"/>
    <w:rsid w:val="110C0046"/>
    <w:rsid w:val="111027E8"/>
    <w:rsid w:val="111508B1"/>
    <w:rsid w:val="11181C6A"/>
    <w:rsid w:val="111D2537"/>
    <w:rsid w:val="11435614"/>
    <w:rsid w:val="11517B00"/>
    <w:rsid w:val="115F1F8E"/>
    <w:rsid w:val="11617349"/>
    <w:rsid w:val="11664B66"/>
    <w:rsid w:val="116D3D33"/>
    <w:rsid w:val="116E36B9"/>
    <w:rsid w:val="11776893"/>
    <w:rsid w:val="117E690E"/>
    <w:rsid w:val="11800352"/>
    <w:rsid w:val="118207A4"/>
    <w:rsid w:val="1184031E"/>
    <w:rsid w:val="11844FB2"/>
    <w:rsid w:val="11860382"/>
    <w:rsid w:val="11924A4C"/>
    <w:rsid w:val="119439A0"/>
    <w:rsid w:val="11A14DED"/>
    <w:rsid w:val="11A76268"/>
    <w:rsid w:val="11AA0A11"/>
    <w:rsid w:val="11AF32E8"/>
    <w:rsid w:val="11B76AFB"/>
    <w:rsid w:val="11CA0EF8"/>
    <w:rsid w:val="11D1012D"/>
    <w:rsid w:val="11DF5875"/>
    <w:rsid w:val="11E10B7B"/>
    <w:rsid w:val="11E62A82"/>
    <w:rsid w:val="11FB105F"/>
    <w:rsid w:val="120E0762"/>
    <w:rsid w:val="120F0CC3"/>
    <w:rsid w:val="12152C41"/>
    <w:rsid w:val="121F29E2"/>
    <w:rsid w:val="122046DF"/>
    <w:rsid w:val="12292871"/>
    <w:rsid w:val="122B5C61"/>
    <w:rsid w:val="122C0E7B"/>
    <w:rsid w:val="123B758B"/>
    <w:rsid w:val="12451DC2"/>
    <w:rsid w:val="125331FA"/>
    <w:rsid w:val="125A05A3"/>
    <w:rsid w:val="12623C7F"/>
    <w:rsid w:val="12670246"/>
    <w:rsid w:val="1273151B"/>
    <w:rsid w:val="1279156C"/>
    <w:rsid w:val="12847159"/>
    <w:rsid w:val="128A5080"/>
    <w:rsid w:val="12A162BD"/>
    <w:rsid w:val="12A63991"/>
    <w:rsid w:val="12AC1129"/>
    <w:rsid w:val="12AD3633"/>
    <w:rsid w:val="12B022D9"/>
    <w:rsid w:val="12BD394D"/>
    <w:rsid w:val="12CC6490"/>
    <w:rsid w:val="12CE098C"/>
    <w:rsid w:val="12D163E5"/>
    <w:rsid w:val="12D21C99"/>
    <w:rsid w:val="12D457C5"/>
    <w:rsid w:val="12D87A0A"/>
    <w:rsid w:val="12DD41B7"/>
    <w:rsid w:val="12DE0A99"/>
    <w:rsid w:val="12E97D76"/>
    <w:rsid w:val="12EE31D3"/>
    <w:rsid w:val="13065422"/>
    <w:rsid w:val="131176C1"/>
    <w:rsid w:val="13191662"/>
    <w:rsid w:val="131C0129"/>
    <w:rsid w:val="131E3FE4"/>
    <w:rsid w:val="13203DE8"/>
    <w:rsid w:val="13225C36"/>
    <w:rsid w:val="1336395D"/>
    <w:rsid w:val="133C787C"/>
    <w:rsid w:val="1340139F"/>
    <w:rsid w:val="13505E7C"/>
    <w:rsid w:val="13555E73"/>
    <w:rsid w:val="135771FA"/>
    <w:rsid w:val="13581232"/>
    <w:rsid w:val="135B4D15"/>
    <w:rsid w:val="136B552E"/>
    <w:rsid w:val="136B5BE5"/>
    <w:rsid w:val="137821A2"/>
    <w:rsid w:val="1386068F"/>
    <w:rsid w:val="13876D40"/>
    <w:rsid w:val="139849B5"/>
    <w:rsid w:val="139B74EE"/>
    <w:rsid w:val="139D0CD9"/>
    <w:rsid w:val="13A104A0"/>
    <w:rsid w:val="13A3480A"/>
    <w:rsid w:val="13A75CFE"/>
    <w:rsid w:val="13B10196"/>
    <w:rsid w:val="13B307CF"/>
    <w:rsid w:val="13B651E3"/>
    <w:rsid w:val="13B82BBD"/>
    <w:rsid w:val="13C97862"/>
    <w:rsid w:val="13CC054F"/>
    <w:rsid w:val="13CC4716"/>
    <w:rsid w:val="13CF5AFE"/>
    <w:rsid w:val="13D83235"/>
    <w:rsid w:val="13DD2552"/>
    <w:rsid w:val="13EA7262"/>
    <w:rsid w:val="13F416F1"/>
    <w:rsid w:val="13F7727C"/>
    <w:rsid w:val="1400494D"/>
    <w:rsid w:val="14014434"/>
    <w:rsid w:val="14085839"/>
    <w:rsid w:val="14087C6F"/>
    <w:rsid w:val="140B0751"/>
    <w:rsid w:val="14160566"/>
    <w:rsid w:val="141B5B0E"/>
    <w:rsid w:val="1424092F"/>
    <w:rsid w:val="142552C1"/>
    <w:rsid w:val="142B0D13"/>
    <w:rsid w:val="142B5C34"/>
    <w:rsid w:val="14377FA1"/>
    <w:rsid w:val="14391124"/>
    <w:rsid w:val="143C7B59"/>
    <w:rsid w:val="14405248"/>
    <w:rsid w:val="145108B5"/>
    <w:rsid w:val="14550557"/>
    <w:rsid w:val="14560D21"/>
    <w:rsid w:val="147304BC"/>
    <w:rsid w:val="147469FD"/>
    <w:rsid w:val="147F25B6"/>
    <w:rsid w:val="14930584"/>
    <w:rsid w:val="14951116"/>
    <w:rsid w:val="14955F8A"/>
    <w:rsid w:val="14972D5A"/>
    <w:rsid w:val="149E521D"/>
    <w:rsid w:val="14A13937"/>
    <w:rsid w:val="14AD31D3"/>
    <w:rsid w:val="14B55FA5"/>
    <w:rsid w:val="14B83AFF"/>
    <w:rsid w:val="14BA1DFA"/>
    <w:rsid w:val="14BD4554"/>
    <w:rsid w:val="14C422CA"/>
    <w:rsid w:val="14E44AE5"/>
    <w:rsid w:val="14E566EC"/>
    <w:rsid w:val="14E823CE"/>
    <w:rsid w:val="14E86BD5"/>
    <w:rsid w:val="14F76003"/>
    <w:rsid w:val="14F87AE3"/>
    <w:rsid w:val="15011821"/>
    <w:rsid w:val="1507385B"/>
    <w:rsid w:val="150A3E57"/>
    <w:rsid w:val="150E672B"/>
    <w:rsid w:val="15141DB4"/>
    <w:rsid w:val="151960BA"/>
    <w:rsid w:val="151A3194"/>
    <w:rsid w:val="15246D5D"/>
    <w:rsid w:val="154A468F"/>
    <w:rsid w:val="154C2456"/>
    <w:rsid w:val="154D0277"/>
    <w:rsid w:val="154F6201"/>
    <w:rsid w:val="15526D3E"/>
    <w:rsid w:val="155B7F3F"/>
    <w:rsid w:val="15642ED1"/>
    <w:rsid w:val="15793B02"/>
    <w:rsid w:val="15812C9B"/>
    <w:rsid w:val="158508AB"/>
    <w:rsid w:val="158673A7"/>
    <w:rsid w:val="158730E2"/>
    <w:rsid w:val="15897091"/>
    <w:rsid w:val="15967F03"/>
    <w:rsid w:val="15AC7CDB"/>
    <w:rsid w:val="15BC6DD0"/>
    <w:rsid w:val="15BD5A65"/>
    <w:rsid w:val="15C32287"/>
    <w:rsid w:val="15C6186A"/>
    <w:rsid w:val="15D03BD9"/>
    <w:rsid w:val="15D3085E"/>
    <w:rsid w:val="15D47245"/>
    <w:rsid w:val="15DA63CC"/>
    <w:rsid w:val="15E35E8D"/>
    <w:rsid w:val="15E6512A"/>
    <w:rsid w:val="15E675A5"/>
    <w:rsid w:val="15EA0A87"/>
    <w:rsid w:val="15EE2D15"/>
    <w:rsid w:val="15EF49D1"/>
    <w:rsid w:val="15FB4C34"/>
    <w:rsid w:val="15FC2D5F"/>
    <w:rsid w:val="15FF1C56"/>
    <w:rsid w:val="1600471B"/>
    <w:rsid w:val="16067E64"/>
    <w:rsid w:val="160C293C"/>
    <w:rsid w:val="160E56AC"/>
    <w:rsid w:val="16150482"/>
    <w:rsid w:val="16161440"/>
    <w:rsid w:val="161C180D"/>
    <w:rsid w:val="162110C5"/>
    <w:rsid w:val="162749C5"/>
    <w:rsid w:val="162A2078"/>
    <w:rsid w:val="162D150B"/>
    <w:rsid w:val="16373E1C"/>
    <w:rsid w:val="16420DB6"/>
    <w:rsid w:val="16446D50"/>
    <w:rsid w:val="164845EC"/>
    <w:rsid w:val="16501EBF"/>
    <w:rsid w:val="16507464"/>
    <w:rsid w:val="165C659C"/>
    <w:rsid w:val="165E0FF9"/>
    <w:rsid w:val="165F736E"/>
    <w:rsid w:val="16752E46"/>
    <w:rsid w:val="167E291D"/>
    <w:rsid w:val="16802E58"/>
    <w:rsid w:val="16832D65"/>
    <w:rsid w:val="16863F39"/>
    <w:rsid w:val="16894B36"/>
    <w:rsid w:val="16A65031"/>
    <w:rsid w:val="16C4309D"/>
    <w:rsid w:val="16D73B61"/>
    <w:rsid w:val="16E358B5"/>
    <w:rsid w:val="16F71E32"/>
    <w:rsid w:val="16F93117"/>
    <w:rsid w:val="16FC5E0D"/>
    <w:rsid w:val="1705316F"/>
    <w:rsid w:val="170D6979"/>
    <w:rsid w:val="17102404"/>
    <w:rsid w:val="17141EB2"/>
    <w:rsid w:val="172867EA"/>
    <w:rsid w:val="172E52F3"/>
    <w:rsid w:val="17336F46"/>
    <w:rsid w:val="17441D7B"/>
    <w:rsid w:val="17453E8A"/>
    <w:rsid w:val="174B1C45"/>
    <w:rsid w:val="17543064"/>
    <w:rsid w:val="17560E12"/>
    <w:rsid w:val="175A5901"/>
    <w:rsid w:val="17614B06"/>
    <w:rsid w:val="176435CE"/>
    <w:rsid w:val="17694836"/>
    <w:rsid w:val="176A6603"/>
    <w:rsid w:val="176B2C21"/>
    <w:rsid w:val="176F52C7"/>
    <w:rsid w:val="1772762E"/>
    <w:rsid w:val="1773685E"/>
    <w:rsid w:val="17785B9F"/>
    <w:rsid w:val="1778751B"/>
    <w:rsid w:val="17812ECC"/>
    <w:rsid w:val="17935A6B"/>
    <w:rsid w:val="17964E63"/>
    <w:rsid w:val="1797717B"/>
    <w:rsid w:val="179B237B"/>
    <w:rsid w:val="17A10CCB"/>
    <w:rsid w:val="17A4703F"/>
    <w:rsid w:val="17AF5B92"/>
    <w:rsid w:val="17AF5E5B"/>
    <w:rsid w:val="17B64374"/>
    <w:rsid w:val="17B9044C"/>
    <w:rsid w:val="17C1119D"/>
    <w:rsid w:val="17C575A3"/>
    <w:rsid w:val="17CA3E0A"/>
    <w:rsid w:val="17D640E8"/>
    <w:rsid w:val="17E207E7"/>
    <w:rsid w:val="17F2149D"/>
    <w:rsid w:val="17F34AB4"/>
    <w:rsid w:val="17FE651C"/>
    <w:rsid w:val="180165A7"/>
    <w:rsid w:val="18070F4C"/>
    <w:rsid w:val="18111812"/>
    <w:rsid w:val="181A2132"/>
    <w:rsid w:val="182714EA"/>
    <w:rsid w:val="182C5706"/>
    <w:rsid w:val="182D4B2C"/>
    <w:rsid w:val="182E3922"/>
    <w:rsid w:val="1835570E"/>
    <w:rsid w:val="1838265B"/>
    <w:rsid w:val="183A7BED"/>
    <w:rsid w:val="183E10F0"/>
    <w:rsid w:val="1840250E"/>
    <w:rsid w:val="18434143"/>
    <w:rsid w:val="184801ED"/>
    <w:rsid w:val="18555E8F"/>
    <w:rsid w:val="186138ED"/>
    <w:rsid w:val="18627835"/>
    <w:rsid w:val="186A089E"/>
    <w:rsid w:val="186C63A7"/>
    <w:rsid w:val="187331EF"/>
    <w:rsid w:val="187E18E7"/>
    <w:rsid w:val="18982A49"/>
    <w:rsid w:val="18AA1AE6"/>
    <w:rsid w:val="18AB6C30"/>
    <w:rsid w:val="18BC18CE"/>
    <w:rsid w:val="18BC284B"/>
    <w:rsid w:val="18BE030F"/>
    <w:rsid w:val="18C50A62"/>
    <w:rsid w:val="18C634E8"/>
    <w:rsid w:val="18C73EF0"/>
    <w:rsid w:val="18C965AC"/>
    <w:rsid w:val="18CF62C6"/>
    <w:rsid w:val="18D96307"/>
    <w:rsid w:val="18E609EC"/>
    <w:rsid w:val="18EB5799"/>
    <w:rsid w:val="18F234CC"/>
    <w:rsid w:val="18F85FAB"/>
    <w:rsid w:val="1904495E"/>
    <w:rsid w:val="19057D63"/>
    <w:rsid w:val="190D66F1"/>
    <w:rsid w:val="191001DD"/>
    <w:rsid w:val="19104834"/>
    <w:rsid w:val="191137E9"/>
    <w:rsid w:val="19153875"/>
    <w:rsid w:val="19186480"/>
    <w:rsid w:val="192A5B0D"/>
    <w:rsid w:val="193210E0"/>
    <w:rsid w:val="19376EC8"/>
    <w:rsid w:val="19406453"/>
    <w:rsid w:val="19443692"/>
    <w:rsid w:val="19536936"/>
    <w:rsid w:val="19575B5A"/>
    <w:rsid w:val="196B2B20"/>
    <w:rsid w:val="19814C6F"/>
    <w:rsid w:val="19926A75"/>
    <w:rsid w:val="19943F0B"/>
    <w:rsid w:val="19AD6587"/>
    <w:rsid w:val="19C257AA"/>
    <w:rsid w:val="19C26F12"/>
    <w:rsid w:val="19C5335C"/>
    <w:rsid w:val="19D02B39"/>
    <w:rsid w:val="19D72001"/>
    <w:rsid w:val="19D957F3"/>
    <w:rsid w:val="19DA5357"/>
    <w:rsid w:val="19DC2F11"/>
    <w:rsid w:val="19E22206"/>
    <w:rsid w:val="19F5244D"/>
    <w:rsid w:val="19F73B32"/>
    <w:rsid w:val="19F924A4"/>
    <w:rsid w:val="1A0701B4"/>
    <w:rsid w:val="1A0E103B"/>
    <w:rsid w:val="1A1656A8"/>
    <w:rsid w:val="1A2C50F9"/>
    <w:rsid w:val="1A2F0ABA"/>
    <w:rsid w:val="1A37057C"/>
    <w:rsid w:val="1A423901"/>
    <w:rsid w:val="1A452186"/>
    <w:rsid w:val="1A503EF5"/>
    <w:rsid w:val="1A6003B2"/>
    <w:rsid w:val="1A642DB4"/>
    <w:rsid w:val="1A644901"/>
    <w:rsid w:val="1A6E3974"/>
    <w:rsid w:val="1A736593"/>
    <w:rsid w:val="1A891020"/>
    <w:rsid w:val="1A8C285E"/>
    <w:rsid w:val="1A912C14"/>
    <w:rsid w:val="1A9454CF"/>
    <w:rsid w:val="1A9E608A"/>
    <w:rsid w:val="1A9F4315"/>
    <w:rsid w:val="1AA1048D"/>
    <w:rsid w:val="1AAB159D"/>
    <w:rsid w:val="1AB13030"/>
    <w:rsid w:val="1ABE25CF"/>
    <w:rsid w:val="1ABF07AC"/>
    <w:rsid w:val="1AC250EE"/>
    <w:rsid w:val="1AC36576"/>
    <w:rsid w:val="1ACB6C91"/>
    <w:rsid w:val="1ADF0FF7"/>
    <w:rsid w:val="1ADF5759"/>
    <w:rsid w:val="1AE33E9D"/>
    <w:rsid w:val="1AF14158"/>
    <w:rsid w:val="1AF2037E"/>
    <w:rsid w:val="1AF34A36"/>
    <w:rsid w:val="1AF4016E"/>
    <w:rsid w:val="1AF45EDC"/>
    <w:rsid w:val="1AF718B8"/>
    <w:rsid w:val="1AF916C0"/>
    <w:rsid w:val="1AFB00B0"/>
    <w:rsid w:val="1AFC0CF0"/>
    <w:rsid w:val="1B100CF1"/>
    <w:rsid w:val="1B127952"/>
    <w:rsid w:val="1B13352A"/>
    <w:rsid w:val="1B140D59"/>
    <w:rsid w:val="1B1B6B71"/>
    <w:rsid w:val="1B226618"/>
    <w:rsid w:val="1B2B2B54"/>
    <w:rsid w:val="1B375635"/>
    <w:rsid w:val="1B375BD9"/>
    <w:rsid w:val="1B414195"/>
    <w:rsid w:val="1B4B2BC0"/>
    <w:rsid w:val="1B4B7A22"/>
    <w:rsid w:val="1B4E559A"/>
    <w:rsid w:val="1B553F5A"/>
    <w:rsid w:val="1B587E07"/>
    <w:rsid w:val="1B5940D8"/>
    <w:rsid w:val="1B6864FF"/>
    <w:rsid w:val="1B693A29"/>
    <w:rsid w:val="1B756282"/>
    <w:rsid w:val="1B7B306F"/>
    <w:rsid w:val="1B7F080C"/>
    <w:rsid w:val="1B7F7F53"/>
    <w:rsid w:val="1B827093"/>
    <w:rsid w:val="1B877248"/>
    <w:rsid w:val="1B8D6FBC"/>
    <w:rsid w:val="1B8F3BFD"/>
    <w:rsid w:val="1B9A21C0"/>
    <w:rsid w:val="1BA54D10"/>
    <w:rsid w:val="1BAD4CC1"/>
    <w:rsid w:val="1BB346D7"/>
    <w:rsid w:val="1BDC63E9"/>
    <w:rsid w:val="1BE14EAA"/>
    <w:rsid w:val="1BE24E18"/>
    <w:rsid w:val="1BE31310"/>
    <w:rsid w:val="1BE31BA9"/>
    <w:rsid w:val="1BED3A45"/>
    <w:rsid w:val="1BEE0896"/>
    <w:rsid w:val="1BF6464D"/>
    <w:rsid w:val="1C15101D"/>
    <w:rsid w:val="1C195811"/>
    <w:rsid w:val="1C1C2706"/>
    <w:rsid w:val="1C1E738A"/>
    <w:rsid w:val="1C287CB1"/>
    <w:rsid w:val="1C311E37"/>
    <w:rsid w:val="1C38756E"/>
    <w:rsid w:val="1C3C0B57"/>
    <w:rsid w:val="1C4267ED"/>
    <w:rsid w:val="1C432CCA"/>
    <w:rsid w:val="1C45662F"/>
    <w:rsid w:val="1C493644"/>
    <w:rsid w:val="1C4A6D7F"/>
    <w:rsid w:val="1C530D02"/>
    <w:rsid w:val="1C5C5AA6"/>
    <w:rsid w:val="1C5C6778"/>
    <w:rsid w:val="1C5D08FC"/>
    <w:rsid w:val="1C624181"/>
    <w:rsid w:val="1C6A2F6B"/>
    <w:rsid w:val="1C7333F6"/>
    <w:rsid w:val="1C736E68"/>
    <w:rsid w:val="1C892480"/>
    <w:rsid w:val="1C8A6B5A"/>
    <w:rsid w:val="1CC06E9C"/>
    <w:rsid w:val="1CC9179A"/>
    <w:rsid w:val="1CCC0289"/>
    <w:rsid w:val="1CCF0874"/>
    <w:rsid w:val="1CD41F05"/>
    <w:rsid w:val="1CD433F1"/>
    <w:rsid w:val="1CD83792"/>
    <w:rsid w:val="1CD84A80"/>
    <w:rsid w:val="1CDE36B2"/>
    <w:rsid w:val="1CF31869"/>
    <w:rsid w:val="1CF45710"/>
    <w:rsid w:val="1CF807A1"/>
    <w:rsid w:val="1CFE325A"/>
    <w:rsid w:val="1D011146"/>
    <w:rsid w:val="1D016A84"/>
    <w:rsid w:val="1D031A76"/>
    <w:rsid w:val="1D0460DA"/>
    <w:rsid w:val="1D0B2629"/>
    <w:rsid w:val="1D0F66F9"/>
    <w:rsid w:val="1D186779"/>
    <w:rsid w:val="1D22189F"/>
    <w:rsid w:val="1D28518F"/>
    <w:rsid w:val="1D3B3BB2"/>
    <w:rsid w:val="1D3B7F99"/>
    <w:rsid w:val="1D454AB3"/>
    <w:rsid w:val="1D52732D"/>
    <w:rsid w:val="1D6A7A85"/>
    <w:rsid w:val="1D6D107B"/>
    <w:rsid w:val="1D712F76"/>
    <w:rsid w:val="1D754A47"/>
    <w:rsid w:val="1D766F31"/>
    <w:rsid w:val="1D781B2D"/>
    <w:rsid w:val="1D79528D"/>
    <w:rsid w:val="1D804320"/>
    <w:rsid w:val="1D824D51"/>
    <w:rsid w:val="1D837C1C"/>
    <w:rsid w:val="1D8F7575"/>
    <w:rsid w:val="1DA2004B"/>
    <w:rsid w:val="1DAB7D3B"/>
    <w:rsid w:val="1DAC394C"/>
    <w:rsid w:val="1DB22BC3"/>
    <w:rsid w:val="1DBA5CA4"/>
    <w:rsid w:val="1DC46FBC"/>
    <w:rsid w:val="1DCB48E9"/>
    <w:rsid w:val="1DD02612"/>
    <w:rsid w:val="1DD213BA"/>
    <w:rsid w:val="1DE7360B"/>
    <w:rsid w:val="1DF0155F"/>
    <w:rsid w:val="1DF051C8"/>
    <w:rsid w:val="1DFA215D"/>
    <w:rsid w:val="1DFC3255"/>
    <w:rsid w:val="1DFF3D90"/>
    <w:rsid w:val="1E0225E9"/>
    <w:rsid w:val="1E047654"/>
    <w:rsid w:val="1E0B22C0"/>
    <w:rsid w:val="1E2373B0"/>
    <w:rsid w:val="1E255DF8"/>
    <w:rsid w:val="1E2F5EF0"/>
    <w:rsid w:val="1E303EE1"/>
    <w:rsid w:val="1E486D96"/>
    <w:rsid w:val="1E495606"/>
    <w:rsid w:val="1E4B6052"/>
    <w:rsid w:val="1E54712E"/>
    <w:rsid w:val="1E6531EB"/>
    <w:rsid w:val="1E6B3D9D"/>
    <w:rsid w:val="1E784485"/>
    <w:rsid w:val="1EA02B0C"/>
    <w:rsid w:val="1EB842D3"/>
    <w:rsid w:val="1EBB54A1"/>
    <w:rsid w:val="1EC369FA"/>
    <w:rsid w:val="1EC75218"/>
    <w:rsid w:val="1ECE3AE1"/>
    <w:rsid w:val="1ED23937"/>
    <w:rsid w:val="1ED4331F"/>
    <w:rsid w:val="1ED62DB7"/>
    <w:rsid w:val="1EDE0B35"/>
    <w:rsid w:val="1EDF227A"/>
    <w:rsid w:val="1EE94FB6"/>
    <w:rsid w:val="1EEC1ADF"/>
    <w:rsid w:val="1EF20AAB"/>
    <w:rsid w:val="1EF74BFA"/>
    <w:rsid w:val="1F072533"/>
    <w:rsid w:val="1F1E710D"/>
    <w:rsid w:val="1F1F0762"/>
    <w:rsid w:val="1F1F7632"/>
    <w:rsid w:val="1F2003A9"/>
    <w:rsid w:val="1F2078A0"/>
    <w:rsid w:val="1F2811A6"/>
    <w:rsid w:val="1F3A42EB"/>
    <w:rsid w:val="1F3D674F"/>
    <w:rsid w:val="1F437DB5"/>
    <w:rsid w:val="1F480EC9"/>
    <w:rsid w:val="1F535CC0"/>
    <w:rsid w:val="1F562256"/>
    <w:rsid w:val="1F5E62AF"/>
    <w:rsid w:val="1F6C3A33"/>
    <w:rsid w:val="1F6D75EC"/>
    <w:rsid w:val="1F706D79"/>
    <w:rsid w:val="1F745D29"/>
    <w:rsid w:val="1F83250E"/>
    <w:rsid w:val="1F84799C"/>
    <w:rsid w:val="1F8E0F17"/>
    <w:rsid w:val="1F8E70EE"/>
    <w:rsid w:val="1F906A6F"/>
    <w:rsid w:val="1F9E5DCD"/>
    <w:rsid w:val="1FA222BC"/>
    <w:rsid w:val="1FA24215"/>
    <w:rsid w:val="1FA85507"/>
    <w:rsid w:val="1FAC69DA"/>
    <w:rsid w:val="1FC45E8A"/>
    <w:rsid w:val="1FC45EEF"/>
    <w:rsid w:val="1FC87CD9"/>
    <w:rsid w:val="1FD015AE"/>
    <w:rsid w:val="1FD62103"/>
    <w:rsid w:val="1FE719E4"/>
    <w:rsid w:val="1FE85A73"/>
    <w:rsid w:val="1FEA4831"/>
    <w:rsid w:val="1FED74F8"/>
    <w:rsid w:val="1FEF72BE"/>
    <w:rsid w:val="1FF22BC5"/>
    <w:rsid w:val="1FF43F56"/>
    <w:rsid w:val="1FFB55A0"/>
    <w:rsid w:val="1FFD6675"/>
    <w:rsid w:val="20027BFE"/>
    <w:rsid w:val="20100D0A"/>
    <w:rsid w:val="20115C5F"/>
    <w:rsid w:val="20182D9E"/>
    <w:rsid w:val="201935D2"/>
    <w:rsid w:val="202007F0"/>
    <w:rsid w:val="20332EC6"/>
    <w:rsid w:val="20352402"/>
    <w:rsid w:val="203F7625"/>
    <w:rsid w:val="2043733F"/>
    <w:rsid w:val="204A7771"/>
    <w:rsid w:val="20535ECD"/>
    <w:rsid w:val="20591564"/>
    <w:rsid w:val="205B688D"/>
    <w:rsid w:val="20696CF5"/>
    <w:rsid w:val="2074061D"/>
    <w:rsid w:val="20751C35"/>
    <w:rsid w:val="20760810"/>
    <w:rsid w:val="207D59D1"/>
    <w:rsid w:val="207F13DF"/>
    <w:rsid w:val="20873DB8"/>
    <w:rsid w:val="20890ACB"/>
    <w:rsid w:val="2091294C"/>
    <w:rsid w:val="20921BBE"/>
    <w:rsid w:val="209645BC"/>
    <w:rsid w:val="209668EC"/>
    <w:rsid w:val="20977DDF"/>
    <w:rsid w:val="20A65BD1"/>
    <w:rsid w:val="20A8468F"/>
    <w:rsid w:val="20BB5810"/>
    <w:rsid w:val="20C14B3C"/>
    <w:rsid w:val="20D364EF"/>
    <w:rsid w:val="20E12383"/>
    <w:rsid w:val="20EB377D"/>
    <w:rsid w:val="20EC3DE9"/>
    <w:rsid w:val="20F6039F"/>
    <w:rsid w:val="20FB6A5A"/>
    <w:rsid w:val="20FE46F4"/>
    <w:rsid w:val="211208E2"/>
    <w:rsid w:val="211455A7"/>
    <w:rsid w:val="2115514A"/>
    <w:rsid w:val="21194231"/>
    <w:rsid w:val="211B399A"/>
    <w:rsid w:val="211E3E2F"/>
    <w:rsid w:val="21201277"/>
    <w:rsid w:val="21206E7F"/>
    <w:rsid w:val="212349A2"/>
    <w:rsid w:val="2124080F"/>
    <w:rsid w:val="2132323D"/>
    <w:rsid w:val="213A6974"/>
    <w:rsid w:val="213A7C01"/>
    <w:rsid w:val="213F3E0A"/>
    <w:rsid w:val="214F6C4A"/>
    <w:rsid w:val="216902C3"/>
    <w:rsid w:val="21765993"/>
    <w:rsid w:val="217A3AFF"/>
    <w:rsid w:val="217B50DB"/>
    <w:rsid w:val="217C2DE4"/>
    <w:rsid w:val="217C35B1"/>
    <w:rsid w:val="21834DA7"/>
    <w:rsid w:val="21855C2C"/>
    <w:rsid w:val="21884089"/>
    <w:rsid w:val="21887DA0"/>
    <w:rsid w:val="21952418"/>
    <w:rsid w:val="219B3B69"/>
    <w:rsid w:val="21B327FA"/>
    <w:rsid w:val="21B351B1"/>
    <w:rsid w:val="21B50C13"/>
    <w:rsid w:val="21BA405E"/>
    <w:rsid w:val="21BD5E79"/>
    <w:rsid w:val="21C20139"/>
    <w:rsid w:val="21C33A92"/>
    <w:rsid w:val="21C834FE"/>
    <w:rsid w:val="21C93865"/>
    <w:rsid w:val="21D26304"/>
    <w:rsid w:val="21DF6573"/>
    <w:rsid w:val="21E57CB7"/>
    <w:rsid w:val="21F4496F"/>
    <w:rsid w:val="21F54358"/>
    <w:rsid w:val="220268B8"/>
    <w:rsid w:val="22043A99"/>
    <w:rsid w:val="22072680"/>
    <w:rsid w:val="220A64B9"/>
    <w:rsid w:val="220B591C"/>
    <w:rsid w:val="220E452E"/>
    <w:rsid w:val="22120F15"/>
    <w:rsid w:val="22195DDB"/>
    <w:rsid w:val="221B2231"/>
    <w:rsid w:val="221D5639"/>
    <w:rsid w:val="22201AED"/>
    <w:rsid w:val="222710C2"/>
    <w:rsid w:val="22336C1A"/>
    <w:rsid w:val="223B4600"/>
    <w:rsid w:val="224F124C"/>
    <w:rsid w:val="22561E89"/>
    <w:rsid w:val="225B2F57"/>
    <w:rsid w:val="225E529B"/>
    <w:rsid w:val="22613852"/>
    <w:rsid w:val="22690CFF"/>
    <w:rsid w:val="226A58A8"/>
    <w:rsid w:val="226D0AA2"/>
    <w:rsid w:val="22744F8D"/>
    <w:rsid w:val="228049F3"/>
    <w:rsid w:val="228D5969"/>
    <w:rsid w:val="229A133F"/>
    <w:rsid w:val="229A2AEA"/>
    <w:rsid w:val="22A15CA3"/>
    <w:rsid w:val="22A26142"/>
    <w:rsid w:val="22A842AA"/>
    <w:rsid w:val="22B76E56"/>
    <w:rsid w:val="22BD024A"/>
    <w:rsid w:val="22D10882"/>
    <w:rsid w:val="22D123B8"/>
    <w:rsid w:val="22E14628"/>
    <w:rsid w:val="22ED3099"/>
    <w:rsid w:val="22ED458E"/>
    <w:rsid w:val="22EE3DA9"/>
    <w:rsid w:val="22FF2F2B"/>
    <w:rsid w:val="2301519F"/>
    <w:rsid w:val="23095121"/>
    <w:rsid w:val="231031C9"/>
    <w:rsid w:val="23134705"/>
    <w:rsid w:val="2314178C"/>
    <w:rsid w:val="23143849"/>
    <w:rsid w:val="232955BE"/>
    <w:rsid w:val="232E79DC"/>
    <w:rsid w:val="233E7CDE"/>
    <w:rsid w:val="234745FE"/>
    <w:rsid w:val="23480807"/>
    <w:rsid w:val="234A52C4"/>
    <w:rsid w:val="235D4172"/>
    <w:rsid w:val="2361495B"/>
    <w:rsid w:val="23622F68"/>
    <w:rsid w:val="23637A36"/>
    <w:rsid w:val="23726212"/>
    <w:rsid w:val="23730839"/>
    <w:rsid w:val="237708C5"/>
    <w:rsid w:val="238066A5"/>
    <w:rsid w:val="23856B61"/>
    <w:rsid w:val="23857426"/>
    <w:rsid w:val="238C71A2"/>
    <w:rsid w:val="23914730"/>
    <w:rsid w:val="23955556"/>
    <w:rsid w:val="23997C6B"/>
    <w:rsid w:val="239A63FB"/>
    <w:rsid w:val="239C593B"/>
    <w:rsid w:val="23A5600A"/>
    <w:rsid w:val="23A863AD"/>
    <w:rsid w:val="23AC008D"/>
    <w:rsid w:val="23B33639"/>
    <w:rsid w:val="23BB7058"/>
    <w:rsid w:val="23BC6E4B"/>
    <w:rsid w:val="23BD2641"/>
    <w:rsid w:val="23BD6FE3"/>
    <w:rsid w:val="23C366EF"/>
    <w:rsid w:val="23C37FDE"/>
    <w:rsid w:val="23C7091B"/>
    <w:rsid w:val="23C84253"/>
    <w:rsid w:val="23C84596"/>
    <w:rsid w:val="23C85AE3"/>
    <w:rsid w:val="23D75B37"/>
    <w:rsid w:val="23D86BDB"/>
    <w:rsid w:val="23E07816"/>
    <w:rsid w:val="23E43B29"/>
    <w:rsid w:val="23F51225"/>
    <w:rsid w:val="23FA7D21"/>
    <w:rsid w:val="24010E77"/>
    <w:rsid w:val="24042982"/>
    <w:rsid w:val="24076DDF"/>
    <w:rsid w:val="24177D46"/>
    <w:rsid w:val="24184715"/>
    <w:rsid w:val="241A03BE"/>
    <w:rsid w:val="241C5617"/>
    <w:rsid w:val="243C59D1"/>
    <w:rsid w:val="244B2C24"/>
    <w:rsid w:val="245508B2"/>
    <w:rsid w:val="24571CCF"/>
    <w:rsid w:val="24584C03"/>
    <w:rsid w:val="245B56D4"/>
    <w:rsid w:val="24644B31"/>
    <w:rsid w:val="24693896"/>
    <w:rsid w:val="246A222D"/>
    <w:rsid w:val="248541D4"/>
    <w:rsid w:val="248C4272"/>
    <w:rsid w:val="24923390"/>
    <w:rsid w:val="24972642"/>
    <w:rsid w:val="24997D96"/>
    <w:rsid w:val="24A44E8D"/>
    <w:rsid w:val="24A4738E"/>
    <w:rsid w:val="24A523D1"/>
    <w:rsid w:val="24AB7BC6"/>
    <w:rsid w:val="24B3050D"/>
    <w:rsid w:val="24CE624A"/>
    <w:rsid w:val="24CF512F"/>
    <w:rsid w:val="24D056B3"/>
    <w:rsid w:val="24D40CB2"/>
    <w:rsid w:val="24E20FB0"/>
    <w:rsid w:val="24EA1A47"/>
    <w:rsid w:val="24EE0320"/>
    <w:rsid w:val="24FB746E"/>
    <w:rsid w:val="2512017D"/>
    <w:rsid w:val="251C03B3"/>
    <w:rsid w:val="252B6C85"/>
    <w:rsid w:val="25317E6D"/>
    <w:rsid w:val="25366615"/>
    <w:rsid w:val="253E4620"/>
    <w:rsid w:val="25403366"/>
    <w:rsid w:val="25461799"/>
    <w:rsid w:val="254E0B4F"/>
    <w:rsid w:val="25515AC6"/>
    <w:rsid w:val="255D493B"/>
    <w:rsid w:val="255E0FCF"/>
    <w:rsid w:val="25616893"/>
    <w:rsid w:val="25641B13"/>
    <w:rsid w:val="25660390"/>
    <w:rsid w:val="25674E75"/>
    <w:rsid w:val="256B0564"/>
    <w:rsid w:val="257144E5"/>
    <w:rsid w:val="257E75A3"/>
    <w:rsid w:val="25842227"/>
    <w:rsid w:val="258524FF"/>
    <w:rsid w:val="258B55EA"/>
    <w:rsid w:val="25913064"/>
    <w:rsid w:val="259504D2"/>
    <w:rsid w:val="25990591"/>
    <w:rsid w:val="259F40A6"/>
    <w:rsid w:val="25A2461F"/>
    <w:rsid w:val="25A501FF"/>
    <w:rsid w:val="25A67F32"/>
    <w:rsid w:val="25AB15EC"/>
    <w:rsid w:val="25B07D2F"/>
    <w:rsid w:val="25B85CB3"/>
    <w:rsid w:val="25C35BA9"/>
    <w:rsid w:val="25C740C4"/>
    <w:rsid w:val="25C911A9"/>
    <w:rsid w:val="25CD7603"/>
    <w:rsid w:val="25CF4BF3"/>
    <w:rsid w:val="25D5058A"/>
    <w:rsid w:val="25E747F5"/>
    <w:rsid w:val="25EF4D28"/>
    <w:rsid w:val="25FE7FB0"/>
    <w:rsid w:val="25FF614F"/>
    <w:rsid w:val="26014FE2"/>
    <w:rsid w:val="26017046"/>
    <w:rsid w:val="2607485E"/>
    <w:rsid w:val="260F67B0"/>
    <w:rsid w:val="26143F10"/>
    <w:rsid w:val="26160E23"/>
    <w:rsid w:val="26282F96"/>
    <w:rsid w:val="262B23CF"/>
    <w:rsid w:val="262E0B84"/>
    <w:rsid w:val="262F4E63"/>
    <w:rsid w:val="263B4ADE"/>
    <w:rsid w:val="26453D1E"/>
    <w:rsid w:val="264D0DB9"/>
    <w:rsid w:val="264E5EFE"/>
    <w:rsid w:val="265A360B"/>
    <w:rsid w:val="265B1802"/>
    <w:rsid w:val="26644999"/>
    <w:rsid w:val="267A7CE9"/>
    <w:rsid w:val="26811966"/>
    <w:rsid w:val="268C783E"/>
    <w:rsid w:val="2692631B"/>
    <w:rsid w:val="26A072DC"/>
    <w:rsid w:val="26B06502"/>
    <w:rsid w:val="26B071E2"/>
    <w:rsid w:val="26C0321C"/>
    <w:rsid w:val="26DA23F5"/>
    <w:rsid w:val="26DB3C45"/>
    <w:rsid w:val="26E22CB3"/>
    <w:rsid w:val="26EC6398"/>
    <w:rsid w:val="26F37124"/>
    <w:rsid w:val="26F64DCB"/>
    <w:rsid w:val="26F752B3"/>
    <w:rsid w:val="26F94860"/>
    <w:rsid w:val="27016F6C"/>
    <w:rsid w:val="27027C63"/>
    <w:rsid w:val="270D21C6"/>
    <w:rsid w:val="27157469"/>
    <w:rsid w:val="27176DC1"/>
    <w:rsid w:val="271B24E5"/>
    <w:rsid w:val="271C6026"/>
    <w:rsid w:val="271D4405"/>
    <w:rsid w:val="2726724D"/>
    <w:rsid w:val="272E463D"/>
    <w:rsid w:val="27304DE7"/>
    <w:rsid w:val="2745609E"/>
    <w:rsid w:val="27467EC8"/>
    <w:rsid w:val="27486CBA"/>
    <w:rsid w:val="27510DB7"/>
    <w:rsid w:val="275402FC"/>
    <w:rsid w:val="27556528"/>
    <w:rsid w:val="27593F41"/>
    <w:rsid w:val="275B2F77"/>
    <w:rsid w:val="276E1CD2"/>
    <w:rsid w:val="27772784"/>
    <w:rsid w:val="277B4E74"/>
    <w:rsid w:val="277E1935"/>
    <w:rsid w:val="27893B02"/>
    <w:rsid w:val="27894677"/>
    <w:rsid w:val="278C14B0"/>
    <w:rsid w:val="278F1BFD"/>
    <w:rsid w:val="279774B7"/>
    <w:rsid w:val="2799755A"/>
    <w:rsid w:val="27A16480"/>
    <w:rsid w:val="27A67218"/>
    <w:rsid w:val="27A72E58"/>
    <w:rsid w:val="27AA0B0E"/>
    <w:rsid w:val="27C01C3E"/>
    <w:rsid w:val="27C23CFB"/>
    <w:rsid w:val="27C4447C"/>
    <w:rsid w:val="27CA4C2E"/>
    <w:rsid w:val="27D95B86"/>
    <w:rsid w:val="27EA3362"/>
    <w:rsid w:val="27F15B3C"/>
    <w:rsid w:val="27F76FC9"/>
    <w:rsid w:val="28086625"/>
    <w:rsid w:val="28106C7C"/>
    <w:rsid w:val="281263A0"/>
    <w:rsid w:val="2818155B"/>
    <w:rsid w:val="28193C75"/>
    <w:rsid w:val="281D1AD7"/>
    <w:rsid w:val="281F4F78"/>
    <w:rsid w:val="282415BF"/>
    <w:rsid w:val="28335A4B"/>
    <w:rsid w:val="284F49F1"/>
    <w:rsid w:val="28556C99"/>
    <w:rsid w:val="285A55DA"/>
    <w:rsid w:val="28654CED"/>
    <w:rsid w:val="28697E8B"/>
    <w:rsid w:val="28752FA0"/>
    <w:rsid w:val="287A1A27"/>
    <w:rsid w:val="289D565C"/>
    <w:rsid w:val="28A83D14"/>
    <w:rsid w:val="28AA29F3"/>
    <w:rsid w:val="28B725E0"/>
    <w:rsid w:val="28BA0111"/>
    <w:rsid w:val="28C1584D"/>
    <w:rsid w:val="28CC01B8"/>
    <w:rsid w:val="28D334EA"/>
    <w:rsid w:val="28D4178A"/>
    <w:rsid w:val="28E173B8"/>
    <w:rsid w:val="28E341E3"/>
    <w:rsid w:val="28E5579D"/>
    <w:rsid w:val="28E74901"/>
    <w:rsid w:val="28FC3B51"/>
    <w:rsid w:val="2906595B"/>
    <w:rsid w:val="29070CA4"/>
    <w:rsid w:val="290B40A7"/>
    <w:rsid w:val="290F471D"/>
    <w:rsid w:val="2911790F"/>
    <w:rsid w:val="291F2684"/>
    <w:rsid w:val="291F4968"/>
    <w:rsid w:val="29234374"/>
    <w:rsid w:val="292521B0"/>
    <w:rsid w:val="29305306"/>
    <w:rsid w:val="29390F93"/>
    <w:rsid w:val="293C19CD"/>
    <w:rsid w:val="2949796D"/>
    <w:rsid w:val="296475B5"/>
    <w:rsid w:val="296567F7"/>
    <w:rsid w:val="296657B1"/>
    <w:rsid w:val="29690534"/>
    <w:rsid w:val="296B20F8"/>
    <w:rsid w:val="2970752B"/>
    <w:rsid w:val="29782C05"/>
    <w:rsid w:val="297B797C"/>
    <w:rsid w:val="297C74E4"/>
    <w:rsid w:val="29814D5B"/>
    <w:rsid w:val="29902E46"/>
    <w:rsid w:val="299F5932"/>
    <w:rsid w:val="29AA54F2"/>
    <w:rsid w:val="29AF1732"/>
    <w:rsid w:val="29B636AD"/>
    <w:rsid w:val="29BB02E4"/>
    <w:rsid w:val="29BB761C"/>
    <w:rsid w:val="29BC0AED"/>
    <w:rsid w:val="29CB25D4"/>
    <w:rsid w:val="29D615A4"/>
    <w:rsid w:val="29DC44A4"/>
    <w:rsid w:val="29E02D44"/>
    <w:rsid w:val="29E26F07"/>
    <w:rsid w:val="29E47B7A"/>
    <w:rsid w:val="29ED3896"/>
    <w:rsid w:val="29EF00CD"/>
    <w:rsid w:val="29F83241"/>
    <w:rsid w:val="29FC70C7"/>
    <w:rsid w:val="2A0055E9"/>
    <w:rsid w:val="2A0D0217"/>
    <w:rsid w:val="2A12136E"/>
    <w:rsid w:val="2A150C5A"/>
    <w:rsid w:val="2A2B394C"/>
    <w:rsid w:val="2A32581C"/>
    <w:rsid w:val="2A344C14"/>
    <w:rsid w:val="2A374D19"/>
    <w:rsid w:val="2A386DBA"/>
    <w:rsid w:val="2A3D2BB6"/>
    <w:rsid w:val="2A422F1A"/>
    <w:rsid w:val="2A526B93"/>
    <w:rsid w:val="2A5F604D"/>
    <w:rsid w:val="2A6148C1"/>
    <w:rsid w:val="2A6B113F"/>
    <w:rsid w:val="2A7940F3"/>
    <w:rsid w:val="2A8C1AB6"/>
    <w:rsid w:val="2A902F88"/>
    <w:rsid w:val="2A9A754C"/>
    <w:rsid w:val="2AA34D54"/>
    <w:rsid w:val="2AA726BF"/>
    <w:rsid w:val="2AA95103"/>
    <w:rsid w:val="2AC101A4"/>
    <w:rsid w:val="2AC12730"/>
    <w:rsid w:val="2AC83A13"/>
    <w:rsid w:val="2AD4356A"/>
    <w:rsid w:val="2AD7259E"/>
    <w:rsid w:val="2AE41D6B"/>
    <w:rsid w:val="2AE90764"/>
    <w:rsid w:val="2AF17A31"/>
    <w:rsid w:val="2AFE193D"/>
    <w:rsid w:val="2AFE34B0"/>
    <w:rsid w:val="2B001BA3"/>
    <w:rsid w:val="2B003F30"/>
    <w:rsid w:val="2B011751"/>
    <w:rsid w:val="2B055C91"/>
    <w:rsid w:val="2B07385A"/>
    <w:rsid w:val="2B08152B"/>
    <w:rsid w:val="2B0A6D96"/>
    <w:rsid w:val="2B0B758B"/>
    <w:rsid w:val="2B16775B"/>
    <w:rsid w:val="2B193656"/>
    <w:rsid w:val="2B1F1F93"/>
    <w:rsid w:val="2B2540AE"/>
    <w:rsid w:val="2B281B4E"/>
    <w:rsid w:val="2B2A18E6"/>
    <w:rsid w:val="2B2A3A34"/>
    <w:rsid w:val="2B2B22EE"/>
    <w:rsid w:val="2B3415AF"/>
    <w:rsid w:val="2B343289"/>
    <w:rsid w:val="2B35043B"/>
    <w:rsid w:val="2B3531A4"/>
    <w:rsid w:val="2B394072"/>
    <w:rsid w:val="2B400C89"/>
    <w:rsid w:val="2B432389"/>
    <w:rsid w:val="2B461455"/>
    <w:rsid w:val="2B5138A5"/>
    <w:rsid w:val="2B5C5616"/>
    <w:rsid w:val="2B5D329C"/>
    <w:rsid w:val="2B632B32"/>
    <w:rsid w:val="2B8E26C6"/>
    <w:rsid w:val="2B907B74"/>
    <w:rsid w:val="2B961A05"/>
    <w:rsid w:val="2BA54AAF"/>
    <w:rsid w:val="2BA71283"/>
    <w:rsid w:val="2BA82E59"/>
    <w:rsid w:val="2BAE555C"/>
    <w:rsid w:val="2BC118A0"/>
    <w:rsid w:val="2BC34FE6"/>
    <w:rsid w:val="2BCA51DD"/>
    <w:rsid w:val="2BCE2B53"/>
    <w:rsid w:val="2BD021A4"/>
    <w:rsid w:val="2BD04C8F"/>
    <w:rsid w:val="2BE710A1"/>
    <w:rsid w:val="2BF94213"/>
    <w:rsid w:val="2BF96F3F"/>
    <w:rsid w:val="2C190E57"/>
    <w:rsid w:val="2C1E1868"/>
    <w:rsid w:val="2C2821CC"/>
    <w:rsid w:val="2C2B1377"/>
    <w:rsid w:val="2C307D0A"/>
    <w:rsid w:val="2C367381"/>
    <w:rsid w:val="2C402085"/>
    <w:rsid w:val="2C4477B4"/>
    <w:rsid w:val="2C465EEB"/>
    <w:rsid w:val="2C47078E"/>
    <w:rsid w:val="2C4D4655"/>
    <w:rsid w:val="2C605056"/>
    <w:rsid w:val="2C614E78"/>
    <w:rsid w:val="2C774E6F"/>
    <w:rsid w:val="2C7A19F2"/>
    <w:rsid w:val="2C7D73CD"/>
    <w:rsid w:val="2C8748AD"/>
    <w:rsid w:val="2C8B6233"/>
    <w:rsid w:val="2C95254E"/>
    <w:rsid w:val="2C9622FC"/>
    <w:rsid w:val="2C9D6E69"/>
    <w:rsid w:val="2CA03CE9"/>
    <w:rsid w:val="2CA2642C"/>
    <w:rsid w:val="2CA268BE"/>
    <w:rsid w:val="2CA319AA"/>
    <w:rsid w:val="2CA92B91"/>
    <w:rsid w:val="2CAF3083"/>
    <w:rsid w:val="2CAF4697"/>
    <w:rsid w:val="2CB161DE"/>
    <w:rsid w:val="2CB84C23"/>
    <w:rsid w:val="2CBB1844"/>
    <w:rsid w:val="2CBB285A"/>
    <w:rsid w:val="2CBF3C28"/>
    <w:rsid w:val="2CCE4EFB"/>
    <w:rsid w:val="2CDE3018"/>
    <w:rsid w:val="2CEB396E"/>
    <w:rsid w:val="2CEC687D"/>
    <w:rsid w:val="2CEE3749"/>
    <w:rsid w:val="2CF66FAB"/>
    <w:rsid w:val="2CFA1AB4"/>
    <w:rsid w:val="2CFB0620"/>
    <w:rsid w:val="2CFB07CC"/>
    <w:rsid w:val="2CFE1F2C"/>
    <w:rsid w:val="2CFE5338"/>
    <w:rsid w:val="2D0D1DB1"/>
    <w:rsid w:val="2D1002D5"/>
    <w:rsid w:val="2D11011F"/>
    <w:rsid w:val="2D143DFB"/>
    <w:rsid w:val="2D164798"/>
    <w:rsid w:val="2D1A51CF"/>
    <w:rsid w:val="2D1B4DAE"/>
    <w:rsid w:val="2D23435A"/>
    <w:rsid w:val="2D241965"/>
    <w:rsid w:val="2D261AEF"/>
    <w:rsid w:val="2D277AC9"/>
    <w:rsid w:val="2D2A020B"/>
    <w:rsid w:val="2D2D3D3D"/>
    <w:rsid w:val="2D2F2B6D"/>
    <w:rsid w:val="2D312C01"/>
    <w:rsid w:val="2D354E18"/>
    <w:rsid w:val="2D581673"/>
    <w:rsid w:val="2D6139FE"/>
    <w:rsid w:val="2D67560F"/>
    <w:rsid w:val="2D6901F8"/>
    <w:rsid w:val="2D6A325A"/>
    <w:rsid w:val="2D6E5B25"/>
    <w:rsid w:val="2D714933"/>
    <w:rsid w:val="2D734A1F"/>
    <w:rsid w:val="2D78363C"/>
    <w:rsid w:val="2D842E0B"/>
    <w:rsid w:val="2D8A0330"/>
    <w:rsid w:val="2D904F24"/>
    <w:rsid w:val="2D942714"/>
    <w:rsid w:val="2D9804EE"/>
    <w:rsid w:val="2DA02690"/>
    <w:rsid w:val="2DB02E7B"/>
    <w:rsid w:val="2DBA4705"/>
    <w:rsid w:val="2DC55F25"/>
    <w:rsid w:val="2DC87E84"/>
    <w:rsid w:val="2DDC5231"/>
    <w:rsid w:val="2DDD42A9"/>
    <w:rsid w:val="2DE13537"/>
    <w:rsid w:val="2DE44923"/>
    <w:rsid w:val="2DE65C86"/>
    <w:rsid w:val="2DFD6E02"/>
    <w:rsid w:val="2E052599"/>
    <w:rsid w:val="2E0F340F"/>
    <w:rsid w:val="2E10258C"/>
    <w:rsid w:val="2E1749B3"/>
    <w:rsid w:val="2E252229"/>
    <w:rsid w:val="2E266D03"/>
    <w:rsid w:val="2E36628A"/>
    <w:rsid w:val="2E3D34BB"/>
    <w:rsid w:val="2E411D33"/>
    <w:rsid w:val="2E4225DF"/>
    <w:rsid w:val="2E423FFD"/>
    <w:rsid w:val="2E424CB4"/>
    <w:rsid w:val="2E4615D4"/>
    <w:rsid w:val="2E4F4E8B"/>
    <w:rsid w:val="2E570006"/>
    <w:rsid w:val="2E6B5B8A"/>
    <w:rsid w:val="2E7D1618"/>
    <w:rsid w:val="2E801EB8"/>
    <w:rsid w:val="2E842C0F"/>
    <w:rsid w:val="2E8C757B"/>
    <w:rsid w:val="2E940D01"/>
    <w:rsid w:val="2E987703"/>
    <w:rsid w:val="2E995934"/>
    <w:rsid w:val="2EA42393"/>
    <w:rsid w:val="2EA6297E"/>
    <w:rsid w:val="2EAA4867"/>
    <w:rsid w:val="2EAF258B"/>
    <w:rsid w:val="2EB02A6B"/>
    <w:rsid w:val="2EB10CDC"/>
    <w:rsid w:val="2EB1227E"/>
    <w:rsid w:val="2EB35359"/>
    <w:rsid w:val="2EB7609E"/>
    <w:rsid w:val="2EB94169"/>
    <w:rsid w:val="2EBC260F"/>
    <w:rsid w:val="2EBD0DA4"/>
    <w:rsid w:val="2EBE2687"/>
    <w:rsid w:val="2EBF2E10"/>
    <w:rsid w:val="2EBF4C69"/>
    <w:rsid w:val="2EC0263B"/>
    <w:rsid w:val="2ED304FF"/>
    <w:rsid w:val="2ED524CA"/>
    <w:rsid w:val="2EE12954"/>
    <w:rsid w:val="2EE23959"/>
    <w:rsid w:val="2EE663C8"/>
    <w:rsid w:val="2EE96CE4"/>
    <w:rsid w:val="2EEB4DA0"/>
    <w:rsid w:val="2EF1238B"/>
    <w:rsid w:val="2EF269F2"/>
    <w:rsid w:val="2EF6492C"/>
    <w:rsid w:val="2EFC633B"/>
    <w:rsid w:val="2EFF04A4"/>
    <w:rsid w:val="2F017E5A"/>
    <w:rsid w:val="2F075E92"/>
    <w:rsid w:val="2F09022B"/>
    <w:rsid w:val="2F0D136B"/>
    <w:rsid w:val="2F0E0628"/>
    <w:rsid w:val="2F1C1663"/>
    <w:rsid w:val="2F2E68BF"/>
    <w:rsid w:val="2F2F4EED"/>
    <w:rsid w:val="2F407C74"/>
    <w:rsid w:val="2F4A7EC2"/>
    <w:rsid w:val="2F545743"/>
    <w:rsid w:val="2F590DF2"/>
    <w:rsid w:val="2F702A3B"/>
    <w:rsid w:val="2F745777"/>
    <w:rsid w:val="2F753DF8"/>
    <w:rsid w:val="2F780656"/>
    <w:rsid w:val="2F804789"/>
    <w:rsid w:val="2F8478DC"/>
    <w:rsid w:val="2F930DD1"/>
    <w:rsid w:val="2F9A07C0"/>
    <w:rsid w:val="2F9B6B92"/>
    <w:rsid w:val="2FAB0D63"/>
    <w:rsid w:val="2FB310E5"/>
    <w:rsid w:val="2FC36EF8"/>
    <w:rsid w:val="2FC458CA"/>
    <w:rsid w:val="2FC90DB0"/>
    <w:rsid w:val="2FCC3A04"/>
    <w:rsid w:val="2FCE3879"/>
    <w:rsid w:val="2FE41B7C"/>
    <w:rsid w:val="2FE46E1B"/>
    <w:rsid w:val="2FF25A64"/>
    <w:rsid w:val="2FF40C24"/>
    <w:rsid w:val="2FFB16A7"/>
    <w:rsid w:val="2FFE4BA2"/>
    <w:rsid w:val="2FFF73BB"/>
    <w:rsid w:val="30043F3C"/>
    <w:rsid w:val="30054994"/>
    <w:rsid w:val="30087CA0"/>
    <w:rsid w:val="300A3366"/>
    <w:rsid w:val="300D2A37"/>
    <w:rsid w:val="300D55AF"/>
    <w:rsid w:val="301B058A"/>
    <w:rsid w:val="301E709B"/>
    <w:rsid w:val="3020102F"/>
    <w:rsid w:val="3020337F"/>
    <w:rsid w:val="30231051"/>
    <w:rsid w:val="30392588"/>
    <w:rsid w:val="30417612"/>
    <w:rsid w:val="30445759"/>
    <w:rsid w:val="30503ABE"/>
    <w:rsid w:val="305241E5"/>
    <w:rsid w:val="305B0ED2"/>
    <w:rsid w:val="30720A0B"/>
    <w:rsid w:val="30786FCB"/>
    <w:rsid w:val="307C391B"/>
    <w:rsid w:val="308434B5"/>
    <w:rsid w:val="309601C5"/>
    <w:rsid w:val="30973857"/>
    <w:rsid w:val="309D444F"/>
    <w:rsid w:val="30A03743"/>
    <w:rsid w:val="30AE1CAD"/>
    <w:rsid w:val="30B96ACB"/>
    <w:rsid w:val="30BB1762"/>
    <w:rsid w:val="30C45922"/>
    <w:rsid w:val="30C5257D"/>
    <w:rsid w:val="30D24F4F"/>
    <w:rsid w:val="30DC29B7"/>
    <w:rsid w:val="30E06A8E"/>
    <w:rsid w:val="30F1434C"/>
    <w:rsid w:val="30F219F5"/>
    <w:rsid w:val="30F2522A"/>
    <w:rsid w:val="30F25E06"/>
    <w:rsid w:val="30F62C43"/>
    <w:rsid w:val="30F64D1B"/>
    <w:rsid w:val="30F962EA"/>
    <w:rsid w:val="311375E6"/>
    <w:rsid w:val="31162E5F"/>
    <w:rsid w:val="31190C3B"/>
    <w:rsid w:val="31210B17"/>
    <w:rsid w:val="31222EDC"/>
    <w:rsid w:val="312B0C7C"/>
    <w:rsid w:val="31302C60"/>
    <w:rsid w:val="313372F0"/>
    <w:rsid w:val="314726BD"/>
    <w:rsid w:val="314820F9"/>
    <w:rsid w:val="31492E63"/>
    <w:rsid w:val="31561E57"/>
    <w:rsid w:val="315920FE"/>
    <w:rsid w:val="315A61FB"/>
    <w:rsid w:val="315E67A4"/>
    <w:rsid w:val="3171416B"/>
    <w:rsid w:val="31730E09"/>
    <w:rsid w:val="31761C8D"/>
    <w:rsid w:val="317C63B2"/>
    <w:rsid w:val="319247E3"/>
    <w:rsid w:val="31A609CC"/>
    <w:rsid w:val="31A652F3"/>
    <w:rsid w:val="31AA51CB"/>
    <w:rsid w:val="31AD0696"/>
    <w:rsid w:val="31B26803"/>
    <w:rsid w:val="31B471B9"/>
    <w:rsid w:val="31B478BB"/>
    <w:rsid w:val="31BE726B"/>
    <w:rsid w:val="31D72A67"/>
    <w:rsid w:val="31D76CFA"/>
    <w:rsid w:val="31DA190A"/>
    <w:rsid w:val="31DA7F4F"/>
    <w:rsid w:val="31DC59AF"/>
    <w:rsid w:val="31E13B09"/>
    <w:rsid w:val="31E72E6B"/>
    <w:rsid w:val="31EA564C"/>
    <w:rsid w:val="31EE0978"/>
    <w:rsid w:val="31F03C52"/>
    <w:rsid w:val="32105B8F"/>
    <w:rsid w:val="321539B3"/>
    <w:rsid w:val="321C1290"/>
    <w:rsid w:val="323840C6"/>
    <w:rsid w:val="324143E4"/>
    <w:rsid w:val="3243585F"/>
    <w:rsid w:val="32436AEC"/>
    <w:rsid w:val="324F3B4F"/>
    <w:rsid w:val="32651721"/>
    <w:rsid w:val="32684DA9"/>
    <w:rsid w:val="327C6192"/>
    <w:rsid w:val="32830C23"/>
    <w:rsid w:val="32887650"/>
    <w:rsid w:val="328D7C9C"/>
    <w:rsid w:val="329629E6"/>
    <w:rsid w:val="32A176B1"/>
    <w:rsid w:val="32A7381D"/>
    <w:rsid w:val="32B233F3"/>
    <w:rsid w:val="32C7496B"/>
    <w:rsid w:val="32C76674"/>
    <w:rsid w:val="32C87F0C"/>
    <w:rsid w:val="32D20527"/>
    <w:rsid w:val="32DB3DE9"/>
    <w:rsid w:val="32E25432"/>
    <w:rsid w:val="32F662E6"/>
    <w:rsid w:val="32FC0C32"/>
    <w:rsid w:val="32FE3724"/>
    <w:rsid w:val="33117988"/>
    <w:rsid w:val="33171120"/>
    <w:rsid w:val="331A1F2F"/>
    <w:rsid w:val="331D729F"/>
    <w:rsid w:val="331F6D4C"/>
    <w:rsid w:val="3338457D"/>
    <w:rsid w:val="33392241"/>
    <w:rsid w:val="334019E5"/>
    <w:rsid w:val="334E4763"/>
    <w:rsid w:val="336A5F60"/>
    <w:rsid w:val="33741A42"/>
    <w:rsid w:val="338431A0"/>
    <w:rsid w:val="33850CD0"/>
    <w:rsid w:val="338628A1"/>
    <w:rsid w:val="33A174E8"/>
    <w:rsid w:val="33A737E0"/>
    <w:rsid w:val="33AC71A4"/>
    <w:rsid w:val="33BF2335"/>
    <w:rsid w:val="33C12DC1"/>
    <w:rsid w:val="33D7149D"/>
    <w:rsid w:val="33D860AA"/>
    <w:rsid w:val="33DC255D"/>
    <w:rsid w:val="33DD5467"/>
    <w:rsid w:val="33E5137C"/>
    <w:rsid w:val="33E656D7"/>
    <w:rsid w:val="33E91FDD"/>
    <w:rsid w:val="33F57AED"/>
    <w:rsid w:val="34031AD8"/>
    <w:rsid w:val="34082BF8"/>
    <w:rsid w:val="340D67C3"/>
    <w:rsid w:val="341A5778"/>
    <w:rsid w:val="341E50AB"/>
    <w:rsid w:val="34246BB0"/>
    <w:rsid w:val="344C71EA"/>
    <w:rsid w:val="34505531"/>
    <w:rsid w:val="34515C7C"/>
    <w:rsid w:val="345D4DC9"/>
    <w:rsid w:val="346370A5"/>
    <w:rsid w:val="346452B0"/>
    <w:rsid w:val="34703C1A"/>
    <w:rsid w:val="3478504F"/>
    <w:rsid w:val="347D1284"/>
    <w:rsid w:val="347E71B9"/>
    <w:rsid w:val="348105E2"/>
    <w:rsid w:val="348C7D13"/>
    <w:rsid w:val="348D0093"/>
    <w:rsid w:val="34946DF0"/>
    <w:rsid w:val="349B310C"/>
    <w:rsid w:val="34A664EC"/>
    <w:rsid w:val="34B25CA8"/>
    <w:rsid w:val="34C61424"/>
    <w:rsid w:val="34C661F7"/>
    <w:rsid w:val="34CA473E"/>
    <w:rsid w:val="34CB56F6"/>
    <w:rsid w:val="34CE39C4"/>
    <w:rsid w:val="34CF39C8"/>
    <w:rsid w:val="34CF7988"/>
    <w:rsid w:val="34D3410F"/>
    <w:rsid w:val="34E51A5F"/>
    <w:rsid w:val="34EC0D60"/>
    <w:rsid w:val="350A0198"/>
    <w:rsid w:val="351927D1"/>
    <w:rsid w:val="35240142"/>
    <w:rsid w:val="35257E91"/>
    <w:rsid w:val="35260958"/>
    <w:rsid w:val="352D2345"/>
    <w:rsid w:val="352F123D"/>
    <w:rsid w:val="35301DFC"/>
    <w:rsid w:val="35376A60"/>
    <w:rsid w:val="353B123A"/>
    <w:rsid w:val="3541590E"/>
    <w:rsid w:val="35440788"/>
    <w:rsid w:val="354966C4"/>
    <w:rsid w:val="355E6E12"/>
    <w:rsid w:val="35634417"/>
    <w:rsid w:val="3564083B"/>
    <w:rsid w:val="3568402A"/>
    <w:rsid w:val="357644E0"/>
    <w:rsid w:val="357B2A91"/>
    <w:rsid w:val="357D26B1"/>
    <w:rsid w:val="35840DEF"/>
    <w:rsid w:val="35884278"/>
    <w:rsid w:val="358B543B"/>
    <w:rsid w:val="3591347E"/>
    <w:rsid w:val="35945317"/>
    <w:rsid w:val="359A015A"/>
    <w:rsid w:val="35A528EA"/>
    <w:rsid w:val="35AA549C"/>
    <w:rsid w:val="35AB4AA9"/>
    <w:rsid w:val="35B55D48"/>
    <w:rsid w:val="35BE324A"/>
    <w:rsid w:val="35C05207"/>
    <w:rsid w:val="35C93B80"/>
    <w:rsid w:val="35D16E52"/>
    <w:rsid w:val="35D840D2"/>
    <w:rsid w:val="35DA5580"/>
    <w:rsid w:val="35F04EB1"/>
    <w:rsid w:val="35FB4E8C"/>
    <w:rsid w:val="360A28C7"/>
    <w:rsid w:val="360C18B4"/>
    <w:rsid w:val="360C1A98"/>
    <w:rsid w:val="3612107C"/>
    <w:rsid w:val="36140843"/>
    <w:rsid w:val="3622374E"/>
    <w:rsid w:val="36252EF1"/>
    <w:rsid w:val="362B0420"/>
    <w:rsid w:val="362B4A64"/>
    <w:rsid w:val="36371200"/>
    <w:rsid w:val="364C485C"/>
    <w:rsid w:val="3663725C"/>
    <w:rsid w:val="367A3BB6"/>
    <w:rsid w:val="36881E5D"/>
    <w:rsid w:val="3690780E"/>
    <w:rsid w:val="36933C2B"/>
    <w:rsid w:val="369944F2"/>
    <w:rsid w:val="36A20B88"/>
    <w:rsid w:val="36A94B8F"/>
    <w:rsid w:val="36BF5220"/>
    <w:rsid w:val="36C34EFE"/>
    <w:rsid w:val="36FB6686"/>
    <w:rsid w:val="36FF4EEF"/>
    <w:rsid w:val="37070E40"/>
    <w:rsid w:val="370C6531"/>
    <w:rsid w:val="37126AC1"/>
    <w:rsid w:val="37145CAB"/>
    <w:rsid w:val="371D6377"/>
    <w:rsid w:val="371E1D61"/>
    <w:rsid w:val="372035AC"/>
    <w:rsid w:val="372E2661"/>
    <w:rsid w:val="37341BEC"/>
    <w:rsid w:val="373B3D90"/>
    <w:rsid w:val="373B4165"/>
    <w:rsid w:val="374019B9"/>
    <w:rsid w:val="3750356F"/>
    <w:rsid w:val="37592015"/>
    <w:rsid w:val="37704CC6"/>
    <w:rsid w:val="37711F88"/>
    <w:rsid w:val="377E3416"/>
    <w:rsid w:val="379B6C95"/>
    <w:rsid w:val="379F7C12"/>
    <w:rsid w:val="37AC3EC3"/>
    <w:rsid w:val="37AD78A2"/>
    <w:rsid w:val="37AF4B07"/>
    <w:rsid w:val="37B06978"/>
    <w:rsid w:val="37B21E04"/>
    <w:rsid w:val="37B517E7"/>
    <w:rsid w:val="37B5314A"/>
    <w:rsid w:val="37BE0781"/>
    <w:rsid w:val="37BE33E4"/>
    <w:rsid w:val="37BF6A7C"/>
    <w:rsid w:val="37CC4656"/>
    <w:rsid w:val="37CD6DCB"/>
    <w:rsid w:val="37D42268"/>
    <w:rsid w:val="37DC38F3"/>
    <w:rsid w:val="37E16226"/>
    <w:rsid w:val="37FD0139"/>
    <w:rsid w:val="381537BD"/>
    <w:rsid w:val="38183A6E"/>
    <w:rsid w:val="38190A79"/>
    <w:rsid w:val="381A6AC2"/>
    <w:rsid w:val="382439EA"/>
    <w:rsid w:val="383269A9"/>
    <w:rsid w:val="383606B1"/>
    <w:rsid w:val="383E409B"/>
    <w:rsid w:val="384E1E23"/>
    <w:rsid w:val="38545833"/>
    <w:rsid w:val="385A0CD3"/>
    <w:rsid w:val="385E5845"/>
    <w:rsid w:val="386652D3"/>
    <w:rsid w:val="38754725"/>
    <w:rsid w:val="387B0687"/>
    <w:rsid w:val="387F3A26"/>
    <w:rsid w:val="388715A2"/>
    <w:rsid w:val="388B12D3"/>
    <w:rsid w:val="388B445A"/>
    <w:rsid w:val="3895279B"/>
    <w:rsid w:val="38986276"/>
    <w:rsid w:val="389C6BCE"/>
    <w:rsid w:val="389E7F77"/>
    <w:rsid w:val="38A00DAF"/>
    <w:rsid w:val="38B169FE"/>
    <w:rsid w:val="38B658B3"/>
    <w:rsid w:val="38C41B70"/>
    <w:rsid w:val="38C56FD1"/>
    <w:rsid w:val="38C65BC6"/>
    <w:rsid w:val="38CB4F6F"/>
    <w:rsid w:val="38D32D52"/>
    <w:rsid w:val="38D54179"/>
    <w:rsid w:val="38DF7D16"/>
    <w:rsid w:val="38E124E7"/>
    <w:rsid w:val="38E52F4E"/>
    <w:rsid w:val="38E83C5B"/>
    <w:rsid w:val="38ED531D"/>
    <w:rsid w:val="38F5178C"/>
    <w:rsid w:val="39023EB5"/>
    <w:rsid w:val="39046B43"/>
    <w:rsid w:val="390A0305"/>
    <w:rsid w:val="390B2A0D"/>
    <w:rsid w:val="390D0D46"/>
    <w:rsid w:val="390E78D8"/>
    <w:rsid w:val="39184AEB"/>
    <w:rsid w:val="392155FA"/>
    <w:rsid w:val="392537F0"/>
    <w:rsid w:val="393C4C8F"/>
    <w:rsid w:val="393D48F9"/>
    <w:rsid w:val="39432B0C"/>
    <w:rsid w:val="394404AB"/>
    <w:rsid w:val="394713D0"/>
    <w:rsid w:val="39494673"/>
    <w:rsid w:val="394C569A"/>
    <w:rsid w:val="394D14F2"/>
    <w:rsid w:val="39574740"/>
    <w:rsid w:val="395C3410"/>
    <w:rsid w:val="39623F0F"/>
    <w:rsid w:val="39667D0F"/>
    <w:rsid w:val="397E5891"/>
    <w:rsid w:val="39806554"/>
    <w:rsid w:val="3983498D"/>
    <w:rsid w:val="39B524A8"/>
    <w:rsid w:val="39C00C57"/>
    <w:rsid w:val="39D444BF"/>
    <w:rsid w:val="39EA2873"/>
    <w:rsid w:val="39F93D21"/>
    <w:rsid w:val="39FA079F"/>
    <w:rsid w:val="39FA3067"/>
    <w:rsid w:val="39FF1A9C"/>
    <w:rsid w:val="3A054344"/>
    <w:rsid w:val="3A0A39F9"/>
    <w:rsid w:val="3A0B274B"/>
    <w:rsid w:val="3A0F4A51"/>
    <w:rsid w:val="3A1000F2"/>
    <w:rsid w:val="3A103C6F"/>
    <w:rsid w:val="3A115DA3"/>
    <w:rsid w:val="3A1C7191"/>
    <w:rsid w:val="3A205011"/>
    <w:rsid w:val="3A2F75E2"/>
    <w:rsid w:val="3A411EFF"/>
    <w:rsid w:val="3A56308B"/>
    <w:rsid w:val="3A5D140B"/>
    <w:rsid w:val="3A5D40D9"/>
    <w:rsid w:val="3A631BC2"/>
    <w:rsid w:val="3A6627F4"/>
    <w:rsid w:val="3A6733DA"/>
    <w:rsid w:val="3A7771E5"/>
    <w:rsid w:val="3A812C1D"/>
    <w:rsid w:val="3A8274F8"/>
    <w:rsid w:val="3A8505AC"/>
    <w:rsid w:val="3A8A21E5"/>
    <w:rsid w:val="3A8C2015"/>
    <w:rsid w:val="3A965764"/>
    <w:rsid w:val="3A9B26CA"/>
    <w:rsid w:val="3AA871C7"/>
    <w:rsid w:val="3AB16C2E"/>
    <w:rsid w:val="3AB961C1"/>
    <w:rsid w:val="3AC23A5A"/>
    <w:rsid w:val="3AC27A01"/>
    <w:rsid w:val="3AC851F7"/>
    <w:rsid w:val="3ACB3E85"/>
    <w:rsid w:val="3AE16C74"/>
    <w:rsid w:val="3AF43D28"/>
    <w:rsid w:val="3AFA7FAA"/>
    <w:rsid w:val="3AFF1125"/>
    <w:rsid w:val="3B02602B"/>
    <w:rsid w:val="3B064349"/>
    <w:rsid w:val="3B066B6F"/>
    <w:rsid w:val="3B0E5E77"/>
    <w:rsid w:val="3B0F65A9"/>
    <w:rsid w:val="3B194FEF"/>
    <w:rsid w:val="3B2002BC"/>
    <w:rsid w:val="3B366C9C"/>
    <w:rsid w:val="3B3B1E63"/>
    <w:rsid w:val="3B3F4506"/>
    <w:rsid w:val="3B430BBC"/>
    <w:rsid w:val="3B4324C6"/>
    <w:rsid w:val="3B4A32E0"/>
    <w:rsid w:val="3B575748"/>
    <w:rsid w:val="3B597234"/>
    <w:rsid w:val="3B6E5ED4"/>
    <w:rsid w:val="3B707CAD"/>
    <w:rsid w:val="3B8C6284"/>
    <w:rsid w:val="3B8D3D48"/>
    <w:rsid w:val="3B984156"/>
    <w:rsid w:val="3BB648C2"/>
    <w:rsid w:val="3BCB0B4A"/>
    <w:rsid w:val="3BCE7AE3"/>
    <w:rsid w:val="3BDB49E3"/>
    <w:rsid w:val="3BDC7014"/>
    <w:rsid w:val="3BE97B20"/>
    <w:rsid w:val="3BEB342E"/>
    <w:rsid w:val="3BF436E2"/>
    <w:rsid w:val="3C003612"/>
    <w:rsid w:val="3C0462E8"/>
    <w:rsid w:val="3C0A0D21"/>
    <w:rsid w:val="3C175F2E"/>
    <w:rsid w:val="3C1C5F9B"/>
    <w:rsid w:val="3C1D3741"/>
    <w:rsid w:val="3C1E3A14"/>
    <w:rsid w:val="3C1E568A"/>
    <w:rsid w:val="3C233E50"/>
    <w:rsid w:val="3C305F08"/>
    <w:rsid w:val="3C3F42E5"/>
    <w:rsid w:val="3C547C33"/>
    <w:rsid w:val="3C62051D"/>
    <w:rsid w:val="3C6444EB"/>
    <w:rsid w:val="3C676E3D"/>
    <w:rsid w:val="3C691D1F"/>
    <w:rsid w:val="3C694F49"/>
    <w:rsid w:val="3C6A2ED5"/>
    <w:rsid w:val="3C71443E"/>
    <w:rsid w:val="3C720343"/>
    <w:rsid w:val="3C832426"/>
    <w:rsid w:val="3C8339F9"/>
    <w:rsid w:val="3C8D55E8"/>
    <w:rsid w:val="3C8E118F"/>
    <w:rsid w:val="3C977D32"/>
    <w:rsid w:val="3C983C33"/>
    <w:rsid w:val="3C9A192D"/>
    <w:rsid w:val="3C9A3D34"/>
    <w:rsid w:val="3C9E36D1"/>
    <w:rsid w:val="3CA62D53"/>
    <w:rsid w:val="3CA8223A"/>
    <w:rsid w:val="3CBA5502"/>
    <w:rsid w:val="3CBB2869"/>
    <w:rsid w:val="3CC66A75"/>
    <w:rsid w:val="3CC826FE"/>
    <w:rsid w:val="3CCF7D73"/>
    <w:rsid w:val="3CD15B81"/>
    <w:rsid w:val="3CD165DE"/>
    <w:rsid w:val="3CD60A31"/>
    <w:rsid w:val="3CEC1C47"/>
    <w:rsid w:val="3CED00C4"/>
    <w:rsid w:val="3CF03590"/>
    <w:rsid w:val="3CF1083A"/>
    <w:rsid w:val="3CF57461"/>
    <w:rsid w:val="3CF82732"/>
    <w:rsid w:val="3CF85F3C"/>
    <w:rsid w:val="3CFF5750"/>
    <w:rsid w:val="3D01710F"/>
    <w:rsid w:val="3D10221B"/>
    <w:rsid w:val="3D137D0F"/>
    <w:rsid w:val="3D195404"/>
    <w:rsid w:val="3D1A298A"/>
    <w:rsid w:val="3D1A67EC"/>
    <w:rsid w:val="3D230C03"/>
    <w:rsid w:val="3D2D3BF6"/>
    <w:rsid w:val="3D3A62F7"/>
    <w:rsid w:val="3D401FE0"/>
    <w:rsid w:val="3D471B93"/>
    <w:rsid w:val="3D4B00DA"/>
    <w:rsid w:val="3D4E197A"/>
    <w:rsid w:val="3D51767A"/>
    <w:rsid w:val="3D533EAF"/>
    <w:rsid w:val="3D607869"/>
    <w:rsid w:val="3D6B6E76"/>
    <w:rsid w:val="3D6D4B3A"/>
    <w:rsid w:val="3D6D6EDF"/>
    <w:rsid w:val="3D710503"/>
    <w:rsid w:val="3D7879BE"/>
    <w:rsid w:val="3D85341F"/>
    <w:rsid w:val="3D883DA1"/>
    <w:rsid w:val="3D923043"/>
    <w:rsid w:val="3D934F7F"/>
    <w:rsid w:val="3D9D6C9A"/>
    <w:rsid w:val="3DA73439"/>
    <w:rsid w:val="3DA920F0"/>
    <w:rsid w:val="3DAB0221"/>
    <w:rsid w:val="3DB542E7"/>
    <w:rsid w:val="3DB87D7B"/>
    <w:rsid w:val="3DB92529"/>
    <w:rsid w:val="3DBC605A"/>
    <w:rsid w:val="3DC036FE"/>
    <w:rsid w:val="3DC31E3B"/>
    <w:rsid w:val="3DC46C71"/>
    <w:rsid w:val="3DC62304"/>
    <w:rsid w:val="3DC9231F"/>
    <w:rsid w:val="3DDF6242"/>
    <w:rsid w:val="3DE442A9"/>
    <w:rsid w:val="3DEB364E"/>
    <w:rsid w:val="3DF258D2"/>
    <w:rsid w:val="3DF33D40"/>
    <w:rsid w:val="3DF42C61"/>
    <w:rsid w:val="3E0412C2"/>
    <w:rsid w:val="3E05283A"/>
    <w:rsid w:val="3E077027"/>
    <w:rsid w:val="3E143A18"/>
    <w:rsid w:val="3E186034"/>
    <w:rsid w:val="3E1D5508"/>
    <w:rsid w:val="3E2406C2"/>
    <w:rsid w:val="3E275BE8"/>
    <w:rsid w:val="3E2B2704"/>
    <w:rsid w:val="3E2C4AF8"/>
    <w:rsid w:val="3E393E52"/>
    <w:rsid w:val="3E3A0CC5"/>
    <w:rsid w:val="3E3A55AE"/>
    <w:rsid w:val="3E3A69BA"/>
    <w:rsid w:val="3E3D363D"/>
    <w:rsid w:val="3E461F55"/>
    <w:rsid w:val="3E491B05"/>
    <w:rsid w:val="3E4D6179"/>
    <w:rsid w:val="3E573007"/>
    <w:rsid w:val="3E581399"/>
    <w:rsid w:val="3E627603"/>
    <w:rsid w:val="3E643815"/>
    <w:rsid w:val="3E645571"/>
    <w:rsid w:val="3E645CFE"/>
    <w:rsid w:val="3E67086E"/>
    <w:rsid w:val="3E7C3C99"/>
    <w:rsid w:val="3E8C623E"/>
    <w:rsid w:val="3E913233"/>
    <w:rsid w:val="3E972C8E"/>
    <w:rsid w:val="3E982AB0"/>
    <w:rsid w:val="3E9B2D00"/>
    <w:rsid w:val="3E9F0FDD"/>
    <w:rsid w:val="3EA4740E"/>
    <w:rsid w:val="3EAD435E"/>
    <w:rsid w:val="3EB01E8C"/>
    <w:rsid w:val="3EB038D5"/>
    <w:rsid w:val="3EB048A3"/>
    <w:rsid w:val="3EB54FA9"/>
    <w:rsid w:val="3EBB38EA"/>
    <w:rsid w:val="3EC16504"/>
    <w:rsid w:val="3EC47C62"/>
    <w:rsid w:val="3EC9035C"/>
    <w:rsid w:val="3ECB5496"/>
    <w:rsid w:val="3ECC5BE3"/>
    <w:rsid w:val="3ED06D46"/>
    <w:rsid w:val="3EDA7FE6"/>
    <w:rsid w:val="3EDC4CD3"/>
    <w:rsid w:val="3EDC7569"/>
    <w:rsid w:val="3EE4192B"/>
    <w:rsid w:val="3EF472DB"/>
    <w:rsid w:val="3EF60E69"/>
    <w:rsid w:val="3EF73D3F"/>
    <w:rsid w:val="3EFB0CD6"/>
    <w:rsid w:val="3EFD68A7"/>
    <w:rsid w:val="3F017878"/>
    <w:rsid w:val="3F0B5CB4"/>
    <w:rsid w:val="3F0D7961"/>
    <w:rsid w:val="3F12048C"/>
    <w:rsid w:val="3F1316F2"/>
    <w:rsid w:val="3F135AC1"/>
    <w:rsid w:val="3F15023A"/>
    <w:rsid w:val="3F1967B3"/>
    <w:rsid w:val="3F1E57C5"/>
    <w:rsid w:val="3F326EE3"/>
    <w:rsid w:val="3F363E07"/>
    <w:rsid w:val="3F3B2218"/>
    <w:rsid w:val="3F4C7C26"/>
    <w:rsid w:val="3F4D13F3"/>
    <w:rsid w:val="3F5774A9"/>
    <w:rsid w:val="3F594141"/>
    <w:rsid w:val="3F5D2CB5"/>
    <w:rsid w:val="3F633971"/>
    <w:rsid w:val="3F685BB5"/>
    <w:rsid w:val="3F813697"/>
    <w:rsid w:val="3F863281"/>
    <w:rsid w:val="3F927E56"/>
    <w:rsid w:val="3F9345DD"/>
    <w:rsid w:val="3F966B69"/>
    <w:rsid w:val="3FA908B6"/>
    <w:rsid w:val="3FA94086"/>
    <w:rsid w:val="3FBD20F5"/>
    <w:rsid w:val="3FC07FB0"/>
    <w:rsid w:val="3FC25B58"/>
    <w:rsid w:val="3FC436DA"/>
    <w:rsid w:val="3FC57EFF"/>
    <w:rsid w:val="3FCB157A"/>
    <w:rsid w:val="3FD10BAB"/>
    <w:rsid w:val="3FD67625"/>
    <w:rsid w:val="3FDE2684"/>
    <w:rsid w:val="3FDE2F76"/>
    <w:rsid w:val="3FE955A5"/>
    <w:rsid w:val="3FED47D2"/>
    <w:rsid w:val="3FF47A71"/>
    <w:rsid w:val="3FFC7DF5"/>
    <w:rsid w:val="400273F7"/>
    <w:rsid w:val="400672F5"/>
    <w:rsid w:val="40083051"/>
    <w:rsid w:val="400D1FEA"/>
    <w:rsid w:val="400F1715"/>
    <w:rsid w:val="40116A30"/>
    <w:rsid w:val="40155CA6"/>
    <w:rsid w:val="40210ECA"/>
    <w:rsid w:val="40221D7B"/>
    <w:rsid w:val="40283032"/>
    <w:rsid w:val="403C0FD6"/>
    <w:rsid w:val="403C2771"/>
    <w:rsid w:val="403D7468"/>
    <w:rsid w:val="40442B0E"/>
    <w:rsid w:val="40503C13"/>
    <w:rsid w:val="40524B82"/>
    <w:rsid w:val="405332ED"/>
    <w:rsid w:val="40544360"/>
    <w:rsid w:val="405D6510"/>
    <w:rsid w:val="406B365D"/>
    <w:rsid w:val="406C1D77"/>
    <w:rsid w:val="406C4B45"/>
    <w:rsid w:val="40717F90"/>
    <w:rsid w:val="407427AF"/>
    <w:rsid w:val="40766692"/>
    <w:rsid w:val="408A2FC6"/>
    <w:rsid w:val="408D3557"/>
    <w:rsid w:val="408D626E"/>
    <w:rsid w:val="408E62D4"/>
    <w:rsid w:val="40A92D96"/>
    <w:rsid w:val="40B72080"/>
    <w:rsid w:val="40CC08C0"/>
    <w:rsid w:val="40D25074"/>
    <w:rsid w:val="40DF788E"/>
    <w:rsid w:val="40EA1041"/>
    <w:rsid w:val="40EB59AE"/>
    <w:rsid w:val="40ED06F7"/>
    <w:rsid w:val="40ED090E"/>
    <w:rsid w:val="40F30E0A"/>
    <w:rsid w:val="40FE6CFD"/>
    <w:rsid w:val="41067E95"/>
    <w:rsid w:val="410870E6"/>
    <w:rsid w:val="410D6619"/>
    <w:rsid w:val="41134A1E"/>
    <w:rsid w:val="411F3BFB"/>
    <w:rsid w:val="411F7061"/>
    <w:rsid w:val="41200F9F"/>
    <w:rsid w:val="4120135B"/>
    <w:rsid w:val="41204BF1"/>
    <w:rsid w:val="41253B17"/>
    <w:rsid w:val="412667F1"/>
    <w:rsid w:val="41336755"/>
    <w:rsid w:val="41381367"/>
    <w:rsid w:val="414004FB"/>
    <w:rsid w:val="4158637B"/>
    <w:rsid w:val="415B29C7"/>
    <w:rsid w:val="415B4265"/>
    <w:rsid w:val="41602281"/>
    <w:rsid w:val="41605ABB"/>
    <w:rsid w:val="41627797"/>
    <w:rsid w:val="416E3FCD"/>
    <w:rsid w:val="417B4DB6"/>
    <w:rsid w:val="418C3943"/>
    <w:rsid w:val="418D0E8D"/>
    <w:rsid w:val="419306B2"/>
    <w:rsid w:val="41940B4C"/>
    <w:rsid w:val="419D5BAF"/>
    <w:rsid w:val="41A63E03"/>
    <w:rsid w:val="41B04DC0"/>
    <w:rsid w:val="41C34D2D"/>
    <w:rsid w:val="41C63562"/>
    <w:rsid w:val="41CF08BD"/>
    <w:rsid w:val="41E55DA9"/>
    <w:rsid w:val="41F541C1"/>
    <w:rsid w:val="420A6083"/>
    <w:rsid w:val="420B5991"/>
    <w:rsid w:val="42246A4A"/>
    <w:rsid w:val="422D4A46"/>
    <w:rsid w:val="424407F3"/>
    <w:rsid w:val="42592E49"/>
    <w:rsid w:val="4265514F"/>
    <w:rsid w:val="426E4D78"/>
    <w:rsid w:val="42727105"/>
    <w:rsid w:val="427878A6"/>
    <w:rsid w:val="42811CB0"/>
    <w:rsid w:val="42830B3A"/>
    <w:rsid w:val="428D4273"/>
    <w:rsid w:val="428D5DF2"/>
    <w:rsid w:val="42AC2ED6"/>
    <w:rsid w:val="42AD6BE5"/>
    <w:rsid w:val="42AF7E42"/>
    <w:rsid w:val="42B35DF5"/>
    <w:rsid w:val="42BD01E4"/>
    <w:rsid w:val="42BF718B"/>
    <w:rsid w:val="42D2665A"/>
    <w:rsid w:val="42DF4DF4"/>
    <w:rsid w:val="42E44251"/>
    <w:rsid w:val="42E94AAD"/>
    <w:rsid w:val="42EB6AEE"/>
    <w:rsid w:val="42F42E9E"/>
    <w:rsid w:val="42FA5264"/>
    <w:rsid w:val="43102E08"/>
    <w:rsid w:val="43102FC6"/>
    <w:rsid w:val="43141D07"/>
    <w:rsid w:val="43175619"/>
    <w:rsid w:val="431802FB"/>
    <w:rsid w:val="431B6D66"/>
    <w:rsid w:val="431F4164"/>
    <w:rsid w:val="43211A21"/>
    <w:rsid w:val="433A4E0B"/>
    <w:rsid w:val="433E36AE"/>
    <w:rsid w:val="43412AE7"/>
    <w:rsid w:val="435E5C0A"/>
    <w:rsid w:val="435E5C34"/>
    <w:rsid w:val="43701B98"/>
    <w:rsid w:val="43790483"/>
    <w:rsid w:val="437C11C8"/>
    <w:rsid w:val="4386694E"/>
    <w:rsid w:val="43890C5B"/>
    <w:rsid w:val="43892E48"/>
    <w:rsid w:val="43941BDF"/>
    <w:rsid w:val="4399383B"/>
    <w:rsid w:val="439A4032"/>
    <w:rsid w:val="43AA751C"/>
    <w:rsid w:val="43AE09CA"/>
    <w:rsid w:val="43AE7F60"/>
    <w:rsid w:val="43BE5766"/>
    <w:rsid w:val="43C61760"/>
    <w:rsid w:val="43C66C5E"/>
    <w:rsid w:val="43C87118"/>
    <w:rsid w:val="43CA1D86"/>
    <w:rsid w:val="43CB7FEA"/>
    <w:rsid w:val="43D8178F"/>
    <w:rsid w:val="43E5391F"/>
    <w:rsid w:val="43EA55A1"/>
    <w:rsid w:val="43EB3439"/>
    <w:rsid w:val="43ED301B"/>
    <w:rsid w:val="43F23DC6"/>
    <w:rsid w:val="43F85867"/>
    <w:rsid w:val="43FA19B1"/>
    <w:rsid w:val="440326B8"/>
    <w:rsid w:val="440A0533"/>
    <w:rsid w:val="44165744"/>
    <w:rsid w:val="441C70E2"/>
    <w:rsid w:val="442D04DF"/>
    <w:rsid w:val="442D5399"/>
    <w:rsid w:val="442F311A"/>
    <w:rsid w:val="44337F20"/>
    <w:rsid w:val="44342918"/>
    <w:rsid w:val="444D5906"/>
    <w:rsid w:val="4450622C"/>
    <w:rsid w:val="44507CD3"/>
    <w:rsid w:val="4458446B"/>
    <w:rsid w:val="445872FB"/>
    <w:rsid w:val="445C0E77"/>
    <w:rsid w:val="445F77B3"/>
    <w:rsid w:val="44627C83"/>
    <w:rsid w:val="446421CF"/>
    <w:rsid w:val="446A295F"/>
    <w:rsid w:val="446F2844"/>
    <w:rsid w:val="44720595"/>
    <w:rsid w:val="44747DB7"/>
    <w:rsid w:val="447F108B"/>
    <w:rsid w:val="448C4CF2"/>
    <w:rsid w:val="448D310D"/>
    <w:rsid w:val="448D4917"/>
    <w:rsid w:val="448E7847"/>
    <w:rsid w:val="449921CC"/>
    <w:rsid w:val="449A6D51"/>
    <w:rsid w:val="44A000D0"/>
    <w:rsid w:val="44A316C0"/>
    <w:rsid w:val="44A372D7"/>
    <w:rsid w:val="44A93DDD"/>
    <w:rsid w:val="44AD1E7E"/>
    <w:rsid w:val="44B43509"/>
    <w:rsid w:val="44C87BE4"/>
    <w:rsid w:val="44CF1A9F"/>
    <w:rsid w:val="44D10F60"/>
    <w:rsid w:val="44D21B56"/>
    <w:rsid w:val="44D26CE0"/>
    <w:rsid w:val="44D54C8B"/>
    <w:rsid w:val="44D82B45"/>
    <w:rsid w:val="44DE56DF"/>
    <w:rsid w:val="44EE68A3"/>
    <w:rsid w:val="44F93B86"/>
    <w:rsid w:val="45021C37"/>
    <w:rsid w:val="450C1956"/>
    <w:rsid w:val="4514628A"/>
    <w:rsid w:val="4518045C"/>
    <w:rsid w:val="451C35AB"/>
    <w:rsid w:val="45223D01"/>
    <w:rsid w:val="45233874"/>
    <w:rsid w:val="45333056"/>
    <w:rsid w:val="45333FDC"/>
    <w:rsid w:val="453C20E9"/>
    <w:rsid w:val="453C27C6"/>
    <w:rsid w:val="4540605B"/>
    <w:rsid w:val="454A0BC5"/>
    <w:rsid w:val="45585A2F"/>
    <w:rsid w:val="455A72C1"/>
    <w:rsid w:val="457472D2"/>
    <w:rsid w:val="457E1EE5"/>
    <w:rsid w:val="45805164"/>
    <w:rsid w:val="45964656"/>
    <w:rsid w:val="45993EA6"/>
    <w:rsid w:val="45997ABE"/>
    <w:rsid w:val="45A12107"/>
    <w:rsid w:val="45A12D3D"/>
    <w:rsid w:val="45AE1319"/>
    <w:rsid w:val="45C31B35"/>
    <w:rsid w:val="45CC5A03"/>
    <w:rsid w:val="45CF2CAF"/>
    <w:rsid w:val="45D15D24"/>
    <w:rsid w:val="45E017C5"/>
    <w:rsid w:val="45E17410"/>
    <w:rsid w:val="45F0539D"/>
    <w:rsid w:val="45F1068E"/>
    <w:rsid w:val="45F25CC3"/>
    <w:rsid w:val="45F650B9"/>
    <w:rsid w:val="45F71B39"/>
    <w:rsid w:val="46044D9C"/>
    <w:rsid w:val="460A64E1"/>
    <w:rsid w:val="46133CD8"/>
    <w:rsid w:val="461467C4"/>
    <w:rsid w:val="461A23A4"/>
    <w:rsid w:val="462A31C5"/>
    <w:rsid w:val="462B27A3"/>
    <w:rsid w:val="462D0F71"/>
    <w:rsid w:val="46387739"/>
    <w:rsid w:val="46397ACA"/>
    <w:rsid w:val="464035D7"/>
    <w:rsid w:val="46575478"/>
    <w:rsid w:val="46594ED6"/>
    <w:rsid w:val="465D7F9B"/>
    <w:rsid w:val="465E12A0"/>
    <w:rsid w:val="466607BA"/>
    <w:rsid w:val="466A2367"/>
    <w:rsid w:val="466D4FE1"/>
    <w:rsid w:val="4673235F"/>
    <w:rsid w:val="4675493E"/>
    <w:rsid w:val="467E2E53"/>
    <w:rsid w:val="468409B6"/>
    <w:rsid w:val="468772B0"/>
    <w:rsid w:val="46892BE1"/>
    <w:rsid w:val="469253F3"/>
    <w:rsid w:val="46964AAF"/>
    <w:rsid w:val="46981186"/>
    <w:rsid w:val="469B0EF2"/>
    <w:rsid w:val="469F5C19"/>
    <w:rsid w:val="46B46B23"/>
    <w:rsid w:val="46B8014B"/>
    <w:rsid w:val="46B97F61"/>
    <w:rsid w:val="46C04252"/>
    <w:rsid w:val="46C05C43"/>
    <w:rsid w:val="46CD08C5"/>
    <w:rsid w:val="46D16B15"/>
    <w:rsid w:val="46DA187C"/>
    <w:rsid w:val="46DC1E5E"/>
    <w:rsid w:val="470F4E26"/>
    <w:rsid w:val="47134B4D"/>
    <w:rsid w:val="471A08A1"/>
    <w:rsid w:val="471B6C84"/>
    <w:rsid w:val="471F0497"/>
    <w:rsid w:val="4729653B"/>
    <w:rsid w:val="472A56C6"/>
    <w:rsid w:val="473C6220"/>
    <w:rsid w:val="47404648"/>
    <w:rsid w:val="474B24F9"/>
    <w:rsid w:val="474F6805"/>
    <w:rsid w:val="4752795D"/>
    <w:rsid w:val="4755137C"/>
    <w:rsid w:val="476A2E5A"/>
    <w:rsid w:val="476F700C"/>
    <w:rsid w:val="47745219"/>
    <w:rsid w:val="4775184E"/>
    <w:rsid w:val="477701F8"/>
    <w:rsid w:val="477E6DF3"/>
    <w:rsid w:val="478B52E6"/>
    <w:rsid w:val="47931065"/>
    <w:rsid w:val="479B6996"/>
    <w:rsid w:val="479E48B1"/>
    <w:rsid w:val="47AE7698"/>
    <w:rsid w:val="47AF2271"/>
    <w:rsid w:val="47B94CA3"/>
    <w:rsid w:val="47BA4878"/>
    <w:rsid w:val="47BE0117"/>
    <w:rsid w:val="47CD762F"/>
    <w:rsid w:val="47CD7C3C"/>
    <w:rsid w:val="47D318F7"/>
    <w:rsid w:val="47D35D8A"/>
    <w:rsid w:val="47DC406F"/>
    <w:rsid w:val="47DF333F"/>
    <w:rsid w:val="47E04CEC"/>
    <w:rsid w:val="47E126B6"/>
    <w:rsid w:val="47F003EE"/>
    <w:rsid w:val="47F351E2"/>
    <w:rsid w:val="47F44265"/>
    <w:rsid w:val="47FB299B"/>
    <w:rsid w:val="4804061F"/>
    <w:rsid w:val="48061C07"/>
    <w:rsid w:val="48090456"/>
    <w:rsid w:val="481206BA"/>
    <w:rsid w:val="4816580C"/>
    <w:rsid w:val="481A6BC7"/>
    <w:rsid w:val="48317046"/>
    <w:rsid w:val="483A055B"/>
    <w:rsid w:val="484C3B6C"/>
    <w:rsid w:val="484E17CE"/>
    <w:rsid w:val="48561765"/>
    <w:rsid w:val="485B67AB"/>
    <w:rsid w:val="485E7C25"/>
    <w:rsid w:val="48600892"/>
    <w:rsid w:val="48655899"/>
    <w:rsid w:val="4869743E"/>
    <w:rsid w:val="486D74EB"/>
    <w:rsid w:val="486F0FBB"/>
    <w:rsid w:val="487C329C"/>
    <w:rsid w:val="48860C2B"/>
    <w:rsid w:val="488F2A95"/>
    <w:rsid w:val="48912A4D"/>
    <w:rsid w:val="48917460"/>
    <w:rsid w:val="489B1525"/>
    <w:rsid w:val="48A07865"/>
    <w:rsid w:val="48A1578C"/>
    <w:rsid w:val="48AA20A1"/>
    <w:rsid w:val="48AE4721"/>
    <w:rsid w:val="48BA3EE8"/>
    <w:rsid w:val="48D82DFB"/>
    <w:rsid w:val="48D9294B"/>
    <w:rsid w:val="48DF7D0A"/>
    <w:rsid w:val="48E515A4"/>
    <w:rsid w:val="48EA3D70"/>
    <w:rsid w:val="48FB7209"/>
    <w:rsid w:val="490851C2"/>
    <w:rsid w:val="490A3089"/>
    <w:rsid w:val="491C5C45"/>
    <w:rsid w:val="491D4CDA"/>
    <w:rsid w:val="49233319"/>
    <w:rsid w:val="492F7FC0"/>
    <w:rsid w:val="49323FD2"/>
    <w:rsid w:val="49326F5A"/>
    <w:rsid w:val="49373210"/>
    <w:rsid w:val="493B0283"/>
    <w:rsid w:val="493D15D7"/>
    <w:rsid w:val="49412426"/>
    <w:rsid w:val="49493736"/>
    <w:rsid w:val="494A3A34"/>
    <w:rsid w:val="49526439"/>
    <w:rsid w:val="495A7E8C"/>
    <w:rsid w:val="495D684F"/>
    <w:rsid w:val="49654B64"/>
    <w:rsid w:val="4969029F"/>
    <w:rsid w:val="496C7F0E"/>
    <w:rsid w:val="497B77D3"/>
    <w:rsid w:val="497E24EB"/>
    <w:rsid w:val="498543CA"/>
    <w:rsid w:val="49940D9A"/>
    <w:rsid w:val="4996345F"/>
    <w:rsid w:val="49AB6856"/>
    <w:rsid w:val="49AC21C6"/>
    <w:rsid w:val="49B707F9"/>
    <w:rsid w:val="49BD299E"/>
    <w:rsid w:val="49D23342"/>
    <w:rsid w:val="49D37F5A"/>
    <w:rsid w:val="49D41769"/>
    <w:rsid w:val="49D46DEF"/>
    <w:rsid w:val="49D84AEC"/>
    <w:rsid w:val="49DE1E77"/>
    <w:rsid w:val="49DE5678"/>
    <w:rsid w:val="49DF550B"/>
    <w:rsid w:val="49E36EF3"/>
    <w:rsid w:val="49EA72B8"/>
    <w:rsid w:val="49F5064D"/>
    <w:rsid w:val="49F66C5D"/>
    <w:rsid w:val="4A005874"/>
    <w:rsid w:val="4A014515"/>
    <w:rsid w:val="4A042142"/>
    <w:rsid w:val="4A0876B0"/>
    <w:rsid w:val="4A145B22"/>
    <w:rsid w:val="4A1460BC"/>
    <w:rsid w:val="4A1B043B"/>
    <w:rsid w:val="4A1C2D21"/>
    <w:rsid w:val="4A1D057D"/>
    <w:rsid w:val="4A1D17D9"/>
    <w:rsid w:val="4A282527"/>
    <w:rsid w:val="4A2A5D71"/>
    <w:rsid w:val="4A2E0280"/>
    <w:rsid w:val="4A2F419F"/>
    <w:rsid w:val="4A33478B"/>
    <w:rsid w:val="4A3B0086"/>
    <w:rsid w:val="4A444148"/>
    <w:rsid w:val="4A494202"/>
    <w:rsid w:val="4A602A1F"/>
    <w:rsid w:val="4A626C3C"/>
    <w:rsid w:val="4A64255F"/>
    <w:rsid w:val="4A6E4134"/>
    <w:rsid w:val="4A7D290D"/>
    <w:rsid w:val="4A813346"/>
    <w:rsid w:val="4A835F85"/>
    <w:rsid w:val="4A8467F2"/>
    <w:rsid w:val="4A8C34BD"/>
    <w:rsid w:val="4A904228"/>
    <w:rsid w:val="4A915442"/>
    <w:rsid w:val="4A9C237E"/>
    <w:rsid w:val="4A9C4D09"/>
    <w:rsid w:val="4AA40967"/>
    <w:rsid w:val="4AAC2B3D"/>
    <w:rsid w:val="4AB54852"/>
    <w:rsid w:val="4AB65F8B"/>
    <w:rsid w:val="4ABB2C7D"/>
    <w:rsid w:val="4AC05172"/>
    <w:rsid w:val="4AC32CEB"/>
    <w:rsid w:val="4AC565F8"/>
    <w:rsid w:val="4ACA0AA5"/>
    <w:rsid w:val="4AD4606F"/>
    <w:rsid w:val="4AEE6AE0"/>
    <w:rsid w:val="4AF2437B"/>
    <w:rsid w:val="4AF366BE"/>
    <w:rsid w:val="4AF61524"/>
    <w:rsid w:val="4B066E43"/>
    <w:rsid w:val="4B07510F"/>
    <w:rsid w:val="4B0955FB"/>
    <w:rsid w:val="4B0B1D54"/>
    <w:rsid w:val="4B1F2F55"/>
    <w:rsid w:val="4B2C56A9"/>
    <w:rsid w:val="4B336CCF"/>
    <w:rsid w:val="4B3A79F5"/>
    <w:rsid w:val="4B4666D3"/>
    <w:rsid w:val="4B481639"/>
    <w:rsid w:val="4B522F27"/>
    <w:rsid w:val="4B53409E"/>
    <w:rsid w:val="4B5D3032"/>
    <w:rsid w:val="4B680B2C"/>
    <w:rsid w:val="4B6C52A6"/>
    <w:rsid w:val="4B6F71DA"/>
    <w:rsid w:val="4B7613E6"/>
    <w:rsid w:val="4B805C63"/>
    <w:rsid w:val="4B815882"/>
    <w:rsid w:val="4B8D7455"/>
    <w:rsid w:val="4B8F3F6E"/>
    <w:rsid w:val="4B935FEC"/>
    <w:rsid w:val="4B942580"/>
    <w:rsid w:val="4B964113"/>
    <w:rsid w:val="4B96523B"/>
    <w:rsid w:val="4BA2080A"/>
    <w:rsid w:val="4BAB7892"/>
    <w:rsid w:val="4BB41FE2"/>
    <w:rsid w:val="4BBE4A9D"/>
    <w:rsid w:val="4BC42D08"/>
    <w:rsid w:val="4BCB77D7"/>
    <w:rsid w:val="4BD005BA"/>
    <w:rsid w:val="4BD11681"/>
    <w:rsid w:val="4BD36DEC"/>
    <w:rsid w:val="4BE110AB"/>
    <w:rsid w:val="4BE42C4E"/>
    <w:rsid w:val="4BEA7329"/>
    <w:rsid w:val="4BEB2BB1"/>
    <w:rsid w:val="4BF25C0F"/>
    <w:rsid w:val="4BF53FE2"/>
    <w:rsid w:val="4BF86F09"/>
    <w:rsid w:val="4BF90841"/>
    <w:rsid w:val="4BFD0CAA"/>
    <w:rsid w:val="4BFD78D0"/>
    <w:rsid w:val="4C0177C4"/>
    <w:rsid w:val="4C060EC2"/>
    <w:rsid w:val="4C066A22"/>
    <w:rsid w:val="4C187EDB"/>
    <w:rsid w:val="4C201043"/>
    <w:rsid w:val="4C285342"/>
    <w:rsid w:val="4C2C3BA2"/>
    <w:rsid w:val="4C2C6920"/>
    <w:rsid w:val="4C313845"/>
    <w:rsid w:val="4C333896"/>
    <w:rsid w:val="4C3463EF"/>
    <w:rsid w:val="4C353034"/>
    <w:rsid w:val="4C3933E0"/>
    <w:rsid w:val="4C426638"/>
    <w:rsid w:val="4C4947B1"/>
    <w:rsid w:val="4C5373B8"/>
    <w:rsid w:val="4C5A1D04"/>
    <w:rsid w:val="4C74676F"/>
    <w:rsid w:val="4C7476E7"/>
    <w:rsid w:val="4C7A1CAE"/>
    <w:rsid w:val="4C7D3D8A"/>
    <w:rsid w:val="4C7D48E6"/>
    <w:rsid w:val="4C7E2F03"/>
    <w:rsid w:val="4C802B1E"/>
    <w:rsid w:val="4C897871"/>
    <w:rsid w:val="4C9023C6"/>
    <w:rsid w:val="4C9E0FEB"/>
    <w:rsid w:val="4CA145EA"/>
    <w:rsid w:val="4CB22D4C"/>
    <w:rsid w:val="4CB6789D"/>
    <w:rsid w:val="4CC61DE5"/>
    <w:rsid w:val="4CD54040"/>
    <w:rsid w:val="4CD578A7"/>
    <w:rsid w:val="4CD8555A"/>
    <w:rsid w:val="4CDF79E2"/>
    <w:rsid w:val="4CE5417F"/>
    <w:rsid w:val="4CFA624A"/>
    <w:rsid w:val="4CFC3A12"/>
    <w:rsid w:val="4D0A5F9D"/>
    <w:rsid w:val="4D0F3715"/>
    <w:rsid w:val="4D2D5672"/>
    <w:rsid w:val="4D346EA5"/>
    <w:rsid w:val="4D3605B4"/>
    <w:rsid w:val="4D3757BA"/>
    <w:rsid w:val="4D3E07FC"/>
    <w:rsid w:val="4D411472"/>
    <w:rsid w:val="4D5F027F"/>
    <w:rsid w:val="4D6308B4"/>
    <w:rsid w:val="4D6914D2"/>
    <w:rsid w:val="4D6F481C"/>
    <w:rsid w:val="4D761BCD"/>
    <w:rsid w:val="4D7C4FCE"/>
    <w:rsid w:val="4D805783"/>
    <w:rsid w:val="4D8753D4"/>
    <w:rsid w:val="4D90267F"/>
    <w:rsid w:val="4D917050"/>
    <w:rsid w:val="4D9B274C"/>
    <w:rsid w:val="4D9C1F48"/>
    <w:rsid w:val="4DA15A8E"/>
    <w:rsid w:val="4DA30FDF"/>
    <w:rsid w:val="4DAD6A74"/>
    <w:rsid w:val="4DB0386B"/>
    <w:rsid w:val="4DB806FF"/>
    <w:rsid w:val="4DBC225C"/>
    <w:rsid w:val="4DC361CF"/>
    <w:rsid w:val="4DC95D7E"/>
    <w:rsid w:val="4DCA483C"/>
    <w:rsid w:val="4DD92F74"/>
    <w:rsid w:val="4DDB7CE8"/>
    <w:rsid w:val="4DEE672B"/>
    <w:rsid w:val="4DF059B7"/>
    <w:rsid w:val="4DF618C0"/>
    <w:rsid w:val="4DF63BE6"/>
    <w:rsid w:val="4DFE7BF7"/>
    <w:rsid w:val="4E044AF9"/>
    <w:rsid w:val="4E0963D4"/>
    <w:rsid w:val="4E151588"/>
    <w:rsid w:val="4E1C2F12"/>
    <w:rsid w:val="4E20208E"/>
    <w:rsid w:val="4E256362"/>
    <w:rsid w:val="4E2C6A35"/>
    <w:rsid w:val="4E3B3A93"/>
    <w:rsid w:val="4E3C23F3"/>
    <w:rsid w:val="4E3E7E3F"/>
    <w:rsid w:val="4E58186C"/>
    <w:rsid w:val="4E661C67"/>
    <w:rsid w:val="4E6A76AC"/>
    <w:rsid w:val="4E727B39"/>
    <w:rsid w:val="4E731FEF"/>
    <w:rsid w:val="4E7C7BFE"/>
    <w:rsid w:val="4E820541"/>
    <w:rsid w:val="4E8A0B94"/>
    <w:rsid w:val="4E8B1CF1"/>
    <w:rsid w:val="4E9B71B7"/>
    <w:rsid w:val="4E9C1F89"/>
    <w:rsid w:val="4EA04026"/>
    <w:rsid w:val="4EAA3EB3"/>
    <w:rsid w:val="4EB541D6"/>
    <w:rsid w:val="4EC0253D"/>
    <w:rsid w:val="4EE50647"/>
    <w:rsid w:val="4EF0165F"/>
    <w:rsid w:val="4EF724A5"/>
    <w:rsid w:val="4F05539F"/>
    <w:rsid w:val="4F0B57BB"/>
    <w:rsid w:val="4F0E426B"/>
    <w:rsid w:val="4F1418B8"/>
    <w:rsid w:val="4F18231B"/>
    <w:rsid w:val="4F214612"/>
    <w:rsid w:val="4F2B357E"/>
    <w:rsid w:val="4F3C549B"/>
    <w:rsid w:val="4F3D34CD"/>
    <w:rsid w:val="4F3D7C2C"/>
    <w:rsid w:val="4F4746C4"/>
    <w:rsid w:val="4F481867"/>
    <w:rsid w:val="4F491602"/>
    <w:rsid w:val="4F507F88"/>
    <w:rsid w:val="4F516368"/>
    <w:rsid w:val="4F543353"/>
    <w:rsid w:val="4F563A8E"/>
    <w:rsid w:val="4F574D67"/>
    <w:rsid w:val="4F59620A"/>
    <w:rsid w:val="4F5D49C3"/>
    <w:rsid w:val="4F6F6989"/>
    <w:rsid w:val="4F7345EC"/>
    <w:rsid w:val="4F735C80"/>
    <w:rsid w:val="4F76420A"/>
    <w:rsid w:val="4F791E0D"/>
    <w:rsid w:val="4F811738"/>
    <w:rsid w:val="4F943180"/>
    <w:rsid w:val="4F9861F0"/>
    <w:rsid w:val="4F9916AA"/>
    <w:rsid w:val="4FA90297"/>
    <w:rsid w:val="4FBD45A1"/>
    <w:rsid w:val="4FC3333A"/>
    <w:rsid w:val="4FC87E6D"/>
    <w:rsid w:val="4FD413A0"/>
    <w:rsid w:val="4FDE656A"/>
    <w:rsid w:val="4FDF788D"/>
    <w:rsid w:val="4FE92400"/>
    <w:rsid w:val="4FED6A7E"/>
    <w:rsid w:val="4FF23733"/>
    <w:rsid w:val="50073960"/>
    <w:rsid w:val="501B7008"/>
    <w:rsid w:val="50251155"/>
    <w:rsid w:val="5027252F"/>
    <w:rsid w:val="50397E6B"/>
    <w:rsid w:val="503A3134"/>
    <w:rsid w:val="503A3845"/>
    <w:rsid w:val="503F218A"/>
    <w:rsid w:val="50442873"/>
    <w:rsid w:val="5048062F"/>
    <w:rsid w:val="504F7998"/>
    <w:rsid w:val="505309D7"/>
    <w:rsid w:val="506535C7"/>
    <w:rsid w:val="506B70CB"/>
    <w:rsid w:val="506D6BE5"/>
    <w:rsid w:val="50707D48"/>
    <w:rsid w:val="50804243"/>
    <w:rsid w:val="508458BF"/>
    <w:rsid w:val="50913B88"/>
    <w:rsid w:val="5097531A"/>
    <w:rsid w:val="509E017F"/>
    <w:rsid w:val="50A02110"/>
    <w:rsid w:val="50A36DDA"/>
    <w:rsid w:val="50A70998"/>
    <w:rsid w:val="50AD3D4A"/>
    <w:rsid w:val="50C03C3F"/>
    <w:rsid w:val="50C64981"/>
    <w:rsid w:val="50C91942"/>
    <w:rsid w:val="50D904AA"/>
    <w:rsid w:val="50DD3177"/>
    <w:rsid w:val="50DD64F2"/>
    <w:rsid w:val="50E12B9F"/>
    <w:rsid w:val="50E30197"/>
    <w:rsid w:val="50E772C9"/>
    <w:rsid w:val="50FF68AF"/>
    <w:rsid w:val="51071903"/>
    <w:rsid w:val="51075AEC"/>
    <w:rsid w:val="51113D06"/>
    <w:rsid w:val="51142417"/>
    <w:rsid w:val="51171EA9"/>
    <w:rsid w:val="511933CE"/>
    <w:rsid w:val="511B2752"/>
    <w:rsid w:val="511C6C71"/>
    <w:rsid w:val="512D0BDB"/>
    <w:rsid w:val="512D1F93"/>
    <w:rsid w:val="51357515"/>
    <w:rsid w:val="513C6FB2"/>
    <w:rsid w:val="5143465E"/>
    <w:rsid w:val="514C633C"/>
    <w:rsid w:val="51510F89"/>
    <w:rsid w:val="5157625E"/>
    <w:rsid w:val="515863B8"/>
    <w:rsid w:val="515E17F2"/>
    <w:rsid w:val="5165372E"/>
    <w:rsid w:val="51681547"/>
    <w:rsid w:val="516A7106"/>
    <w:rsid w:val="5170399F"/>
    <w:rsid w:val="51724324"/>
    <w:rsid w:val="51725A66"/>
    <w:rsid w:val="51735FF8"/>
    <w:rsid w:val="51740FD0"/>
    <w:rsid w:val="517A2351"/>
    <w:rsid w:val="5184082C"/>
    <w:rsid w:val="519033A8"/>
    <w:rsid w:val="51942284"/>
    <w:rsid w:val="519B1750"/>
    <w:rsid w:val="51A46F68"/>
    <w:rsid w:val="51A57F07"/>
    <w:rsid w:val="51AA06A0"/>
    <w:rsid w:val="51BB2AAF"/>
    <w:rsid w:val="51C66658"/>
    <w:rsid w:val="51CA661D"/>
    <w:rsid w:val="51CF72E0"/>
    <w:rsid w:val="51D421DB"/>
    <w:rsid w:val="51D6506A"/>
    <w:rsid w:val="51DC6A35"/>
    <w:rsid w:val="51F7156C"/>
    <w:rsid w:val="52025013"/>
    <w:rsid w:val="52036134"/>
    <w:rsid w:val="52037A94"/>
    <w:rsid w:val="52075C34"/>
    <w:rsid w:val="520E4DEC"/>
    <w:rsid w:val="521725F4"/>
    <w:rsid w:val="521E25EF"/>
    <w:rsid w:val="522523C4"/>
    <w:rsid w:val="522F3F42"/>
    <w:rsid w:val="52387F46"/>
    <w:rsid w:val="52414D55"/>
    <w:rsid w:val="52415030"/>
    <w:rsid w:val="524374FE"/>
    <w:rsid w:val="526573ED"/>
    <w:rsid w:val="526764CD"/>
    <w:rsid w:val="5272700F"/>
    <w:rsid w:val="52740E08"/>
    <w:rsid w:val="528D0776"/>
    <w:rsid w:val="528E76A2"/>
    <w:rsid w:val="528F19F2"/>
    <w:rsid w:val="52937C27"/>
    <w:rsid w:val="52965EA9"/>
    <w:rsid w:val="52981AFD"/>
    <w:rsid w:val="52A51553"/>
    <w:rsid w:val="52B03109"/>
    <w:rsid w:val="52B13FE1"/>
    <w:rsid w:val="52B1621E"/>
    <w:rsid w:val="52B516AA"/>
    <w:rsid w:val="52B621A4"/>
    <w:rsid w:val="52C5599C"/>
    <w:rsid w:val="52CA40AA"/>
    <w:rsid w:val="52CD0837"/>
    <w:rsid w:val="52CD0D31"/>
    <w:rsid w:val="52D3634D"/>
    <w:rsid w:val="52DC2D54"/>
    <w:rsid w:val="52E27B55"/>
    <w:rsid w:val="52E44BDE"/>
    <w:rsid w:val="52E45E3F"/>
    <w:rsid w:val="52EC5CAC"/>
    <w:rsid w:val="52EE28F6"/>
    <w:rsid w:val="52FA0482"/>
    <w:rsid w:val="52FA3665"/>
    <w:rsid w:val="52FB5D56"/>
    <w:rsid w:val="52FE1821"/>
    <w:rsid w:val="52FE3FE0"/>
    <w:rsid w:val="52FF664F"/>
    <w:rsid w:val="53000B16"/>
    <w:rsid w:val="53023B53"/>
    <w:rsid w:val="530B4AB4"/>
    <w:rsid w:val="530C2145"/>
    <w:rsid w:val="530E2C43"/>
    <w:rsid w:val="53117F32"/>
    <w:rsid w:val="53144BA6"/>
    <w:rsid w:val="531C31CF"/>
    <w:rsid w:val="53202640"/>
    <w:rsid w:val="53225A93"/>
    <w:rsid w:val="53233B71"/>
    <w:rsid w:val="53380BAE"/>
    <w:rsid w:val="534542DC"/>
    <w:rsid w:val="53457E9B"/>
    <w:rsid w:val="5346495F"/>
    <w:rsid w:val="53486FAE"/>
    <w:rsid w:val="535169CD"/>
    <w:rsid w:val="535325DB"/>
    <w:rsid w:val="53545FA8"/>
    <w:rsid w:val="535A0013"/>
    <w:rsid w:val="536A0562"/>
    <w:rsid w:val="536E1386"/>
    <w:rsid w:val="537476B9"/>
    <w:rsid w:val="537B0FC5"/>
    <w:rsid w:val="53804DEA"/>
    <w:rsid w:val="53926AA5"/>
    <w:rsid w:val="53A32C49"/>
    <w:rsid w:val="53A43C21"/>
    <w:rsid w:val="53A4543E"/>
    <w:rsid w:val="53AA0E11"/>
    <w:rsid w:val="53AF05EE"/>
    <w:rsid w:val="53BF063D"/>
    <w:rsid w:val="53C82099"/>
    <w:rsid w:val="53CA038E"/>
    <w:rsid w:val="53CA1313"/>
    <w:rsid w:val="53D83C7F"/>
    <w:rsid w:val="53DE4874"/>
    <w:rsid w:val="53DF2AC8"/>
    <w:rsid w:val="54065FE0"/>
    <w:rsid w:val="540B5682"/>
    <w:rsid w:val="540E138A"/>
    <w:rsid w:val="54100569"/>
    <w:rsid w:val="54164299"/>
    <w:rsid w:val="54304D13"/>
    <w:rsid w:val="543079E9"/>
    <w:rsid w:val="54310945"/>
    <w:rsid w:val="54386977"/>
    <w:rsid w:val="543A0296"/>
    <w:rsid w:val="543E43FD"/>
    <w:rsid w:val="543F217D"/>
    <w:rsid w:val="543F4C80"/>
    <w:rsid w:val="54524F1F"/>
    <w:rsid w:val="54535F56"/>
    <w:rsid w:val="54573E66"/>
    <w:rsid w:val="5461075D"/>
    <w:rsid w:val="54642959"/>
    <w:rsid w:val="546C4819"/>
    <w:rsid w:val="546D4D02"/>
    <w:rsid w:val="546F5801"/>
    <w:rsid w:val="547707D0"/>
    <w:rsid w:val="54781E59"/>
    <w:rsid w:val="547A6255"/>
    <w:rsid w:val="547C031A"/>
    <w:rsid w:val="547E72CC"/>
    <w:rsid w:val="547F1F41"/>
    <w:rsid w:val="548661FA"/>
    <w:rsid w:val="5488261D"/>
    <w:rsid w:val="54A23D20"/>
    <w:rsid w:val="54A2430F"/>
    <w:rsid w:val="54AA2B89"/>
    <w:rsid w:val="54CC4D4F"/>
    <w:rsid w:val="54D857CF"/>
    <w:rsid w:val="54D85D18"/>
    <w:rsid w:val="54E6298F"/>
    <w:rsid w:val="54E6710A"/>
    <w:rsid w:val="54EA25E1"/>
    <w:rsid w:val="55012A54"/>
    <w:rsid w:val="550269C2"/>
    <w:rsid w:val="55075231"/>
    <w:rsid w:val="550C75D7"/>
    <w:rsid w:val="550D57E6"/>
    <w:rsid w:val="551E1BB2"/>
    <w:rsid w:val="551F2A6B"/>
    <w:rsid w:val="552F2E1B"/>
    <w:rsid w:val="55335D82"/>
    <w:rsid w:val="55352792"/>
    <w:rsid w:val="553D6F05"/>
    <w:rsid w:val="553E6310"/>
    <w:rsid w:val="553F7876"/>
    <w:rsid w:val="55404623"/>
    <w:rsid w:val="554F62A7"/>
    <w:rsid w:val="5553678F"/>
    <w:rsid w:val="5554467D"/>
    <w:rsid w:val="55562A2B"/>
    <w:rsid w:val="555C2FC1"/>
    <w:rsid w:val="555C6898"/>
    <w:rsid w:val="556047A1"/>
    <w:rsid w:val="556973F3"/>
    <w:rsid w:val="55720213"/>
    <w:rsid w:val="557775CC"/>
    <w:rsid w:val="5588441A"/>
    <w:rsid w:val="559117FD"/>
    <w:rsid w:val="55970042"/>
    <w:rsid w:val="55A466A8"/>
    <w:rsid w:val="55B51CEE"/>
    <w:rsid w:val="55BD0480"/>
    <w:rsid w:val="55C23BC8"/>
    <w:rsid w:val="55C37BD9"/>
    <w:rsid w:val="55C46662"/>
    <w:rsid w:val="55C572B2"/>
    <w:rsid w:val="55CE2F44"/>
    <w:rsid w:val="55CF2824"/>
    <w:rsid w:val="55D10D82"/>
    <w:rsid w:val="55E01CA0"/>
    <w:rsid w:val="55EA5E11"/>
    <w:rsid w:val="55F96A33"/>
    <w:rsid w:val="56006454"/>
    <w:rsid w:val="560F7F9B"/>
    <w:rsid w:val="561244DC"/>
    <w:rsid w:val="562573FE"/>
    <w:rsid w:val="56275969"/>
    <w:rsid w:val="5629036D"/>
    <w:rsid w:val="562A4EAF"/>
    <w:rsid w:val="56327365"/>
    <w:rsid w:val="56340ACE"/>
    <w:rsid w:val="563A08DD"/>
    <w:rsid w:val="56502475"/>
    <w:rsid w:val="56554DD5"/>
    <w:rsid w:val="565C00AF"/>
    <w:rsid w:val="565C56FF"/>
    <w:rsid w:val="566504EB"/>
    <w:rsid w:val="56697247"/>
    <w:rsid w:val="56752E4E"/>
    <w:rsid w:val="5676109E"/>
    <w:rsid w:val="567F7227"/>
    <w:rsid w:val="56867948"/>
    <w:rsid w:val="568D6E92"/>
    <w:rsid w:val="569A72D7"/>
    <w:rsid w:val="56A021AF"/>
    <w:rsid w:val="56AB3F1C"/>
    <w:rsid w:val="56AC3A89"/>
    <w:rsid w:val="56AD41A6"/>
    <w:rsid w:val="56BF46E1"/>
    <w:rsid w:val="56C24919"/>
    <w:rsid w:val="56CD7852"/>
    <w:rsid w:val="56DB36EE"/>
    <w:rsid w:val="56E30476"/>
    <w:rsid w:val="56F213E7"/>
    <w:rsid w:val="570022A8"/>
    <w:rsid w:val="57055505"/>
    <w:rsid w:val="570F349A"/>
    <w:rsid w:val="5718344E"/>
    <w:rsid w:val="571C1DC5"/>
    <w:rsid w:val="57245BFC"/>
    <w:rsid w:val="572734C4"/>
    <w:rsid w:val="57360A4D"/>
    <w:rsid w:val="573A25D1"/>
    <w:rsid w:val="573F3E3C"/>
    <w:rsid w:val="574360E1"/>
    <w:rsid w:val="57516464"/>
    <w:rsid w:val="5755649B"/>
    <w:rsid w:val="575757A4"/>
    <w:rsid w:val="576B43C5"/>
    <w:rsid w:val="576C16D8"/>
    <w:rsid w:val="577304F0"/>
    <w:rsid w:val="577E216D"/>
    <w:rsid w:val="57806F0E"/>
    <w:rsid w:val="57826997"/>
    <w:rsid w:val="57862F6E"/>
    <w:rsid w:val="57885CE2"/>
    <w:rsid w:val="578C519F"/>
    <w:rsid w:val="57906B78"/>
    <w:rsid w:val="579A4187"/>
    <w:rsid w:val="579C4BC3"/>
    <w:rsid w:val="57A51043"/>
    <w:rsid w:val="57AB7E94"/>
    <w:rsid w:val="57AF1CF1"/>
    <w:rsid w:val="57C56022"/>
    <w:rsid w:val="57C61D45"/>
    <w:rsid w:val="57CF098C"/>
    <w:rsid w:val="57D15A5F"/>
    <w:rsid w:val="57D77BC6"/>
    <w:rsid w:val="57EE505A"/>
    <w:rsid w:val="57F461ED"/>
    <w:rsid w:val="57F71552"/>
    <w:rsid w:val="57FA6652"/>
    <w:rsid w:val="58046888"/>
    <w:rsid w:val="580753B5"/>
    <w:rsid w:val="580F3ED6"/>
    <w:rsid w:val="5814562B"/>
    <w:rsid w:val="58190574"/>
    <w:rsid w:val="581C2A2E"/>
    <w:rsid w:val="581C6180"/>
    <w:rsid w:val="581D47AD"/>
    <w:rsid w:val="58256AA6"/>
    <w:rsid w:val="5835658D"/>
    <w:rsid w:val="583B4A68"/>
    <w:rsid w:val="58411315"/>
    <w:rsid w:val="58586DC5"/>
    <w:rsid w:val="58590000"/>
    <w:rsid w:val="58613663"/>
    <w:rsid w:val="586345C7"/>
    <w:rsid w:val="58680254"/>
    <w:rsid w:val="586B2404"/>
    <w:rsid w:val="5875284A"/>
    <w:rsid w:val="587F0D28"/>
    <w:rsid w:val="58AE0FA2"/>
    <w:rsid w:val="58AF38C5"/>
    <w:rsid w:val="58B11140"/>
    <w:rsid w:val="58B561D0"/>
    <w:rsid w:val="58B60D0C"/>
    <w:rsid w:val="58BA4C8A"/>
    <w:rsid w:val="58CA3B79"/>
    <w:rsid w:val="58CE3E31"/>
    <w:rsid w:val="58D34ADC"/>
    <w:rsid w:val="58E24202"/>
    <w:rsid w:val="58E86393"/>
    <w:rsid w:val="58EB614B"/>
    <w:rsid w:val="58FF6A33"/>
    <w:rsid w:val="590A1EF6"/>
    <w:rsid w:val="5910134D"/>
    <w:rsid w:val="59132DB6"/>
    <w:rsid w:val="591C356B"/>
    <w:rsid w:val="591C3807"/>
    <w:rsid w:val="5923196A"/>
    <w:rsid w:val="59271254"/>
    <w:rsid w:val="59275BDA"/>
    <w:rsid w:val="592F61D9"/>
    <w:rsid w:val="59313A8F"/>
    <w:rsid w:val="59336640"/>
    <w:rsid w:val="5938005C"/>
    <w:rsid w:val="593D6169"/>
    <w:rsid w:val="593F460E"/>
    <w:rsid w:val="59411757"/>
    <w:rsid w:val="594252DB"/>
    <w:rsid w:val="5955002E"/>
    <w:rsid w:val="595947F1"/>
    <w:rsid w:val="597238BA"/>
    <w:rsid w:val="59785B01"/>
    <w:rsid w:val="597D1D98"/>
    <w:rsid w:val="597F06D9"/>
    <w:rsid w:val="59822A24"/>
    <w:rsid w:val="59855A52"/>
    <w:rsid w:val="598B4C00"/>
    <w:rsid w:val="598F6FD0"/>
    <w:rsid w:val="59990656"/>
    <w:rsid w:val="59A60089"/>
    <w:rsid w:val="59A728A9"/>
    <w:rsid w:val="59AD4702"/>
    <w:rsid w:val="59B50F02"/>
    <w:rsid w:val="59BC3F7C"/>
    <w:rsid w:val="59CC1752"/>
    <w:rsid w:val="59CD59B8"/>
    <w:rsid w:val="59D20844"/>
    <w:rsid w:val="59D42464"/>
    <w:rsid w:val="59DC7A0A"/>
    <w:rsid w:val="59E210CF"/>
    <w:rsid w:val="59F4191E"/>
    <w:rsid w:val="59FA360D"/>
    <w:rsid w:val="5A006D05"/>
    <w:rsid w:val="5A0365A2"/>
    <w:rsid w:val="5A062FA5"/>
    <w:rsid w:val="5A063C0B"/>
    <w:rsid w:val="5A06575E"/>
    <w:rsid w:val="5A0A3A02"/>
    <w:rsid w:val="5A144761"/>
    <w:rsid w:val="5A3477CA"/>
    <w:rsid w:val="5A3916B0"/>
    <w:rsid w:val="5A3E5E5C"/>
    <w:rsid w:val="5A4045CA"/>
    <w:rsid w:val="5A445B93"/>
    <w:rsid w:val="5A462094"/>
    <w:rsid w:val="5A4E7611"/>
    <w:rsid w:val="5A4F7399"/>
    <w:rsid w:val="5A506098"/>
    <w:rsid w:val="5A56678A"/>
    <w:rsid w:val="5A5A1368"/>
    <w:rsid w:val="5A5D2CE7"/>
    <w:rsid w:val="5A6072A0"/>
    <w:rsid w:val="5A665143"/>
    <w:rsid w:val="5A6E5A08"/>
    <w:rsid w:val="5A7264C6"/>
    <w:rsid w:val="5A7D4DC9"/>
    <w:rsid w:val="5A8211D3"/>
    <w:rsid w:val="5A833EAF"/>
    <w:rsid w:val="5A8417E5"/>
    <w:rsid w:val="5A922986"/>
    <w:rsid w:val="5AA20971"/>
    <w:rsid w:val="5AAC30BF"/>
    <w:rsid w:val="5ABC3730"/>
    <w:rsid w:val="5ABE40C0"/>
    <w:rsid w:val="5AC116B6"/>
    <w:rsid w:val="5AC91CDE"/>
    <w:rsid w:val="5ACB1A2B"/>
    <w:rsid w:val="5ACF1A95"/>
    <w:rsid w:val="5AD4288E"/>
    <w:rsid w:val="5AD84308"/>
    <w:rsid w:val="5ADD1F30"/>
    <w:rsid w:val="5AE25AE5"/>
    <w:rsid w:val="5AE642D9"/>
    <w:rsid w:val="5AEE4978"/>
    <w:rsid w:val="5AF4372C"/>
    <w:rsid w:val="5B091C17"/>
    <w:rsid w:val="5B11531B"/>
    <w:rsid w:val="5B227EB7"/>
    <w:rsid w:val="5B3024AB"/>
    <w:rsid w:val="5B3153E8"/>
    <w:rsid w:val="5B371999"/>
    <w:rsid w:val="5B4042DF"/>
    <w:rsid w:val="5B437A02"/>
    <w:rsid w:val="5B481B4B"/>
    <w:rsid w:val="5B4E335D"/>
    <w:rsid w:val="5B4F1D96"/>
    <w:rsid w:val="5B501413"/>
    <w:rsid w:val="5B5E49D5"/>
    <w:rsid w:val="5B646343"/>
    <w:rsid w:val="5B6C58E3"/>
    <w:rsid w:val="5B74533B"/>
    <w:rsid w:val="5B87760C"/>
    <w:rsid w:val="5B8D38D2"/>
    <w:rsid w:val="5B8F4BAA"/>
    <w:rsid w:val="5B957005"/>
    <w:rsid w:val="5BA1550C"/>
    <w:rsid w:val="5BA60010"/>
    <w:rsid w:val="5BA7757C"/>
    <w:rsid w:val="5BB11EFD"/>
    <w:rsid w:val="5BBA5C1E"/>
    <w:rsid w:val="5BBB3421"/>
    <w:rsid w:val="5BC91026"/>
    <w:rsid w:val="5BCA2189"/>
    <w:rsid w:val="5BCB685A"/>
    <w:rsid w:val="5BD56378"/>
    <w:rsid w:val="5BDA213F"/>
    <w:rsid w:val="5BDD6E69"/>
    <w:rsid w:val="5BFF76C7"/>
    <w:rsid w:val="5C003614"/>
    <w:rsid w:val="5C020EE2"/>
    <w:rsid w:val="5C0229F3"/>
    <w:rsid w:val="5C0F0A14"/>
    <w:rsid w:val="5C0F36BE"/>
    <w:rsid w:val="5C1A6B99"/>
    <w:rsid w:val="5C1C04C8"/>
    <w:rsid w:val="5C283B18"/>
    <w:rsid w:val="5C321E58"/>
    <w:rsid w:val="5C3A15B2"/>
    <w:rsid w:val="5C3A2A44"/>
    <w:rsid w:val="5C3C2CF1"/>
    <w:rsid w:val="5C3D7733"/>
    <w:rsid w:val="5C3E7A2D"/>
    <w:rsid w:val="5C465078"/>
    <w:rsid w:val="5C4A779F"/>
    <w:rsid w:val="5C5D7195"/>
    <w:rsid w:val="5C5F1CEA"/>
    <w:rsid w:val="5C60041D"/>
    <w:rsid w:val="5C616397"/>
    <w:rsid w:val="5C696A3F"/>
    <w:rsid w:val="5C776DB5"/>
    <w:rsid w:val="5C781C0D"/>
    <w:rsid w:val="5C796E1C"/>
    <w:rsid w:val="5C7F5803"/>
    <w:rsid w:val="5C825746"/>
    <w:rsid w:val="5C845016"/>
    <w:rsid w:val="5C886B70"/>
    <w:rsid w:val="5C8B01E4"/>
    <w:rsid w:val="5C98497E"/>
    <w:rsid w:val="5CA65317"/>
    <w:rsid w:val="5CAE1200"/>
    <w:rsid w:val="5CC140DA"/>
    <w:rsid w:val="5CC439B9"/>
    <w:rsid w:val="5CCC11D4"/>
    <w:rsid w:val="5CE2266A"/>
    <w:rsid w:val="5CE2519D"/>
    <w:rsid w:val="5CE567CB"/>
    <w:rsid w:val="5CE73ACC"/>
    <w:rsid w:val="5CF045D1"/>
    <w:rsid w:val="5CFE066C"/>
    <w:rsid w:val="5D0457A0"/>
    <w:rsid w:val="5D063C30"/>
    <w:rsid w:val="5D143DCC"/>
    <w:rsid w:val="5D146963"/>
    <w:rsid w:val="5D1B1E47"/>
    <w:rsid w:val="5D2C0872"/>
    <w:rsid w:val="5D371CAB"/>
    <w:rsid w:val="5D3D2D91"/>
    <w:rsid w:val="5D4A2FF9"/>
    <w:rsid w:val="5D4B5990"/>
    <w:rsid w:val="5D5023FD"/>
    <w:rsid w:val="5D5725D0"/>
    <w:rsid w:val="5D600F60"/>
    <w:rsid w:val="5D621631"/>
    <w:rsid w:val="5D637F21"/>
    <w:rsid w:val="5D662E74"/>
    <w:rsid w:val="5D752A9D"/>
    <w:rsid w:val="5D754FC1"/>
    <w:rsid w:val="5D802F31"/>
    <w:rsid w:val="5D837E23"/>
    <w:rsid w:val="5D846087"/>
    <w:rsid w:val="5D887932"/>
    <w:rsid w:val="5D9B2B05"/>
    <w:rsid w:val="5D9F3354"/>
    <w:rsid w:val="5DBD574B"/>
    <w:rsid w:val="5DBF3C30"/>
    <w:rsid w:val="5DDA029B"/>
    <w:rsid w:val="5DE73BC5"/>
    <w:rsid w:val="5DE90C30"/>
    <w:rsid w:val="5DFC351B"/>
    <w:rsid w:val="5DFD4FCC"/>
    <w:rsid w:val="5E0718AD"/>
    <w:rsid w:val="5E0F5578"/>
    <w:rsid w:val="5E192684"/>
    <w:rsid w:val="5E1A5A37"/>
    <w:rsid w:val="5E216838"/>
    <w:rsid w:val="5E2363CD"/>
    <w:rsid w:val="5E2B263D"/>
    <w:rsid w:val="5E2C3E81"/>
    <w:rsid w:val="5E3A739F"/>
    <w:rsid w:val="5E523813"/>
    <w:rsid w:val="5E540B02"/>
    <w:rsid w:val="5E563C15"/>
    <w:rsid w:val="5E575FC4"/>
    <w:rsid w:val="5E590D7C"/>
    <w:rsid w:val="5E643532"/>
    <w:rsid w:val="5E652445"/>
    <w:rsid w:val="5E665D8C"/>
    <w:rsid w:val="5E6B0023"/>
    <w:rsid w:val="5E7203CC"/>
    <w:rsid w:val="5E732924"/>
    <w:rsid w:val="5E82566C"/>
    <w:rsid w:val="5E8727C6"/>
    <w:rsid w:val="5E892D86"/>
    <w:rsid w:val="5E96312B"/>
    <w:rsid w:val="5EA2405D"/>
    <w:rsid w:val="5EA5412D"/>
    <w:rsid w:val="5EB96833"/>
    <w:rsid w:val="5EBD76EA"/>
    <w:rsid w:val="5EC46BE4"/>
    <w:rsid w:val="5ECF2B5A"/>
    <w:rsid w:val="5ED034AC"/>
    <w:rsid w:val="5ED2293A"/>
    <w:rsid w:val="5ED600BF"/>
    <w:rsid w:val="5EE35976"/>
    <w:rsid w:val="5EE37E7F"/>
    <w:rsid w:val="5EF8547C"/>
    <w:rsid w:val="5F02778D"/>
    <w:rsid w:val="5F0C3C8F"/>
    <w:rsid w:val="5F151A2E"/>
    <w:rsid w:val="5F1E4D26"/>
    <w:rsid w:val="5F266404"/>
    <w:rsid w:val="5F343553"/>
    <w:rsid w:val="5F347C5A"/>
    <w:rsid w:val="5F3C7926"/>
    <w:rsid w:val="5F4407EE"/>
    <w:rsid w:val="5F540E8D"/>
    <w:rsid w:val="5F734E1E"/>
    <w:rsid w:val="5F81357E"/>
    <w:rsid w:val="5F8A3E1F"/>
    <w:rsid w:val="5F8B6117"/>
    <w:rsid w:val="5F956796"/>
    <w:rsid w:val="5F9B0F1F"/>
    <w:rsid w:val="5F9D696A"/>
    <w:rsid w:val="5FA04D4C"/>
    <w:rsid w:val="5FA56EB7"/>
    <w:rsid w:val="5FA82CDC"/>
    <w:rsid w:val="5FA83801"/>
    <w:rsid w:val="5FB05AC5"/>
    <w:rsid w:val="5FBD704C"/>
    <w:rsid w:val="5FC63ECA"/>
    <w:rsid w:val="5FCB42A0"/>
    <w:rsid w:val="5FCC1E1D"/>
    <w:rsid w:val="5FCD08DE"/>
    <w:rsid w:val="5FCD2C7A"/>
    <w:rsid w:val="5FCD4480"/>
    <w:rsid w:val="5FEC2644"/>
    <w:rsid w:val="5FEE4573"/>
    <w:rsid w:val="5FF77510"/>
    <w:rsid w:val="600754A3"/>
    <w:rsid w:val="60094111"/>
    <w:rsid w:val="60096A2E"/>
    <w:rsid w:val="601278F1"/>
    <w:rsid w:val="6021796F"/>
    <w:rsid w:val="602A0E02"/>
    <w:rsid w:val="602D7081"/>
    <w:rsid w:val="602E3BBB"/>
    <w:rsid w:val="602E58C5"/>
    <w:rsid w:val="6030029E"/>
    <w:rsid w:val="60395FA2"/>
    <w:rsid w:val="604974F7"/>
    <w:rsid w:val="604F3BA5"/>
    <w:rsid w:val="605524E0"/>
    <w:rsid w:val="605A7FED"/>
    <w:rsid w:val="60775349"/>
    <w:rsid w:val="607E6462"/>
    <w:rsid w:val="60846A6D"/>
    <w:rsid w:val="60874B7B"/>
    <w:rsid w:val="609F3F53"/>
    <w:rsid w:val="60A038A1"/>
    <w:rsid w:val="60A228F2"/>
    <w:rsid w:val="60A72281"/>
    <w:rsid w:val="60AC1E6C"/>
    <w:rsid w:val="60BE2284"/>
    <w:rsid w:val="60CB227E"/>
    <w:rsid w:val="60CF425A"/>
    <w:rsid w:val="60D957F0"/>
    <w:rsid w:val="60E46219"/>
    <w:rsid w:val="60E6759D"/>
    <w:rsid w:val="61063844"/>
    <w:rsid w:val="61070CDE"/>
    <w:rsid w:val="61096E92"/>
    <w:rsid w:val="610B3A4D"/>
    <w:rsid w:val="610E0DD7"/>
    <w:rsid w:val="61136899"/>
    <w:rsid w:val="6114572D"/>
    <w:rsid w:val="611C3F61"/>
    <w:rsid w:val="611F6C1F"/>
    <w:rsid w:val="612079DA"/>
    <w:rsid w:val="61216D08"/>
    <w:rsid w:val="612233BF"/>
    <w:rsid w:val="612406FC"/>
    <w:rsid w:val="612A76AD"/>
    <w:rsid w:val="612E1028"/>
    <w:rsid w:val="61325F5B"/>
    <w:rsid w:val="6134218D"/>
    <w:rsid w:val="61372ADA"/>
    <w:rsid w:val="61381630"/>
    <w:rsid w:val="613B6700"/>
    <w:rsid w:val="613E517F"/>
    <w:rsid w:val="61441B93"/>
    <w:rsid w:val="61541F50"/>
    <w:rsid w:val="61581511"/>
    <w:rsid w:val="6158644C"/>
    <w:rsid w:val="616460CE"/>
    <w:rsid w:val="61694ECA"/>
    <w:rsid w:val="6181391C"/>
    <w:rsid w:val="61831B7C"/>
    <w:rsid w:val="61880085"/>
    <w:rsid w:val="618F4291"/>
    <w:rsid w:val="6195175D"/>
    <w:rsid w:val="61A82BFF"/>
    <w:rsid w:val="61AC33DF"/>
    <w:rsid w:val="61B30C75"/>
    <w:rsid w:val="61B95A5E"/>
    <w:rsid w:val="61BC4A75"/>
    <w:rsid w:val="61BF7A5C"/>
    <w:rsid w:val="61C03014"/>
    <w:rsid w:val="61D445FC"/>
    <w:rsid w:val="61D67FFA"/>
    <w:rsid w:val="61D84B55"/>
    <w:rsid w:val="61DE3F19"/>
    <w:rsid w:val="61EA325F"/>
    <w:rsid w:val="61EB742D"/>
    <w:rsid w:val="61EC6CE8"/>
    <w:rsid w:val="61FE15E2"/>
    <w:rsid w:val="62067232"/>
    <w:rsid w:val="620F147A"/>
    <w:rsid w:val="620F6F56"/>
    <w:rsid w:val="621C6B6E"/>
    <w:rsid w:val="622A7DC6"/>
    <w:rsid w:val="62333143"/>
    <w:rsid w:val="623455F7"/>
    <w:rsid w:val="6237032D"/>
    <w:rsid w:val="62376939"/>
    <w:rsid w:val="623E1C97"/>
    <w:rsid w:val="62440502"/>
    <w:rsid w:val="624800AF"/>
    <w:rsid w:val="625B4868"/>
    <w:rsid w:val="626A2A72"/>
    <w:rsid w:val="62704871"/>
    <w:rsid w:val="62854786"/>
    <w:rsid w:val="62A1746B"/>
    <w:rsid w:val="62A715AF"/>
    <w:rsid w:val="62BC5652"/>
    <w:rsid w:val="62C15DEA"/>
    <w:rsid w:val="62D30478"/>
    <w:rsid w:val="62D65410"/>
    <w:rsid w:val="62DB0C58"/>
    <w:rsid w:val="62DD74D9"/>
    <w:rsid w:val="62E6306F"/>
    <w:rsid w:val="62E9717D"/>
    <w:rsid w:val="62EC351E"/>
    <w:rsid w:val="62ED150E"/>
    <w:rsid w:val="62EF3C7E"/>
    <w:rsid w:val="62F03027"/>
    <w:rsid w:val="63041C09"/>
    <w:rsid w:val="630E16A8"/>
    <w:rsid w:val="630F52CE"/>
    <w:rsid w:val="6315404B"/>
    <w:rsid w:val="631C2534"/>
    <w:rsid w:val="632414A8"/>
    <w:rsid w:val="63297519"/>
    <w:rsid w:val="632B6662"/>
    <w:rsid w:val="63431F15"/>
    <w:rsid w:val="634E79DA"/>
    <w:rsid w:val="635A691D"/>
    <w:rsid w:val="635D7243"/>
    <w:rsid w:val="63630FF8"/>
    <w:rsid w:val="637025DD"/>
    <w:rsid w:val="63750765"/>
    <w:rsid w:val="637F38AB"/>
    <w:rsid w:val="637F7046"/>
    <w:rsid w:val="63831AA5"/>
    <w:rsid w:val="6387354D"/>
    <w:rsid w:val="63876750"/>
    <w:rsid w:val="63911088"/>
    <w:rsid w:val="63922E1D"/>
    <w:rsid w:val="639E4278"/>
    <w:rsid w:val="63A06052"/>
    <w:rsid w:val="63AB24E6"/>
    <w:rsid w:val="63B00B4C"/>
    <w:rsid w:val="63BC030E"/>
    <w:rsid w:val="63C10BCD"/>
    <w:rsid w:val="63C306D0"/>
    <w:rsid w:val="63CA6AE0"/>
    <w:rsid w:val="63CE09E0"/>
    <w:rsid w:val="63CE294A"/>
    <w:rsid w:val="63CF1F4D"/>
    <w:rsid w:val="63D632F8"/>
    <w:rsid w:val="63D85663"/>
    <w:rsid w:val="63DF6A68"/>
    <w:rsid w:val="640C5824"/>
    <w:rsid w:val="640F0E1B"/>
    <w:rsid w:val="640F3635"/>
    <w:rsid w:val="64123266"/>
    <w:rsid w:val="64177910"/>
    <w:rsid w:val="64213DC7"/>
    <w:rsid w:val="64286296"/>
    <w:rsid w:val="642B2855"/>
    <w:rsid w:val="642C1F2B"/>
    <w:rsid w:val="64300985"/>
    <w:rsid w:val="64312E32"/>
    <w:rsid w:val="64320FF5"/>
    <w:rsid w:val="643A2169"/>
    <w:rsid w:val="643D2FD4"/>
    <w:rsid w:val="64471A74"/>
    <w:rsid w:val="644B4E03"/>
    <w:rsid w:val="64532984"/>
    <w:rsid w:val="6456310B"/>
    <w:rsid w:val="6459152E"/>
    <w:rsid w:val="64662850"/>
    <w:rsid w:val="6469358B"/>
    <w:rsid w:val="646C738E"/>
    <w:rsid w:val="64734854"/>
    <w:rsid w:val="64744E80"/>
    <w:rsid w:val="64772F25"/>
    <w:rsid w:val="647C7D04"/>
    <w:rsid w:val="64824A7B"/>
    <w:rsid w:val="6492314D"/>
    <w:rsid w:val="649911CF"/>
    <w:rsid w:val="64A8776B"/>
    <w:rsid w:val="64BD7780"/>
    <w:rsid w:val="64C56CC9"/>
    <w:rsid w:val="64C80D68"/>
    <w:rsid w:val="64D36271"/>
    <w:rsid w:val="64D87B38"/>
    <w:rsid w:val="64F27464"/>
    <w:rsid w:val="65131211"/>
    <w:rsid w:val="65186EE0"/>
    <w:rsid w:val="651B6B25"/>
    <w:rsid w:val="651B75ED"/>
    <w:rsid w:val="651C6FF9"/>
    <w:rsid w:val="65233494"/>
    <w:rsid w:val="65334044"/>
    <w:rsid w:val="65342DD4"/>
    <w:rsid w:val="65466699"/>
    <w:rsid w:val="654C629C"/>
    <w:rsid w:val="65500322"/>
    <w:rsid w:val="65563218"/>
    <w:rsid w:val="655A6DE9"/>
    <w:rsid w:val="655D2797"/>
    <w:rsid w:val="655F40C9"/>
    <w:rsid w:val="6569729F"/>
    <w:rsid w:val="65697E84"/>
    <w:rsid w:val="656A11D6"/>
    <w:rsid w:val="656B3AE5"/>
    <w:rsid w:val="656F502B"/>
    <w:rsid w:val="6571035E"/>
    <w:rsid w:val="657607C4"/>
    <w:rsid w:val="65852BED"/>
    <w:rsid w:val="65865DE6"/>
    <w:rsid w:val="65877E7D"/>
    <w:rsid w:val="6592323B"/>
    <w:rsid w:val="659B7200"/>
    <w:rsid w:val="65AE28FD"/>
    <w:rsid w:val="65B76E55"/>
    <w:rsid w:val="65B771C3"/>
    <w:rsid w:val="65B97019"/>
    <w:rsid w:val="65BE5D3F"/>
    <w:rsid w:val="65C65A59"/>
    <w:rsid w:val="65C97E21"/>
    <w:rsid w:val="65CD2D05"/>
    <w:rsid w:val="65D62954"/>
    <w:rsid w:val="65E02D2A"/>
    <w:rsid w:val="65F4362D"/>
    <w:rsid w:val="65F6704E"/>
    <w:rsid w:val="660D3EB2"/>
    <w:rsid w:val="661137D6"/>
    <w:rsid w:val="661D3CBF"/>
    <w:rsid w:val="6623108F"/>
    <w:rsid w:val="66452CC7"/>
    <w:rsid w:val="665905D4"/>
    <w:rsid w:val="665A1B48"/>
    <w:rsid w:val="66654DB5"/>
    <w:rsid w:val="6671725C"/>
    <w:rsid w:val="667750D4"/>
    <w:rsid w:val="66795654"/>
    <w:rsid w:val="667A08BE"/>
    <w:rsid w:val="667B661E"/>
    <w:rsid w:val="66852B06"/>
    <w:rsid w:val="668661DF"/>
    <w:rsid w:val="668666E4"/>
    <w:rsid w:val="668840BF"/>
    <w:rsid w:val="668B780D"/>
    <w:rsid w:val="669138CF"/>
    <w:rsid w:val="66AF6510"/>
    <w:rsid w:val="66B07591"/>
    <w:rsid w:val="66B96403"/>
    <w:rsid w:val="66BF0413"/>
    <w:rsid w:val="66C713F3"/>
    <w:rsid w:val="66CA1342"/>
    <w:rsid w:val="66CB1EBB"/>
    <w:rsid w:val="66CB274A"/>
    <w:rsid w:val="66E402F7"/>
    <w:rsid w:val="66E47148"/>
    <w:rsid w:val="66E67B25"/>
    <w:rsid w:val="66EA541F"/>
    <w:rsid w:val="66ED3ECB"/>
    <w:rsid w:val="66EF710F"/>
    <w:rsid w:val="66F024A0"/>
    <w:rsid w:val="67022AB5"/>
    <w:rsid w:val="67031851"/>
    <w:rsid w:val="670C3A4D"/>
    <w:rsid w:val="671B576D"/>
    <w:rsid w:val="6724527C"/>
    <w:rsid w:val="672A18C0"/>
    <w:rsid w:val="672F19FA"/>
    <w:rsid w:val="673024AE"/>
    <w:rsid w:val="673572EF"/>
    <w:rsid w:val="67392C33"/>
    <w:rsid w:val="67477C3F"/>
    <w:rsid w:val="67492C0F"/>
    <w:rsid w:val="674C00BC"/>
    <w:rsid w:val="67581D2E"/>
    <w:rsid w:val="67735BFD"/>
    <w:rsid w:val="678574E3"/>
    <w:rsid w:val="6789751E"/>
    <w:rsid w:val="67985077"/>
    <w:rsid w:val="67A3007D"/>
    <w:rsid w:val="67AB7CB0"/>
    <w:rsid w:val="67B171DC"/>
    <w:rsid w:val="67B77603"/>
    <w:rsid w:val="67B822AF"/>
    <w:rsid w:val="67C35C70"/>
    <w:rsid w:val="67C4026C"/>
    <w:rsid w:val="67C845EB"/>
    <w:rsid w:val="67E0462D"/>
    <w:rsid w:val="67E140F3"/>
    <w:rsid w:val="67E44ED5"/>
    <w:rsid w:val="67E63ECF"/>
    <w:rsid w:val="67F84B10"/>
    <w:rsid w:val="68002654"/>
    <w:rsid w:val="68042681"/>
    <w:rsid w:val="680B5C33"/>
    <w:rsid w:val="680C64C2"/>
    <w:rsid w:val="681A729D"/>
    <w:rsid w:val="682004FC"/>
    <w:rsid w:val="68253081"/>
    <w:rsid w:val="682E305E"/>
    <w:rsid w:val="682E4F63"/>
    <w:rsid w:val="682F1CC3"/>
    <w:rsid w:val="68362772"/>
    <w:rsid w:val="683D232A"/>
    <w:rsid w:val="683F7593"/>
    <w:rsid w:val="684545C1"/>
    <w:rsid w:val="68514A7D"/>
    <w:rsid w:val="685343D4"/>
    <w:rsid w:val="687725CE"/>
    <w:rsid w:val="687A206A"/>
    <w:rsid w:val="687D1296"/>
    <w:rsid w:val="68A929DF"/>
    <w:rsid w:val="68B26B1C"/>
    <w:rsid w:val="68B60E6E"/>
    <w:rsid w:val="68BC3AA8"/>
    <w:rsid w:val="68BC55E9"/>
    <w:rsid w:val="68C338CA"/>
    <w:rsid w:val="68C718A1"/>
    <w:rsid w:val="68D54C94"/>
    <w:rsid w:val="68DE16A6"/>
    <w:rsid w:val="68E76ABC"/>
    <w:rsid w:val="68E86995"/>
    <w:rsid w:val="68F819A4"/>
    <w:rsid w:val="68F95367"/>
    <w:rsid w:val="691E53FA"/>
    <w:rsid w:val="692752A5"/>
    <w:rsid w:val="693144DE"/>
    <w:rsid w:val="69314B9D"/>
    <w:rsid w:val="69353CCE"/>
    <w:rsid w:val="69396621"/>
    <w:rsid w:val="69397F13"/>
    <w:rsid w:val="69403515"/>
    <w:rsid w:val="69442A08"/>
    <w:rsid w:val="69455F7F"/>
    <w:rsid w:val="695042FE"/>
    <w:rsid w:val="69522666"/>
    <w:rsid w:val="696354DE"/>
    <w:rsid w:val="69636C7E"/>
    <w:rsid w:val="69676E3A"/>
    <w:rsid w:val="696B4460"/>
    <w:rsid w:val="69956AD3"/>
    <w:rsid w:val="69974D4E"/>
    <w:rsid w:val="69A23284"/>
    <w:rsid w:val="69A4444A"/>
    <w:rsid w:val="69AB2704"/>
    <w:rsid w:val="69B95223"/>
    <w:rsid w:val="69BC50D8"/>
    <w:rsid w:val="69BE17BC"/>
    <w:rsid w:val="69C57FD9"/>
    <w:rsid w:val="69DF7A36"/>
    <w:rsid w:val="69E37DB0"/>
    <w:rsid w:val="69E557B3"/>
    <w:rsid w:val="69F002A3"/>
    <w:rsid w:val="69F23158"/>
    <w:rsid w:val="69F51648"/>
    <w:rsid w:val="6A0971CE"/>
    <w:rsid w:val="6A0D7787"/>
    <w:rsid w:val="6A0E1014"/>
    <w:rsid w:val="6A0E1E38"/>
    <w:rsid w:val="6A0F6B19"/>
    <w:rsid w:val="6A18735B"/>
    <w:rsid w:val="6A1E0178"/>
    <w:rsid w:val="6A225A1D"/>
    <w:rsid w:val="6A242EE4"/>
    <w:rsid w:val="6A2B2E3B"/>
    <w:rsid w:val="6A2F42B3"/>
    <w:rsid w:val="6A4E6FDB"/>
    <w:rsid w:val="6A503648"/>
    <w:rsid w:val="6A515011"/>
    <w:rsid w:val="6A565675"/>
    <w:rsid w:val="6A587A62"/>
    <w:rsid w:val="6A6C7D90"/>
    <w:rsid w:val="6A6F79FA"/>
    <w:rsid w:val="6A925D4F"/>
    <w:rsid w:val="6A9350EC"/>
    <w:rsid w:val="6ABE4E86"/>
    <w:rsid w:val="6ABF2F3D"/>
    <w:rsid w:val="6ABF65A7"/>
    <w:rsid w:val="6ACB132A"/>
    <w:rsid w:val="6AD129F1"/>
    <w:rsid w:val="6AD919EF"/>
    <w:rsid w:val="6AE0717C"/>
    <w:rsid w:val="6AEA0261"/>
    <w:rsid w:val="6AF01EDC"/>
    <w:rsid w:val="6AF43D24"/>
    <w:rsid w:val="6AF44B01"/>
    <w:rsid w:val="6AF46E88"/>
    <w:rsid w:val="6AF73A5D"/>
    <w:rsid w:val="6AF90887"/>
    <w:rsid w:val="6B0440BE"/>
    <w:rsid w:val="6B090965"/>
    <w:rsid w:val="6B09685E"/>
    <w:rsid w:val="6B1558F4"/>
    <w:rsid w:val="6B1F68A7"/>
    <w:rsid w:val="6B2D6513"/>
    <w:rsid w:val="6B3F1E18"/>
    <w:rsid w:val="6B477700"/>
    <w:rsid w:val="6B4C5804"/>
    <w:rsid w:val="6B4E1F11"/>
    <w:rsid w:val="6B51459A"/>
    <w:rsid w:val="6B5D0C60"/>
    <w:rsid w:val="6B655A39"/>
    <w:rsid w:val="6B671DE5"/>
    <w:rsid w:val="6B88104A"/>
    <w:rsid w:val="6B8B4792"/>
    <w:rsid w:val="6B9E1239"/>
    <w:rsid w:val="6BA1429E"/>
    <w:rsid w:val="6BD20A84"/>
    <w:rsid w:val="6BD70D90"/>
    <w:rsid w:val="6BF82004"/>
    <w:rsid w:val="6BFD1328"/>
    <w:rsid w:val="6C0B6E86"/>
    <w:rsid w:val="6C0C5B82"/>
    <w:rsid w:val="6C0D72A2"/>
    <w:rsid w:val="6C172DDD"/>
    <w:rsid w:val="6C1B047A"/>
    <w:rsid w:val="6C2A07F7"/>
    <w:rsid w:val="6C2C58E9"/>
    <w:rsid w:val="6C2E6E33"/>
    <w:rsid w:val="6C3013E8"/>
    <w:rsid w:val="6C395D3E"/>
    <w:rsid w:val="6C3E2B17"/>
    <w:rsid w:val="6C3E7B12"/>
    <w:rsid w:val="6C3F15D2"/>
    <w:rsid w:val="6C417A7F"/>
    <w:rsid w:val="6C493F71"/>
    <w:rsid w:val="6C4E6CFA"/>
    <w:rsid w:val="6C5E0B09"/>
    <w:rsid w:val="6C79075F"/>
    <w:rsid w:val="6C881931"/>
    <w:rsid w:val="6C955DF3"/>
    <w:rsid w:val="6C962750"/>
    <w:rsid w:val="6C98093D"/>
    <w:rsid w:val="6CAA1DE4"/>
    <w:rsid w:val="6CAD6046"/>
    <w:rsid w:val="6CB37042"/>
    <w:rsid w:val="6CB62735"/>
    <w:rsid w:val="6CBD66F9"/>
    <w:rsid w:val="6CD72610"/>
    <w:rsid w:val="6CDC25FE"/>
    <w:rsid w:val="6CDE519B"/>
    <w:rsid w:val="6CE15CD8"/>
    <w:rsid w:val="6CE82C8E"/>
    <w:rsid w:val="6CEA4680"/>
    <w:rsid w:val="6CEB7872"/>
    <w:rsid w:val="6D020BDF"/>
    <w:rsid w:val="6D0E65CC"/>
    <w:rsid w:val="6D1A02BF"/>
    <w:rsid w:val="6D1B01EE"/>
    <w:rsid w:val="6D220AE8"/>
    <w:rsid w:val="6D3371B9"/>
    <w:rsid w:val="6D3C3DEC"/>
    <w:rsid w:val="6D412327"/>
    <w:rsid w:val="6D426B88"/>
    <w:rsid w:val="6D44048C"/>
    <w:rsid w:val="6D4D6D28"/>
    <w:rsid w:val="6D5002D6"/>
    <w:rsid w:val="6D5239F7"/>
    <w:rsid w:val="6D536567"/>
    <w:rsid w:val="6D591824"/>
    <w:rsid w:val="6D7A28B0"/>
    <w:rsid w:val="6D7E5C43"/>
    <w:rsid w:val="6D7F3980"/>
    <w:rsid w:val="6D845F5A"/>
    <w:rsid w:val="6D93400A"/>
    <w:rsid w:val="6D9E6E15"/>
    <w:rsid w:val="6DA20F6B"/>
    <w:rsid w:val="6DA245B9"/>
    <w:rsid w:val="6DA545D7"/>
    <w:rsid w:val="6DB640D6"/>
    <w:rsid w:val="6DBA395D"/>
    <w:rsid w:val="6DBB4E5A"/>
    <w:rsid w:val="6DBC1A80"/>
    <w:rsid w:val="6DBF102B"/>
    <w:rsid w:val="6DBF344C"/>
    <w:rsid w:val="6DC23036"/>
    <w:rsid w:val="6DCB594C"/>
    <w:rsid w:val="6DCB739D"/>
    <w:rsid w:val="6DCE32E4"/>
    <w:rsid w:val="6DCE54E2"/>
    <w:rsid w:val="6DD040AB"/>
    <w:rsid w:val="6DE93F2D"/>
    <w:rsid w:val="6DF36E56"/>
    <w:rsid w:val="6E056B89"/>
    <w:rsid w:val="6E067A48"/>
    <w:rsid w:val="6E085971"/>
    <w:rsid w:val="6E112186"/>
    <w:rsid w:val="6E261B22"/>
    <w:rsid w:val="6E2D0331"/>
    <w:rsid w:val="6E2F3999"/>
    <w:rsid w:val="6E37648B"/>
    <w:rsid w:val="6E39337B"/>
    <w:rsid w:val="6E3B3EE0"/>
    <w:rsid w:val="6E400359"/>
    <w:rsid w:val="6E457F23"/>
    <w:rsid w:val="6E4932E9"/>
    <w:rsid w:val="6E4D1800"/>
    <w:rsid w:val="6E4E1347"/>
    <w:rsid w:val="6E4F6587"/>
    <w:rsid w:val="6E516DEE"/>
    <w:rsid w:val="6E5506E5"/>
    <w:rsid w:val="6E5A5226"/>
    <w:rsid w:val="6E5B1B24"/>
    <w:rsid w:val="6E5E11B6"/>
    <w:rsid w:val="6E5F4B11"/>
    <w:rsid w:val="6E6228B0"/>
    <w:rsid w:val="6E67111E"/>
    <w:rsid w:val="6E690C60"/>
    <w:rsid w:val="6E7227C1"/>
    <w:rsid w:val="6E754A7B"/>
    <w:rsid w:val="6E9558EE"/>
    <w:rsid w:val="6E987B33"/>
    <w:rsid w:val="6EA87A78"/>
    <w:rsid w:val="6EC51918"/>
    <w:rsid w:val="6ECB04D7"/>
    <w:rsid w:val="6ECC098B"/>
    <w:rsid w:val="6ECF2148"/>
    <w:rsid w:val="6ED06F0C"/>
    <w:rsid w:val="6ED3724D"/>
    <w:rsid w:val="6EDC540C"/>
    <w:rsid w:val="6EDC79C2"/>
    <w:rsid w:val="6EDE5EA5"/>
    <w:rsid w:val="6EDF18BE"/>
    <w:rsid w:val="6EE171F8"/>
    <w:rsid w:val="6EEE7C1D"/>
    <w:rsid w:val="6EEF6FE2"/>
    <w:rsid w:val="6EFF2195"/>
    <w:rsid w:val="6F113FE6"/>
    <w:rsid w:val="6F1628D1"/>
    <w:rsid w:val="6F196D2F"/>
    <w:rsid w:val="6F234695"/>
    <w:rsid w:val="6F2A23AD"/>
    <w:rsid w:val="6F305C9F"/>
    <w:rsid w:val="6F44312B"/>
    <w:rsid w:val="6F5000C0"/>
    <w:rsid w:val="6F583AD3"/>
    <w:rsid w:val="6F5A2771"/>
    <w:rsid w:val="6F5B0D0C"/>
    <w:rsid w:val="6F6E3489"/>
    <w:rsid w:val="6F74022E"/>
    <w:rsid w:val="6F780FAB"/>
    <w:rsid w:val="6F80518A"/>
    <w:rsid w:val="6F892EC5"/>
    <w:rsid w:val="6F8F6E55"/>
    <w:rsid w:val="6F9B71E1"/>
    <w:rsid w:val="6FA203E7"/>
    <w:rsid w:val="6FA46B97"/>
    <w:rsid w:val="6FA567DA"/>
    <w:rsid w:val="6FA97229"/>
    <w:rsid w:val="6FB52EFE"/>
    <w:rsid w:val="6FBA03F5"/>
    <w:rsid w:val="6FBA53FA"/>
    <w:rsid w:val="6FC3589B"/>
    <w:rsid w:val="6FCE0B0B"/>
    <w:rsid w:val="6FD26879"/>
    <w:rsid w:val="6FD51C5D"/>
    <w:rsid w:val="6FDC2D06"/>
    <w:rsid w:val="6FE6398D"/>
    <w:rsid w:val="6FE851A7"/>
    <w:rsid w:val="6FEA0AE3"/>
    <w:rsid w:val="6FEB6879"/>
    <w:rsid w:val="6FEC0EA6"/>
    <w:rsid w:val="6FF63CD1"/>
    <w:rsid w:val="6FF97357"/>
    <w:rsid w:val="6FFC5813"/>
    <w:rsid w:val="6FFD3C4E"/>
    <w:rsid w:val="70012EB0"/>
    <w:rsid w:val="70053004"/>
    <w:rsid w:val="700625E5"/>
    <w:rsid w:val="70066078"/>
    <w:rsid w:val="70076DDD"/>
    <w:rsid w:val="700A4F41"/>
    <w:rsid w:val="70162298"/>
    <w:rsid w:val="701734CF"/>
    <w:rsid w:val="702E09C1"/>
    <w:rsid w:val="704D709D"/>
    <w:rsid w:val="70503AFD"/>
    <w:rsid w:val="70515128"/>
    <w:rsid w:val="706146CC"/>
    <w:rsid w:val="70640A2B"/>
    <w:rsid w:val="706F1CCC"/>
    <w:rsid w:val="706F5998"/>
    <w:rsid w:val="707B24A6"/>
    <w:rsid w:val="70806DCA"/>
    <w:rsid w:val="708256DD"/>
    <w:rsid w:val="70972B26"/>
    <w:rsid w:val="70A01E80"/>
    <w:rsid w:val="70AB7EBB"/>
    <w:rsid w:val="70B56E17"/>
    <w:rsid w:val="70BE2029"/>
    <w:rsid w:val="70C24B0C"/>
    <w:rsid w:val="70C6459F"/>
    <w:rsid w:val="70CA2333"/>
    <w:rsid w:val="70CC2714"/>
    <w:rsid w:val="70CD383C"/>
    <w:rsid w:val="70D57F0B"/>
    <w:rsid w:val="70D87CAF"/>
    <w:rsid w:val="70E63CF2"/>
    <w:rsid w:val="70EE00CD"/>
    <w:rsid w:val="70FB131B"/>
    <w:rsid w:val="71047C98"/>
    <w:rsid w:val="710D426A"/>
    <w:rsid w:val="710E1173"/>
    <w:rsid w:val="710E30D5"/>
    <w:rsid w:val="710F231A"/>
    <w:rsid w:val="711A4D86"/>
    <w:rsid w:val="711E2ED5"/>
    <w:rsid w:val="712515AF"/>
    <w:rsid w:val="712F6DFC"/>
    <w:rsid w:val="713A0C3A"/>
    <w:rsid w:val="713D3917"/>
    <w:rsid w:val="713E0616"/>
    <w:rsid w:val="71403E42"/>
    <w:rsid w:val="714114AD"/>
    <w:rsid w:val="714A6C38"/>
    <w:rsid w:val="714A7EE9"/>
    <w:rsid w:val="71570246"/>
    <w:rsid w:val="715B38AB"/>
    <w:rsid w:val="715C445E"/>
    <w:rsid w:val="715D52A5"/>
    <w:rsid w:val="716230AA"/>
    <w:rsid w:val="716A649F"/>
    <w:rsid w:val="717B0D7F"/>
    <w:rsid w:val="717F5A7C"/>
    <w:rsid w:val="718453AF"/>
    <w:rsid w:val="71864348"/>
    <w:rsid w:val="71877C22"/>
    <w:rsid w:val="718E2108"/>
    <w:rsid w:val="71930E24"/>
    <w:rsid w:val="719977D0"/>
    <w:rsid w:val="71A14E1B"/>
    <w:rsid w:val="71A70F58"/>
    <w:rsid w:val="71BF705F"/>
    <w:rsid w:val="71C2019C"/>
    <w:rsid w:val="71C3390D"/>
    <w:rsid w:val="71C33F79"/>
    <w:rsid w:val="71C82E06"/>
    <w:rsid w:val="71CD0934"/>
    <w:rsid w:val="71E65469"/>
    <w:rsid w:val="71E92459"/>
    <w:rsid w:val="71E92A0A"/>
    <w:rsid w:val="71EC30FD"/>
    <w:rsid w:val="71F12EFB"/>
    <w:rsid w:val="71FB6E18"/>
    <w:rsid w:val="7202734A"/>
    <w:rsid w:val="720475E4"/>
    <w:rsid w:val="720B1FDE"/>
    <w:rsid w:val="72145FCD"/>
    <w:rsid w:val="72170B46"/>
    <w:rsid w:val="722841EF"/>
    <w:rsid w:val="723A46F9"/>
    <w:rsid w:val="7251127F"/>
    <w:rsid w:val="725447BF"/>
    <w:rsid w:val="72585596"/>
    <w:rsid w:val="725A753E"/>
    <w:rsid w:val="725B2D7A"/>
    <w:rsid w:val="72626AF2"/>
    <w:rsid w:val="72672F0D"/>
    <w:rsid w:val="7273059A"/>
    <w:rsid w:val="727663FA"/>
    <w:rsid w:val="7281734F"/>
    <w:rsid w:val="728754E1"/>
    <w:rsid w:val="728A763C"/>
    <w:rsid w:val="7292615D"/>
    <w:rsid w:val="72A37407"/>
    <w:rsid w:val="72A558B1"/>
    <w:rsid w:val="72BF552A"/>
    <w:rsid w:val="72C27785"/>
    <w:rsid w:val="72C5705B"/>
    <w:rsid w:val="72C907F8"/>
    <w:rsid w:val="72CD2A09"/>
    <w:rsid w:val="72CF6547"/>
    <w:rsid w:val="72D85E45"/>
    <w:rsid w:val="72DB6689"/>
    <w:rsid w:val="72DC63A8"/>
    <w:rsid w:val="72DD17F6"/>
    <w:rsid w:val="72E76D4F"/>
    <w:rsid w:val="72E840CD"/>
    <w:rsid w:val="72EF2773"/>
    <w:rsid w:val="72F13CF1"/>
    <w:rsid w:val="730026B4"/>
    <w:rsid w:val="73107E45"/>
    <w:rsid w:val="731E4A55"/>
    <w:rsid w:val="732342AC"/>
    <w:rsid w:val="733224CD"/>
    <w:rsid w:val="73375812"/>
    <w:rsid w:val="733809DC"/>
    <w:rsid w:val="733923C2"/>
    <w:rsid w:val="733E661C"/>
    <w:rsid w:val="73472BC1"/>
    <w:rsid w:val="734C1ABD"/>
    <w:rsid w:val="734C5576"/>
    <w:rsid w:val="734F4A70"/>
    <w:rsid w:val="7351179D"/>
    <w:rsid w:val="73577975"/>
    <w:rsid w:val="735C10C5"/>
    <w:rsid w:val="735D458C"/>
    <w:rsid w:val="73611119"/>
    <w:rsid w:val="73634AED"/>
    <w:rsid w:val="73652B87"/>
    <w:rsid w:val="736E471E"/>
    <w:rsid w:val="737128B4"/>
    <w:rsid w:val="73774F2C"/>
    <w:rsid w:val="7382203F"/>
    <w:rsid w:val="73843D56"/>
    <w:rsid w:val="73865915"/>
    <w:rsid w:val="738D1414"/>
    <w:rsid w:val="73A63194"/>
    <w:rsid w:val="73A939FC"/>
    <w:rsid w:val="73AB55A3"/>
    <w:rsid w:val="73B3240F"/>
    <w:rsid w:val="73B45874"/>
    <w:rsid w:val="73B8437C"/>
    <w:rsid w:val="73BA2203"/>
    <w:rsid w:val="73C41424"/>
    <w:rsid w:val="73DC637F"/>
    <w:rsid w:val="73ED5DEC"/>
    <w:rsid w:val="73EF7D57"/>
    <w:rsid w:val="73FB022F"/>
    <w:rsid w:val="73FF2F46"/>
    <w:rsid w:val="740320DF"/>
    <w:rsid w:val="74094537"/>
    <w:rsid w:val="740D6E75"/>
    <w:rsid w:val="7421773F"/>
    <w:rsid w:val="74225324"/>
    <w:rsid w:val="74276341"/>
    <w:rsid w:val="743631C5"/>
    <w:rsid w:val="74364182"/>
    <w:rsid w:val="74372B5E"/>
    <w:rsid w:val="743D4AB4"/>
    <w:rsid w:val="74461FD1"/>
    <w:rsid w:val="744667E2"/>
    <w:rsid w:val="74551B77"/>
    <w:rsid w:val="745B3784"/>
    <w:rsid w:val="746244D6"/>
    <w:rsid w:val="74624FF9"/>
    <w:rsid w:val="74657B3F"/>
    <w:rsid w:val="747661CC"/>
    <w:rsid w:val="74833AEC"/>
    <w:rsid w:val="7488734B"/>
    <w:rsid w:val="748D49D4"/>
    <w:rsid w:val="749E6FB9"/>
    <w:rsid w:val="74B0492D"/>
    <w:rsid w:val="74B347F6"/>
    <w:rsid w:val="74B7299A"/>
    <w:rsid w:val="74B949D5"/>
    <w:rsid w:val="74BD74A1"/>
    <w:rsid w:val="74C42228"/>
    <w:rsid w:val="74CD6F9C"/>
    <w:rsid w:val="74D329F4"/>
    <w:rsid w:val="74D52201"/>
    <w:rsid w:val="74DA1255"/>
    <w:rsid w:val="74DC152D"/>
    <w:rsid w:val="74EA1FA9"/>
    <w:rsid w:val="74F11721"/>
    <w:rsid w:val="74FA0AB3"/>
    <w:rsid w:val="74FF55ED"/>
    <w:rsid w:val="74FF5DCD"/>
    <w:rsid w:val="75060219"/>
    <w:rsid w:val="75061E6E"/>
    <w:rsid w:val="75082BC8"/>
    <w:rsid w:val="750A6C52"/>
    <w:rsid w:val="750A7462"/>
    <w:rsid w:val="75213F9C"/>
    <w:rsid w:val="752B21AE"/>
    <w:rsid w:val="7532712B"/>
    <w:rsid w:val="753D5A42"/>
    <w:rsid w:val="753F5EB4"/>
    <w:rsid w:val="754610D4"/>
    <w:rsid w:val="75481556"/>
    <w:rsid w:val="75613BA8"/>
    <w:rsid w:val="756553A5"/>
    <w:rsid w:val="75775652"/>
    <w:rsid w:val="7587639C"/>
    <w:rsid w:val="758B506D"/>
    <w:rsid w:val="758F762F"/>
    <w:rsid w:val="75916815"/>
    <w:rsid w:val="759468A5"/>
    <w:rsid w:val="75955A70"/>
    <w:rsid w:val="759E3FBA"/>
    <w:rsid w:val="75B627A8"/>
    <w:rsid w:val="75B754E4"/>
    <w:rsid w:val="75B9153D"/>
    <w:rsid w:val="75D34368"/>
    <w:rsid w:val="75DB24E6"/>
    <w:rsid w:val="75DB56FE"/>
    <w:rsid w:val="75DC1F3B"/>
    <w:rsid w:val="75E1461A"/>
    <w:rsid w:val="75EC45EE"/>
    <w:rsid w:val="75EC6446"/>
    <w:rsid w:val="75EF1631"/>
    <w:rsid w:val="75F02BDF"/>
    <w:rsid w:val="75F12D5F"/>
    <w:rsid w:val="75F26857"/>
    <w:rsid w:val="75FD25C2"/>
    <w:rsid w:val="76025396"/>
    <w:rsid w:val="760457CC"/>
    <w:rsid w:val="760824C5"/>
    <w:rsid w:val="760A5070"/>
    <w:rsid w:val="761B3F72"/>
    <w:rsid w:val="76252D5A"/>
    <w:rsid w:val="76272258"/>
    <w:rsid w:val="763238A2"/>
    <w:rsid w:val="76360611"/>
    <w:rsid w:val="763706DB"/>
    <w:rsid w:val="76391FEF"/>
    <w:rsid w:val="763D1110"/>
    <w:rsid w:val="764A67A9"/>
    <w:rsid w:val="76545169"/>
    <w:rsid w:val="76565408"/>
    <w:rsid w:val="765947B3"/>
    <w:rsid w:val="765B5E11"/>
    <w:rsid w:val="767701B7"/>
    <w:rsid w:val="76820A0B"/>
    <w:rsid w:val="768975D8"/>
    <w:rsid w:val="768B2536"/>
    <w:rsid w:val="768B60B5"/>
    <w:rsid w:val="76947C5F"/>
    <w:rsid w:val="76A618E7"/>
    <w:rsid w:val="76AB3734"/>
    <w:rsid w:val="76B2027B"/>
    <w:rsid w:val="76BE1B32"/>
    <w:rsid w:val="76CD2F15"/>
    <w:rsid w:val="76D37EBA"/>
    <w:rsid w:val="76D82531"/>
    <w:rsid w:val="76DE0545"/>
    <w:rsid w:val="76E05D60"/>
    <w:rsid w:val="76E46E7A"/>
    <w:rsid w:val="76E5212C"/>
    <w:rsid w:val="77070ADF"/>
    <w:rsid w:val="770857A6"/>
    <w:rsid w:val="770B5DDD"/>
    <w:rsid w:val="77127213"/>
    <w:rsid w:val="771C5BE4"/>
    <w:rsid w:val="771D6A19"/>
    <w:rsid w:val="772A3C56"/>
    <w:rsid w:val="7735636F"/>
    <w:rsid w:val="773C5FDE"/>
    <w:rsid w:val="77433BA4"/>
    <w:rsid w:val="774824DF"/>
    <w:rsid w:val="77485AAD"/>
    <w:rsid w:val="774B3174"/>
    <w:rsid w:val="775D7C10"/>
    <w:rsid w:val="776C74B0"/>
    <w:rsid w:val="776D5DBE"/>
    <w:rsid w:val="776F2C03"/>
    <w:rsid w:val="777F712B"/>
    <w:rsid w:val="77851089"/>
    <w:rsid w:val="779304B1"/>
    <w:rsid w:val="779864B6"/>
    <w:rsid w:val="779D0B76"/>
    <w:rsid w:val="779E052A"/>
    <w:rsid w:val="77A44C57"/>
    <w:rsid w:val="77A977D2"/>
    <w:rsid w:val="77AA52CB"/>
    <w:rsid w:val="77B05BF0"/>
    <w:rsid w:val="77B20F2C"/>
    <w:rsid w:val="77B30866"/>
    <w:rsid w:val="77B71863"/>
    <w:rsid w:val="77B8126D"/>
    <w:rsid w:val="77C33697"/>
    <w:rsid w:val="77C53742"/>
    <w:rsid w:val="77C73854"/>
    <w:rsid w:val="77D6769D"/>
    <w:rsid w:val="77E777DD"/>
    <w:rsid w:val="77E9593A"/>
    <w:rsid w:val="77E962EC"/>
    <w:rsid w:val="77EA7570"/>
    <w:rsid w:val="77EF3B51"/>
    <w:rsid w:val="780726EC"/>
    <w:rsid w:val="78087689"/>
    <w:rsid w:val="7810008D"/>
    <w:rsid w:val="781A6738"/>
    <w:rsid w:val="78213837"/>
    <w:rsid w:val="78263602"/>
    <w:rsid w:val="782B64F3"/>
    <w:rsid w:val="783028B9"/>
    <w:rsid w:val="78304E8A"/>
    <w:rsid w:val="78322618"/>
    <w:rsid w:val="78410281"/>
    <w:rsid w:val="78500DFF"/>
    <w:rsid w:val="7863781B"/>
    <w:rsid w:val="786E1C4B"/>
    <w:rsid w:val="787F6CA9"/>
    <w:rsid w:val="788146A0"/>
    <w:rsid w:val="78853146"/>
    <w:rsid w:val="788B6E94"/>
    <w:rsid w:val="788F2250"/>
    <w:rsid w:val="78912678"/>
    <w:rsid w:val="789F0D5F"/>
    <w:rsid w:val="78A21EFD"/>
    <w:rsid w:val="78AF79AD"/>
    <w:rsid w:val="78AF7DC0"/>
    <w:rsid w:val="78B12E53"/>
    <w:rsid w:val="78BA464D"/>
    <w:rsid w:val="78C211C8"/>
    <w:rsid w:val="78C4548E"/>
    <w:rsid w:val="78D0666B"/>
    <w:rsid w:val="78DB1F17"/>
    <w:rsid w:val="78E0583F"/>
    <w:rsid w:val="78E24DCA"/>
    <w:rsid w:val="78EF232B"/>
    <w:rsid w:val="78F31307"/>
    <w:rsid w:val="78F36A06"/>
    <w:rsid w:val="78F46155"/>
    <w:rsid w:val="78FA6DFF"/>
    <w:rsid w:val="790672FD"/>
    <w:rsid w:val="79085FA6"/>
    <w:rsid w:val="79173608"/>
    <w:rsid w:val="79185389"/>
    <w:rsid w:val="79243239"/>
    <w:rsid w:val="792A05C6"/>
    <w:rsid w:val="792A1638"/>
    <w:rsid w:val="792D73D6"/>
    <w:rsid w:val="79341B6E"/>
    <w:rsid w:val="79431850"/>
    <w:rsid w:val="794C2376"/>
    <w:rsid w:val="79572FE3"/>
    <w:rsid w:val="795D3D93"/>
    <w:rsid w:val="79637F17"/>
    <w:rsid w:val="79714FB5"/>
    <w:rsid w:val="7979659E"/>
    <w:rsid w:val="797A5398"/>
    <w:rsid w:val="79976E24"/>
    <w:rsid w:val="79A12FD4"/>
    <w:rsid w:val="79A14B8E"/>
    <w:rsid w:val="79C705A9"/>
    <w:rsid w:val="79D81BBB"/>
    <w:rsid w:val="79DA7B58"/>
    <w:rsid w:val="79E45C07"/>
    <w:rsid w:val="79E913E6"/>
    <w:rsid w:val="79F117C3"/>
    <w:rsid w:val="79F43134"/>
    <w:rsid w:val="79F73D74"/>
    <w:rsid w:val="79F9378C"/>
    <w:rsid w:val="7A072ED4"/>
    <w:rsid w:val="7A131930"/>
    <w:rsid w:val="7A252A8D"/>
    <w:rsid w:val="7A2E33EB"/>
    <w:rsid w:val="7A301589"/>
    <w:rsid w:val="7A3E4060"/>
    <w:rsid w:val="7A4119B6"/>
    <w:rsid w:val="7A412D16"/>
    <w:rsid w:val="7A4561F0"/>
    <w:rsid w:val="7A482827"/>
    <w:rsid w:val="7A482E17"/>
    <w:rsid w:val="7A496D94"/>
    <w:rsid w:val="7A584D66"/>
    <w:rsid w:val="7A5D65C2"/>
    <w:rsid w:val="7A6225FA"/>
    <w:rsid w:val="7A6674EF"/>
    <w:rsid w:val="7A694CDB"/>
    <w:rsid w:val="7A6E5CE4"/>
    <w:rsid w:val="7A80306D"/>
    <w:rsid w:val="7A820BA9"/>
    <w:rsid w:val="7A8C21D4"/>
    <w:rsid w:val="7A972F3A"/>
    <w:rsid w:val="7AB558D5"/>
    <w:rsid w:val="7ABF3418"/>
    <w:rsid w:val="7AC276D3"/>
    <w:rsid w:val="7AC419C4"/>
    <w:rsid w:val="7AC84109"/>
    <w:rsid w:val="7AD107B8"/>
    <w:rsid w:val="7AD1264C"/>
    <w:rsid w:val="7AD50C52"/>
    <w:rsid w:val="7AD825AC"/>
    <w:rsid w:val="7ADA1088"/>
    <w:rsid w:val="7ADA72DC"/>
    <w:rsid w:val="7ADC6FAB"/>
    <w:rsid w:val="7AF5118B"/>
    <w:rsid w:val="7AF9623C"/>
    <w:rsid w:val="7AFD4EB6"/>
    <w:rsid w:val="7AFE6796"/>
    <w:rsid w:val="7B014AA3"/>
    <w:rsid w:val="7B05489B"/>
    <w:rsid w:val="7B0970DA"/>
    <w:rsid w:val="7B0D5167"/>
    <w:rsid w:val="7B1039F6"/>
    <w:rsid w:val="7B107AF7"/>
    <w:rsid w:val="7B184788"/>
    <w:rsid w:val="7B2853B0"/>
    <w:rsid w:val="7B3D5F42"/>
    <w:rsid w:val="7B3D6A57"/>
    <w:rsid w:val="7B440905"/>
    <w:rsid w:val="7B441D48"/>
    <w:rsid w:val="7B4C5586"/>
    <w:rsid w:val="7B4E04EC"/>
    <w:rsid w:val="7B5034DA"/>
    <w:rsid w:val="7B506DC2"/>
    <w:rsid w:val="7B6604FE"/>
    <w:rsid w:val="7B7138DA"/>
    <w:rsid w:val="7B713F04"/>
    <w:rsid w:val="7B740964"/>
    <w:rsid w:val="7B7E7759"/>
    <w:rsid w:val="7B8266BE"/>
    <w:rsid w:val="7B8452C5"/>
    <w:rsid w:val="7B8D05F2"/>
    <w:rsid w:val="7B944D22"/>
    <w:rsid w:val="7B9C1D77"/>
    <w:rsid w:val="7B9D300B"/>
    <w:rsid w:val="7BA336C1"/>
    <w:rsid w:val="7BB633C5"/>
    <w:rsid w:val="7BC9363D"/>
    <w:rsid w:val="7BCF3429"/>
    <w:rsid w:val="7BCF3F52"/>
    <w:rsid w:val="7BE111F0"/>
    <w:rsid w:val="7BE7240C"/>
    <w:rsid w:val="7BE971A7"/>
    <w:rsid w:val="7BEB7553"/>
    <w:rsid w:val="7BEC674D"/>
    <w:rsid w:val="7BFC6F9A"/>
    <w:rsid w:val="7BFD0D9D"/>
    <w:rsid w:val="7C014F6F"/>
    <w:rsid w:val="7C062812"/>
    <w:rsid w:val="7C141F6C"/>
    <w:rsid w:val="7C1F76E7"/>
    <w:rsid w:val="7C22580B"/>
    <w:rsid w:val="7C2304CA"/>
    <w:rsid w:val="7C39484C"/>
    <w:rsid w:val="7C3E19CC"/>
    <w:rsid w:val="7C4249B9"/>
    <w:rsid w:val="7C46784E"/>
    <w:rsid w:val="7C497473"/>
    <w:rsid w:val="7C5954C0"/>
    <w:rsid w:val="7C5A7E35"/>
    <w:rsid w:val="7C5D420A"/>
    <w:rsid w:val="7C623296"/>
    <w:rsid w:val="7C737D50"/>
    <w:rsid w:val="7C74324C"/>
    <w:rsid w:val="7C7B05AA"/>
    <w:rsid w:val="7C7D26AE"/>
    <w:rsid w:val="7C881C9F"/>
    <w:rsid w:val="7C914B7B"/>
    <w:rsid w:val="7CA03296"/>
    <w:rsid w:val="7CB22C5D"/>
    <w:rsid w:val="7CB9321A"/>
    <w:rsid w:val="7CBB5972"/>
    <w:rsid w:val="7CBD10F0"/>
    <w:rsid w:val="7CBD3C70"/>
    <w:rsid w:val="7CBE678A"/>
    <w:rsid w:val="7CCB5CC2"/>
    <w:rsid w:val="7CCE2A67"/>
    <w:rsid w:val="7CDF63A5"/>
    <w:rsid w:val="7CE626BE"/>
    <w:rsid w:val="7CFC6BB8"/>
    <w:rsid w:val="7D08295E"/>
    <w:rsid w:val="7D156EAB"/>
    <w:rsid w:val="7D1936FA"/>
    <w:rsid w:val="7D1D2B87"/>
    <w:rsid w:val="7D2837E7"/>
    <w:rsid w:val="7D2E1C7E"/>
    <w:rsid w:val="7D2E3009"/>
    <w:rsid w:val="7D366C33"/>
    <w:rsid w:val="7D3960CB"/>
    <w:rsid w:val="7D434A2A"/>
    <w:rsid w:val="7D4350A2"/>
    <w:rsid w:val="7D456842"/>
    <w:rsid w:val="7D493025"/>
    <w:rsid w:val="7D4A2DA7"/>
    <w:rsid w:val="7D4D1CAC"/>
    <w:rsid w:val="7D4F5CFC"/>
    <w:rsid w:val="7D591E12"/>
    <w:rsid w:val="7D7718C4"/>
    <w:rsid w:val="7D814F08"/>
    <w:rsid w:val="7D830363"/>
    <w:rsid w:val="7D8D519D"/>
    <w:rsid w:val="7D976CC4"/>
    <w:rsid w:val="7D9C6E42"/>
    <w:rsid w:val="7D9F7237"/>
    <w:rsid w:val="7DAC78F8"/>
    <w:rsid w:val="7DAE1E0D"/>
    <w:rsid w:val="7DB1110B"/>
    <w:rsid w:val="7DCA41D5"/>
    <w:rsid w:val="7DCE1328"/>
    <w:rsid w:val="7DCE2DF5"/>
    <w:rsid w:val="7DDA5B31"/>
    <w:rsid w:val="7DDE1618"/>
    <w:rsid w:val="7DE52496"/>
    <w:rsid w:val="7DE64C76"/>
    <w:rsid w:val="7DE93AA4"/>
    <w:rsid w:val="7DEF3A50"/>
    <w:rsid w:val="7E0B0BEC"/>
    <w:rsid w:val="7E117486"/>
    <w:rsid w:val="7E126B93"/>
    <w:rsid w:val="7E230D2C"/>
    <w:rsid w:val="7E2C3CBE"/>
    <w:rsid w:val="7E2F7BB4"/>
    <w:rsid w:val="7E4121D8"/>
    <w:rsid w:val="7E492101"/>
    <w:rsid w:val="7E4D6A0D"/>
    <w:rsid w:val="7E641971"/>
    <w:rsid w:val="7E770DF6"/>
    <w:rsid w:val="7E847DD0"/>
    <w:rsid w:val="7E8A4DF7"/>
    <w:rsid w:val="7E8B055B"/>
    <w:rsid w:val="7E901ADD"/>
    <w:rsid w:val="7E9132FA"/>
    <w:rsid w:val="7E9A6086"/>
    <w:rsid w:val="7E9E1D3B"/>
    <w:rsid w:val="7EA032E7"/>
    <w:rsid w:val="7EAF4532"/>
    <w:rsid w:val="7EB2732B"/>
    <w:rsid w:val="7EB27EE0"/>
    <w:rsid w:val="7EBA4191"/>
    <w:rsid w:val="7EC04042"/>
    <w:rsid w:val="7EC57345"/>
    <w:rsid w:val="7EDC37C2"/>
    <w:rsid w:val="7EE92D31"/>
    <w:rsid w:val="7EEF134F"/>
    <w:rsid w:val="7F0227B9"/>
    <w:rsid w:val="7F045486"/>
    <w:rsid w:val="7F0D7ABF"/>
    <w:rsid w:val="7F0E1D5F"/>
    <w:rsid w:val="7F246E35"/>
    <w:rsid w:val="7F334F7F"/>
    <w:rsid w:val="7F374060"/>
    <w:rsid w:val="7F3F731B"/>
    <w:rsid w:val="7F405EC5"/>
    <w:rsid w:val="7F47068A"/>
    <w:rsid w:val="7F4C4CEF"/>
    <w:rsid w:val="7F642631"/>
    <w:rsid w:val="7F67327B"/>
    <w:rsid w:val="7F6977E9"/>
    <w:rsid w:val="7F725AE5"/>
    <w:rsid w:val="7F765A7E"/>
    <w:rsid w:val="7F785ECA"/>
    <w:rsid w:val="7F7E65D0"/>
    <w:rsid w:val="7F816899"/>
    <w:rsid w:val="7F8D4C83"/>
    <w:rsid w:val="7F8E240C"/>
    <w:rsid w:val="7F963B04"/>
    <w:rsid w:val="7FAD0AF9"/>
    <w:rsid w:val="7FAD2419"/>
    <w:rsid w:val="7FC25ED8"/>
    <w:rsid w:val="7FC31E8F"/>
    <w:rsid w:val="7FCE1A31"/>
    <w:rsid w:val="7FD70D95"/>
    <w:rsid w:val="7FE46EF6"/>
    <w:rsid w:val="7FE51A6C"/>
    <w:rsid w:val="7FE67CCD"/>
    <w:rsid w:val="7FEB1E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qFormat="1"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qFormat="1" w:unhideWhenUsed="0" w:uiPriority="0" w:semiHidden="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仿宋" w:cs="Times New Roman"/>
      <w:sz w:val="24"/>
      <w:lang w:val="en-US" w:eastAsia="zh-CN" w:bidi="ar-SA"/>
    </w:rPr>
  </w:style>
  <w:style w:type="paragraph" w:styleId="2">
    <w:name w:val="heading 1"/>
    <w:basedOn w:val="1"/>
    <w:next w:val="1"/>
    <w:link w:val="213"/>
    <w:qFormat/>
    <w:uiPriority w:val="0"/>
    <w:pPr>
      <w:keepNext/>
      <w:keepLines/>
      <w:numPr>
        <w:ilvl w:val="0"/>
        <w:numId w:val="1"/>
      </w:numPr>
      <w:spacing w:before="340" w:after="330"/>
      <w:jc w:val="left"/>
      <w:outlineLvl w:val="0"/>
    </w:pPr>
    <w:rPr>
      <w:rFonts w:eastAsia="黑体"/>
      <w:b/>
      <w:bCs/>
      <w:kern w:val="44"/>
      <w:sz w:val="32"/>
      <w:szCs w:val="44"/>
    </w:rPr>
  </w:style>
  <w:style w:type="paragraph" w:styleId="3">
    <w:name w:val="heading 2"/>
    <w:basedOn w:val="1"/>
    <w:next w:val="1"/>
    <w:link w:val="203"/>
    <w:qFormat/>
    <w:uiPriority w:val="0"/>
    <w:pPr>
      <w:keepNext/>
      <w:keepLines/>
      <w:spacing w:before="260" w:after="260" w:line="416" w:lineRule="auto"/>
      <w:outlineLvl w:val="1"/>
    </w:pPr>
    <w:rPr>
      <w:rFonts w:ascii="Arial" w:hAnsi="Arial" w:eastAsia="黑体"/>
      <w:b/>
      <w:bCs/>
      <w:sz w:val="30"/>
      <w:szCs w:val="32"/>
    </w:rPr>
  </w:style>
  <w:style w:type="paragraph" w:styleId="4">
    <w:name w:val="heading 3"/>
    <w:basedOn w:val="1"/>
    <w:next w:val="1"/>
    <w:link w:val="446"/>
    <w:qFormat/>
    <w:uiPriority w:val="0"/>
    <w:pPr>
      <w:keepNext/>
      <w:keepLines/>
      <w:spacing w:before="260" w:after="260" w:line="416" w:lineRule="auto"/>
      <w:outlineLvl w:val="2"/>
    </w:pPr>
    <w:rPr>
      <w:rFonts w:eastAsia="黑体"/>
      <w:sz w:val="28"/>
      <w:szCs w:val="32"/>
    </w:rPr>
  </w:style>
  <w:style w:type="paragraph" w:styleId="5">
    <w:name w:val="heading 4"/>
    <w:basedOn w:val="1"/>
    <w:next w:val="1"/>
    <w:link w:val="127"/>
    <w:qFormat/>
    <w:uiPriority w:val="0"/>
    <w:pPr>
      <w:keepNext/>
      <w:keepLines/>
      <w:numPr>
        <w:ilvl w:val="3"/>
        <w:numId w:val="1"/>
      </w:numPr>
      <w:spacing w:before="280" w:after="290" w:line="376" w:lineRule="auto"/>
      <w:outlineLvl w:val="3"/>
    </w:pPr>
    <w:rPr>
      <w:rFonts w:ascii="Arial" w:hAnsi="Arial" w:eastAsia="黑体"/>
      <w:b/>
      <w:bCs/>
      <w:szCs w:val="28"/>
    </w:rPr>
  </w:style>
  <w:style w:type="paragraph" w:styleId="6">
    <w:name w:val="heading 5"/>
    <w:basedOn w:val="1"/>
    <w:next w:val="1"/>
    <w:link w:val="85"/>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94"/>
    <w:qFormat/>
    <w:uiPriority w:val="0"/>
    <w:pPr>
      <w:keepNext/>
      <w:keepLines/>
      <w:numPr>
        <w:ilvl w:val="5"/>
        <w:numId w:val="1"/>
      </w:numPr>
      <w:spacing w:before="240" w:after="64" w:line="320" w:lineRule="auto"/>
      <w:outlineLvl w:val="5"/>
    </w:pPr>
    <w:rPr>
      <w:rFonts w:ascii="Arial" w:hAnsi="Arial" w:eastAsia="黑体"/>
      <w:b/>
      <w:bCs/>
    </w:rPr>
  </w:style>
  <w:style w:type="paragraph" w:styleId="8">
    <w:name w:val="heading 7"/>
    <w:basedOn w:val="1"/>
    <w:next w:val="1"/>
    <w:link w:val="138"/>
    <w:qFormat/>
    <w:uiPriority w:val="0"/>
    <w:pPr>
      <w:keepNext/>
      <w:keepLines/>
      <w:numPr>
        <w:ilvl w:val="6"/>
        <w:numId w:val="1"/>
      </w:numPr>
      <w:spacing w:before="240" w:after="64" w:line="320" w:lineRule="auto"/>
      <w:outlineLvl w:val="6"/>
    </w:pPr>
    <w:rPr>
      <w:b/>
      <w:bCs/>
    </w:rPr>
  </w:style>
  <w:style w:type="paragraph" w:styleId="9">
    <w:name w:val="heading 8"/>
    <w:basedOn w:val="1"/>
    <w:next w:val="1"/>
    <w:link w:val="121"/>
    <w:qFormat/>
    <w:uiPriority w:val="0"/>
    <w:pPr>
      <w:keepNext/>
      <w:keepLines/>
      <w:numPr>
        <w:ilvl w:val="7"/>
        <w:numId w:val="1"/>
      </w:numPr>
      <w:spacing w:before="240" w:after="64" w:line="320" w:lineRule="auto"/>
      <w:outlineLvl w:val="7"/>
    </w:pPr>
    <w:rPr>
      <w:rFonts w:ascii="Arial" w:hAnsi="Arial" w:eastAsia="黑体"/>
    </w:rPr>
  </w:style>
  <w:style w:type="paragraph" w:styleId="10">
    <w:name w:val="heading 9"/>
    <w:basedOn w:val="1"/>
    <w:next w:val="1"/>
    <w:link w:val="76"/>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50">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0"/>
    <w:pPr>
      <w:ind w:left="2520" w:leftChars="1200"/>
    </w:pPr>
    <w:rPr>
      <w:rFonts w:ascii="Calibri" w:hAnsi="Calibri"/>
      <w:szCs w:val="22"/>
    </w:rPr>
  </w:style>
  <w:style w:type="paragraph" w:styleId="12">
    <w:name w:val="table of authorities"/>
    <w:basedOn w:val="1"/>
    <w:next w:val="1"/>
    <w:qFormat/>
    <w:uiPriority w:val="0"/>
    <w:pPr>
      <w:ind w:left="420" w:leftChars="200"/>
    </w:pPr>
  </w:style>
  <w:style w:type="paragraph" w:styleId="13">
    <w:name w:val="Note Heading"/>
    <w:basedOn w:val="1"/>
    <w:next w:val="1"/>
    <w:link w:val="147"/>
    <w:qFormat/>
    <w:uiPriority w:val="0"/>
    <w:pPr>
      <w:jc w:val="center"/>
    </w:pPr>
  </w:style>
  <w:style w:type="paragraph" w:styleId="14">
    <w:name w:val="Normal Indent"/>
    <w:basedOn w:val="1"/>
    <w:next w:val="15"/>
    <w:link w:val="131"/>
    <w:qFormat/>
    <w:uiPriority w:val="0"/>
    <w:pPr>
      <w:spacing w:line="360" w:lineRule="auto"/>
      <w:ind w:firstLine="420" w:firstLineChars="200"/>
    </w:pPr>
  </w:style>
  <w:style w:type="paragraph" w:styleId="15">
    <w:name w:val="Body Text First Indent 2"/>
    <w:basedOn w:val="16"/>
    <w:next w:val="1"/>
    <w:qFormat/>
    <w:uiPriority w:val="0"/>
    <w:pPr>
      <w:ind w:firstLine="420" w:firstLineChars="200"/>
    </w:pPr>
  </w:style>
  <w:style w:type="paragraph" w:styleId="16">
    <w:name w:val="Body Text Indent"/>
    <w:basedOn w:val="1"/>
    <w:next w:val="1"/>
    <w:link w:val="159"/>
    <w:qFormat/>
    <w:uiPriority w:val="0"/>
    <w:pPr>
      <w:spacing w:after="120"/>
      <w:ind w:left="420" w:leftChars="200"/>
    </w:pPr>
  </w:style>
  <w:style w:type="paragraph" w:styleId="17">
    <w:name w:val="caption"/>
    <w:basedOn w:val="1"/>
    <w:next w:val="1"/>
    <w:qFormat/>
    <w:uiPriority w:val="0"/>
    <w:rPr>
      <w:rFonts w:ascii="Arial" w:hAnsi="Arial" w:eastAsia="黑体" w:cs="Arial"/>
      <w:sz w:val="20"/>
    </w:rPr>
  </w:style>
  <w:style w:type="paragraph" w:styleId="18">
    <w:name w:val="List Bullet"/>
    <w:basedOn w:val="1"/>
    <w:link w:val="199"/>
    <w:qFormat/>
    <w:uiPriority w:val="0"/>
    <w:pPr>
      <w:numPr>
        <w:ilvl w:val="0"/>
        <w:numId w:val="2"/>
      </w:numPr>
    </w:pPr>
  </w:style>
  <w:style w:type="paragraph" w:styleId="19">
    <w:name w:val="Document Map"/>
    <w:basedOn w:val="1"/>
    <w:semiHidden/>
    <w:qFormat/>
    <w:uiPriority w:val="0"/>
    <w:pPr>
      <w:shd w:val="clear" w:color="auto" w:fill="000080"/>
    </w:pPr>
  </w:style>
  <w:style w:type="paragraph" w:styleId="20">
    <w:name w:val="annotation text"/>
    <w:basedOn w:val="1"/>
    <w:link w:val="210"/>
    <w:semiHidden/>
    <w:qFormat/>
    <w:uiPriority w:val="0"/>
    <w:pPr>
      <w:jc w:val="left"/>
    </w:pPr>
  </w:style>
  <w:style w:type="paragraph" w:styleId="21">
    <w:name w:val="Body Text 3"/>
    <w:basedOn w:val="1"/>
    <w:qFormat/>
    <w:uiPriority w:val="0"/>
    <w:pPr>
      <w:overflowPunct w:val="0"/>
      <w:snapToGrid w:val="0"/>
      <w:spacing w:line="480" w:lineRule="exact"/>
      <w:jc w:val="center"/>
    </w:pPr>
    <w:rPr>
      <w:rFonts w:eastAsia="宋体"/>
    </w:rPr>
  </w:style>
  <w:style w:type="paragraph" w:styleId="22">
    <w:name w:val="List Bullet 3"/>
    <w:basedOn w:val="1"/>
    <w:qFormat/>
    <w:uiPriority w:val="0"/>
    <w:pPr>
      <w:widowControl/>
      <w:tabs>
        <w:tab w:val="left" w:pos="432"/>
      </w:tabs>
      <w:ind w:left="432" w:hanging="432"/>
      <w:jc w:val="left"/>
    </w:pPr>
    <w:rPr>
      <w:sz w:val="28"/>
    </w:rPr>
  </w:style>
  <w:style w:type="paragraph" w:styleId="23">
    <w:name w:val="Body Text"/>
    <w:basedOn w:val="1"/>
    <w:next w:val="1"/>
    <w:link w:val="120"/>
    <w:qFormat/>
    <w:uiPriority w:val="0"/>
    <w:pPr>
      <w:spacing w:after="120"/>
    </w:pPr>
  </w:style>
  <w:style w:type="paragraph" w:styleId="24">
    <w:name w:val="Block Text"/>
    <w:basedOn w:val="1"/>
    <w:qFormat/>
    <w:uiPriority w:val="0"/>
    <w:pPr>
      <w:spacing w:before="120" w:after="120"/>
      <w:ind w:left="1080" w:right="-49" w:firstLine="510"/>
    </w:pPr>
  </w:style>
  <w:style w:type="paragraph" w:styleId="25">
    <w:name w:val="toc 5"/>
    <w:basedOn w:val="1"/>
    <w:next w:val="1"/>
    <w:unhideWhenUsed/>
    <w:qFormat/>
    <w:uiPriority w:val="0"/>
    <w:pPr>
      <w:ind w:left="1680" w:leftChars="800"/>
    </w:pPr>
    <w:rPr>
      <w:rFonts w:ascii="Calibri" w:hAnsi="Calibri"/>
      <w:szCs w:val="22"/>
    </w:rPr>
  </w:style>
  <w:style w:type="paragraph" w:styleId="26">
    <w:name w:val="toc 3"/>
    <w:basedOn w:val="1"/>
    <w:next w:val="1"/>
    <w:semiHidden/>
    <w:qFormat/>
    <w:uiPriority w:val="0"/>
    <w:pPr>
      <w:ind w:left="840" w:leftChars="400"/>
    </w:pPr>
  </w:style>
  <w:style w:type="paragraph" w:styleId="27">
    <w:name w:val="Plain Text"/>
    <w:basedOn w:val="1"/>
    <w:link w:val="168"/>
    <w:qFormat/>
    <w:uiPriority w:val="0"/>
    <w:rPr>
      <w:rFonts w:hAnsi="Courier New" w:cs="Courier New"/>
      <w:szCs w:val="21"/>
    </w:rPr>
  </w:style>
  <w:style w:type="paragraph" w:styleId="28">
    <w:name w:val="List Bullet 5"/>
    <w:basedOn w:val="1"/>
    <w:qFormat/>
    <w:uiPriority w:val="0"/>
    <w:pPr>
      <w:numPr>
        <w:ilvl w:val="0"/>
        <w:numId w:val="3"/>
      </w:numPr>
    </w:pPr>
  </w:style>
  <w:style w:type="paragraph" w:styleId="29">
    <w:name w:val="toc 8"/>
    <w:basedOn w:val="1"/>
    <w:next w:val="1"/>
    <w:unhideWhenUsed/>
    <w:qFormat/>
    <w:uiPriority w:val="0"/>
    <w:pPr>
      <w:ind w:left="2940" w:leftChars="1400"/>
    </w:pPr>
    <w:rPr>
      <w:rFonts w:ascii="Calibri" w:hAnsi="Calibri"/>
      <w:szCs w:val="22"/>
    </w:rPr>
  </w:style>
  <w:style w:type="paragraph" w:styleId="30">
    <w:name w:val="Date"/>
    <w:basedOn w:val="1"/>
    <w:next w:val="1"/>
    <w:link w:val="175"/>
    <w:qFormat/>
    <w:uiPriority w:val="0"/>
    <w:pPr>
      <w:ind w:left="100" w:leftChars="2500"/>
    </w:pPr>
  </w:style>
  <w:style w:type="paragraph" w:styleId="31">
    <w:name w:val="Body Text Indent 2"/>
    <w:basedOn w:val="1"/>
    <w:next w:val="1"/>
    <w:link w:val="110"/>
    <w:qFormat/>
    <w:uiPriority w:val="0"/>
    <w:pPr>
      <w:spacing w:after="120" w:line="480" w:lineRule="auto"/>
      <w:ind w:left="420" w:leftChars="200"/>
    </w:pPr>
  </w:style>
  <w:style w:type="paragraph" w:styleId="32">
    <w:name w:val="Balloon Text"/>
    <w:basedOn w:val="1"/>
    <w:semiHidden/>
    <w:qFormat/>
    <w:uiPriority w:val="0"/>
    <w:rPr>
      <w:sz w:val="18"/>
      <w:szCs w:val="18"/>
    </w:rPr>
  </w:style>
  <w:style w:type="paragraph" w:styleId="33">
    <w:name w:val="footer"/>
    <w:basedOn w:val="1"/>
    <w:link w:val="80"/>
    <w:qFormat/>
    <w:uiPriority w:val="0"/>
    <w:pPr>
      <w:tabs>
        <w:tab w:val="center" w:pos="4153"/>
        <w:tab w:val="right" w:pos="8306"/>
      </w:tabs>
      <w:snapToGrid w:val="0"/>
      <w:jc w:val="center"/>
    </w:pPr>
    <w:rPr>
      <w:rFonts w:eastAsia="隶书"/>
      <w:szCs w:val="18"/>
    </w:rPr>
  </w:style>
  <w:style w:type="paragraph" w:styleId="34">
    <w:name w:val="header"/>
    <w:basedOn w:val="1"/>
    <w:link w:val="119"/>
    <w:qFormat/>
    <w:uiPriority w:val="0"/>
    <w:pPr>
      <w:pBdr>
        <w:bottom w:val="single" w:color="auto" w:sz="6" w:space="1"/>
      </w:pBdr>
      <w:tabs>
        <w:tab w:val="center" w:pos="4153"/>
        <w:tab w:val="right" w:pos="8306"/>
      </w:tabs>
      <w:snapToGrid w:val="0"/>
      <w:jc w:val="right"/>
    </w:pPr>
    <w:rPr>
      <w:rFonts w:eastAsia="隶书"/>
      <w:b/>
      <w:sz w:val="18"/>
      <w:szCs w:val="18"/>
    </w:rPr>
  </w:style>
  <w:style w:type="paragraph" w:styleId="35">
    <w:name w:val="toc 1"/>
    <w:basedOn w:val="1"/>
    <w:next w:val="1"/>
    <w:semiHidden/>
    <w:qFormat/>
    <w:uiPriority w:val="0"/>
  </w:style>
  <w:style w:type="paragraph" w:styleId="36">
    <w:name w:val="toc 4"/>
    <w:basedOn w:val="1"/>
    <w:next w:val="1"/>
    <w:unhideWhenUsed/>
    <w:qFormat/>
    <w:uiPriority w:val="0"/>
    <w:pPr>
      <w:ind w:left="1260" w:leftChars="600"/>
    </w:pPr>
    <w:rPr>
      <w:rFonts w:ascii="Calibri" w:hAnsi="Calibri"/>
      <w:szCs w:val="22"/>
    </w:rPr>
  </w:style>
  <w:style w:type="paragraph" w:styleId="37">
    <w:name w:val="List"/>
    <w:basedOn w:val="1"/>
    <w:qFormat/>
    <w:uiPriority w:val="0"/>
    <w:pPr>
      <w:ind w:left="420" w:hanging="420"/>
    </w:pPr>
    <w:rPr>
      <w:spacing w:val="-20"/>
      <w:kern w:val="21"/>
      <w:position w:val="2"/>
      <w:sz w:val="28"/>
    </w:rPr>
  </w:style>
  <w:style w:type="paragraph" w:styleId="38">
    <w:name w:val="toc 6"/>
    <w:basedOn w:val="1"/>
    <w:next w:val="1"/>
    <w:unhideWhenUsed/>
    <w:qFormat/>
    <w:uiPriority w:val="0"/>
    <w:pPr>
      <w:ind w:left="2100" w:leftChars="1000"/>
    </w:pPr>
    <w:rPr>
      <w:rFonts w:ascii="Calibri" w:hAnsi="Calibri"/>
      <w:szCs w:val="22"/>
    </w:rPr>
  </w:style>
  <w:style w:type="paragraph" w:styleId="39">
    <w:name w:val="Body Text Indent 3"/>
    <w:basedOn w:val="1"/>
    <w:link w:val="118"/>
    <w:semiHidden/>
    <w:qFormat/>
    <w:uiPriority w:val="0"/>
    <w:pPr>
      <w:adjustRightInd w:val="0"/>
      <w:snapToGrid w:val="0"/>
      <w:spacing w:line="360" w:lineRule="auto"/>
      <w:ind w:firstLine="560" w:firstLineChars="200"/>
    </w:pPr>
    <w:rPr>
      <w:rFonts w:hAnsi="宋体"/>
      <w:color w:val="0000FF"/>
      <w:sz w:val="28"/>
    </w:rPr>
  </w:style>
  <w:style w:type="paragraph" w:styleId="40">
    <w:name w:val="toc 2"/>
    <w:basedOn w:val="1"/>
    <w:next w:val="1"/>
    <w:semiHidden/>
    <w:qFormat/>
    <w:uiPriority w:val="0"/>
    <w:pPr>
      <w:ind w:left="420" w:leftChars="200"/>
    </w:pPr>
  </w:style>
  <w:style w:type="paragraph" w:styleId="41">
    <w:name w:val="toc 9"/>
    <w:basedOn w:val="1"/>
    <w:next w:val="1"/>
    <w:qFormat/>
    <w:uiPriority w:val="0"/>
    <w:pPr>
      <w:ind w:left="3360" w:leftChars="1600"/>
    </w:pPr>
  </w:style>
  <w:style w:type="paragraph" w:styleId="42">
    <w:name w:val="Body Text 2"/>
    <w:basedOn w:val="1"/>
    <w:next w:val="23"/>
    <w:link w:val="139"/>
    <w:qFormat/>
    <w:uiPriority w:val="0"/>
    <w:pPr>
      <w:spacing w:after="120" w:line="480" w:lineRule="auto"/>
    </w:pPr>
  </w:style>
  <w:style w:type="paragraph" w:styleId="43">
    <w:name w:val="Normal (Web)"/>
    <w:basedOn w:val="1"/>
    <w:qFormat/>
    <w:uiPriority w:val="0"/>
    <w:pPr>
      <w:widowControl/>
      <w:spacing w:before="100" w:beforeAutospacing="1" w:after="100" w:afterAutospacing="1"/>
      <w:jc w:val="left"/>
    </w:pPr>
    <w:rPr>
      <w:rFonts w:ascii="Arial Unicode MS" w:hAnsi="Arial Unicode MS" w:eastAsia="Arial Unicode MS" w:cs="Arial Unicode MS"/>
    </w:rPr>
  </w:style>
  <w:style w:type="paragraph" w:styleId="44">
    <w:name w:val="Title"/>
    <w:basedOn w:val="1"/>
    <w:qFormat/>
    <w:uiPriority w:val="0"/>
    <w:pPr>
      <w:spacing w:before="240" w:after="60"/>
      <w:jc w:val="center"/>
      <w:outlineLvl w:val="0"/>
    </w:pPr>
    <w:rPr>
      <w:rFonts w:ascii="Arial" w:hAnsi="Arial" w:cs="Arial"/>
      <w:b/>
      <w:bCs/>
      <w:sz w:val="32"/>
      <w:szCs w:val="32"/>
    </w:rPr>
  </w:style>
  <w:style w:type="paragraph" w:styleId="45">
    <w:name w:val="annotation subject"/>
    <w:basedOn w:val="20"/>
    <w:next w:val="20"/>
    <w:semiHidden/>
    <w:qFormat/>
    <w:uiPriority w:val="0"/>
    <w:rPr>
      <w:b/>
      <w:bCs/>
    </w:rPr>
  </w:style>
  <w:style w:type="paragraph" w:styleId="46">
    <w:name w:val="Body Text First Indent"/>
    <w:basedOn w:val="23"/>
    <w:next w:val="1"/>
    <w:link w:val="215"/>
    <w:qFormat/>
    <w:uiPriority w:val="0"/>
    <w:pPr>
      <w:adjustRightInd w:val="0"/>
      <w:spacing w:line="240" w:lineRule="atLeast"/>
      <w:ind w:firstLine="420"/>
      <w:jc w:val="left"/>
      <w:textAlignment w:val="baseline"/>
    </w:pPr>
    <w:rPr>
      <w:rFonts w:ascii="Arial" w:hAnsi="Arial"/>
    </w:rPr>
  </w:style>
  <w:style w:type="table" w:styleId="48">
    <w:name w:val="Table Grid"/>
    <w:basedOn w:val="47"/>
    <w:qFormat/>
    <w:uiPriority w:val="0"/>
    <w:pPr>
      <w:widowControl w:val="0"/>
      <w:jc w:val="center"/>
    </w:p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style>
  <w:style w:type="table" w:styleId="49">
    <w:name w:val="Table Simple 1"/>
    <w:basedOn w:val="47"/>
    <w:qFormat/>
    <w:uiPriority w:val="0"/>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top w:val="nil"/>
          <w:left w:val="single" w:color="008000" w:sz="6" w:space="0"/>
          <w:bottom w:val="nil"/>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character" w:styleId="51">
    <w:name w:val="Strong"/>
    <w:basedOn w:val="50"/>
    <w:qFormat/>
    <w:uiPriority w:val="0"/>
    <w:rPr>
      <w:b/>
      <w:sz w:val="24"/>
      <w:szCs w:val="24"/>
    </w:rPr>
  </w:style>
  <w:style w:type="character" w:styleId="52">
    <w:name w:val="page number"/>
    <w:basedOn w:val="50"/>
    <w:qFormat/>
    <w:uiPriority w:val="0"/>
    <w:rPr>
      <w:rFonts w:eastAsia="宋体"/>
      <w:kern w:val="2"/>
      <w:sz w:val="24"/>
      <w:szCs w:val="24"/>
      <w:lang w:val="en-US" w:eastAsia="zh-CN" w:bidi="ar-SA"/>
    </w:rPr>
  </w:style>
  <w:style w:type="character" w:styleId="53">
    <w:name w:val="FollowedHyperlink"/>
    <w:basedOn w:val="50"/>
    <w:qFormat/>
    <w:uiPriority w:val="0"/>
    <w:rPr>
      <w:rFonts w:eastAsia="宋体"/>
      <w:color w:val="800080"/>
      <w:kern w:val="2"/>
      <w:sz w:val="24"/>
      <w:szCs w:val="24"/>
      <w:u w:val="single"/>
      <w:lang w:val="en-US" w:eastAsia="zh-CN" w:bidi="ar-SA"/>
    </w:rPr>
  </w:style>
  <w:style w:type="character" w:styleId="54">
    <w:name w:val="Emphasis"/>
    <w:qFormat/>
    <w:uiPriority w:val="0"/>
    <w:rPr>
      <w:color w:val="CC0033"/>
    </w:rPr>
  </w:style>
  <w:style w:type="character" w:styleId="55">
    <w:name w:val="HTML Definition"/>
    <w:basedOn w:val="50"/>
    <w:qFormat/>
    <w:uiPriority w:val="0"/>
  </w:style>
  <w:style w:type="character" w:styleId="56">
    <w:name w:val="HTML Variable"/>
    <w:basedOn w:val="50"/>
    <w:qFormat/>
    <w:uiPriority w:val="0"/>
  </w:style>
  <w:style w:type="character" w:styleId="57">
    <w:name w:val="Hyperlink"/>
    <w:basedOn w:val="50"/>
    <w:qFormat/>
    <w:uiPriority w:val="0"/>
    <w:rPr>
      <w:color w:val="666666"/>
      <w:sz w:val="18"/>
      <w:szCs w:val="18"/>
    </w:rPr>
  </w:style>
  <w:style w:type="character" w:styleId="58">
    <w:name w:val="HTML Code"/>
    <w:basedOn w:val="50"/>
    <w:qFormat/>
    <w:uiPriority w:val="0"/>
    <w:rPr>
      <w:rFonts w:ascii="serif" w:hAnsi="serif" w:eastAsia="serif" w:cs="serif"/>
      <w:sz w:val="21"/>
      <w:szCs w:val="21"/>
    </w:rPr>
  </w:style>
  <w:style w:type="character" w:styleId="59">
    <w:name w:val="annotation reference"/>
    <w:basedOn w:val="50"/>
    <w:semiHidden/>
    <w:qFormat/>
    <w:uiPriority w:val="0"/>
    <w:rPr>
      <w:sz w:val="21"/>
      <w:szCs w:val="21"/>
    </w:rPr>
  </w:style>
  <w:style w:type="character" w:styleId="60">
    <w:name w:val="HTML Cite"/>
    <w:basedOn w:val="50"/>
    <w:qFormat/>
    <w:uiPriority w:val="0"/>
    <w:rPr>
      <w:sz w:val="24"/>
      <w:szCs w:val="24"/>
    </w:rPr>
  </w:style>
  <w:style w:type="character" w:styleId="61">
    <w:name w:val="HTML Keyboard"/>
    <w:basedOn w:val="50"/>
    <w:qFormat/>
    <w:uiPriority w:val="0"/>
    <w:rPr>
      <w:rFonts w:hint="default" w:ascii="serif" w:hAnsi="serif" w:eastAsia="serif" w:cs="serif"/>
      <w:sz w:val="21"/>
      <w:szCs w:val="21"/>
    </w:rPr>
  </w:style>
  <w:style w:type="character" w:styleId="62">
    <w:name w:val="HTML Sample"/>
    <w:basedOn w:val="50"/>
    <w:qFormat/>
    <w:uiPriority w:val="0"/>
    <w:rPr>
      <w:rFonts w:hint="default" w:ascii="serif" w:hAnsi="serif" w:eastAsia="serif" w:cs="serif"/>
      <w:sz w:val="21"/>
      <w:szCs w:val="21"/>
    </w:rPr>
  </w:style>
  <w:style w:type="paragraph" w:customStyle="1" w:styleId="63">
    <w:name w:val="环评报告"/>
    <w:basedOn w:val="1"/>
    <w:qFormat/>
    <w:uiPriority w:val="0"/>
    <w:pPr>
      <w:pBdr>
        <w:top w:val="single" w:color="auto" w:sz="8" w:space="1"/>
        <w:left w:val="none" w:color="auto" w:sz="0" w:space="4"/>
        <w:bottom w:val="single" w:color="auto" w:sz="8" w:space="1"/>
        <w:right w:val="none" w:color="auto" w:sz="0" w:space="4"/>
      </w:pBdr>
      <w:adjustRightInd w:val="0"/>
      <w:snapToGrid w:val="0"/>
      <w:jc w:val="center"/>
    </w:pPr>
    <w:rPr>
      <w:rFonts w:ascii="Times New Roman" w:eastAsia="宋体"/>
      <w:b/>
      <w:snapToGrid w:val="0"/>
      <w:kern w:val="2"/>
      <w:sz w:val="21"/>
      <w:szCs w:val="21"/>
    </w:rPr>
  </w:style>
  <w:style w:type="paragraph" w:customStyle="1" w:styleId="64">
    <w:name w:val="样式10"/>
    <w:basedOn w:val="1"/>
    <w:qFormat/>
    <w:uiPriority w:val="0"/>
    <w:pPr>
      <w:pBdr>
        <w:top w:val="none" w:color="auto" w:sz="0" w:space="1"/>
        <w:left w:val="none" w:color="auto" w:sz="0" w:space="4"/>
        <w:bottom w:val="none" w:color="auto" w:sz="0" w:space="1"/>
        <w:right w:val="none" w:color="auto" w:sz="0" w:space="4"/>
      </w:pBdr>
      <w:adjustRightInd w:val="0"/>
      <w:snapToGrid w:val="0"/>
      <w:jc w:val="center"/>
    </w:pPr>
    <w:rPr>
      <w:rFonts w:ascii="Times New Roman" w:eastAsia="宋体"/>
      <w:b/>
      <w:snapToGrid w:val="0"/>
      <w:kern w:val="2"/>
      <w:sz w:val="21"/>
      <w:szCs w:val="21"/>
    </w:rPr>
  </w:style>
  <w:style w:type="paragraph" w:customStyle="1" w:styleId="65">
    <w:name w:val="xl27"/>
    <w:basedOn w:val="1"/>
    <w:next w:val="31"/>
    <w:qFormat/>
    <w:uiPriority w:val="0"/>
    <w:pPr>
      <w:widowControl/>
      <w:spacing w:before="100" w:beforeAutospacing="1" w:after="100" w:afterAutospacing="1"/>
      <w:jc w:val="center"/>
    </w:pPr>
    <w:rPr>
      <w:rFonts w:hAnsi="宋体"/>
    </w:rPr>
  </w:style>
  <w:style w:type="paragraph" w:customStyle="1" w:styleId="66">
    <w:name w:val="Char1 Char Char"/>
    <w:basedOn w:val="1"/>
    <w:qFormat/>
    <w:uiPriority w:val="0"/>
    <w:pPr>
      <w:spacing w:line="360" w:lineRule="auto"/>
      <w:ind w:firstLine="200" w:firstLineChars="200"/>
    </w:pPr>
  </w:style>
  <w:style w:type="paragraph" w:customStyle="1" w:styleId="67">
    <w:name w:val="样式 正文文本缩进 + 行距: 1.5 倍行距"/>
    <w:basedOn w:val="1"/>
    <w:qFormat/>
    <w:uiPriority w:val="0"/>
    <w:pPr>
      <w:spacing w:after="120" w:line="360" w:lineRule="auto"/>
      <w:ind w:left="90" w:leftChars="32" w:firstLine="560" w:firstLineChars="200"/>
    </w:pPr>
    <w:rPr>
      <w:rFonts w:cs="宋体"/>
    </w:rPr>
  </w:style>
  <w:style w:type="paragraph" w:customStyle="1" w:styleId="68">
    <w:name w:val="样式5"/>
    <w:basedOn w:val="14"/>
    <w:next w:val="1"/>
    <w:qFormat/>
    <w:uiPriority w:val="0"/>
    <w:pPr>
      <w:spacing w:line="380" w:lineRule="exact"/>
      <w:ind w:firstLine="566" w:firstLineChars="202"/>
    </w:pPr>
    <w:rPr>
      <w:rFonts w:eastAsia="华文行楷"/>
      <w:sz w:val="28"/>
    </w:rPr>
  </w:style>
  <w:style w:type="paragraph" w:customStyle="1" w:styleId="69">
    <w:name w:val="_Style 4"/>
    <w:next w:val="1"/>
    <w:unhideWhenUsed/>
    <w:qFormat/>
    <w:uiPriority w:val="1"/>
    <w:pPr>
      <w:widowControl w:val="0"/>
      <w:jc w:val="both"/>
    </w:pPr>
    <w:rPr>
      <w:rFonts w:hint="eastAsia" w:ascii="Times New Roman" w:hAnsi="Times New Roman" w:eastAsia="Times New Roman" w:cs="Times New Roman"/>
      <w:kern w:val="2"/>
      <w:sz w:val="24"/>
      <w:lang w:val="en-US" w:eastAsia="zh-CN" w:bidi="ar-SA"/>
    </w:rPr>
  </w:style>
  <w:style w:type="paragraph" w:customStyle="1" w:styleId="70">
    <w:name w:val="我的正文"/>
    <w:basedOn w:val="1"/>
    <w:link w:val="170"/>
    <w:qFormat/>
    <w:uiPriority w:val="0"/>
    <w:pPr>
      <w:spacing w:line="360" w:lineRule="auto"/>
      <w:ind w:firstLine="480" w:firstLineChars="200"/>
    </w:pPr>
    <w:rPr>
      <w:rFonts w:cs="宋体"/>
    </w:rPr>
  </w:style>
  <w:style w:type="character" w:customStyle="1" w:styleId="71">
    <w:name w:val="右 Char Char Char"/>
    <w:basedOn w:val="50"/>
    <w:qFormat/>
    <w:uiPriority w:val="0"/>
    <w:rPr>
      <w:rFonts w:eastAsia="宋体"/>
      <w:kern w:val="2"/>
      <w:sz w:val="18"/>
      <w:szCs w:val="24"/>
      <w:lang w:val="en-US" w:eastAsia="zh-CN" w:bidi="ar-SA"/>
    </w:rPr>
  </w:style>
  <w:style w:type="character" w:customStyle="1" w:styleId="72">
    <w:name w:val="表头1 Char"/>
    <w:basedOn w:val="50"/>
    <w:link w:val="73"/>
    <w:qFormat/>
    <w:uiPriority w:val="0"/>
    <w:rPr>
      <w:rFonts w:eastAsia="黑体"/>
      <w:sz w:val="21"/>
      <w:szCs w:val="28"/>
      <w:lang w:val="en-US" w:eastAsia="zh-CN" w:bidi="ar-SA"/>
    </w:rPr>
  </w:style>
  <w:style w:type="paragraph" w:customStyle="1" w:styleId="73">
    <w:name w:val="表头1"/>
    <w:basedOn w:val="1"/>
    <w:next w:val="1"/>
    <w:link w:val="72"/>
    <w:qFormat/>
    <w:uiPriority w:val="0"/>
    <w:pPr>
      <w:tabs>
        <w:tab w:val="left" w:pos="605"/>
      </w:tabs>
      <w:adjustRightInd w:val="0"/>
      <w:snapToGrid w:val="0"/>
      <w:jc w:val="center"/>
    </w:pPr>
    <w:rPr>
      <w:rFonts w:eastAsia="黑体"/>
      <w:szCs w:val="28"/>
    </w:rPr>
  </w:style>
  <w:style w:type="character" w:customStyle="1" w:styleId="74">
    <w:name w:val="Char Char6"/>
    <w:basedOn w:val="50"/>
    <w:qFormat/>
    <w:uiPriority w:val="0"/>
    <w:rPr>
      <w:rFonts w:eastAsia="宋体"/>
      <w:kern w:val="2"/>
      <w:sz w:val="18"/>
      <w:szCs w:val="24"/>
      <w:lang w:val="en-US" w:eastAsia="zh-CN" w:bidi="ar-SA"/>
    </w:rPr>
  </w:style>
  <w:style w:type="character" w:customStyle="1" w:styleId="75">
    <w:name w:val="font101"/>
    <w:basedOn w:val="50"/>
    <w:qFormat/>
    <w:uiPriority w:val="0"/>
    <w:rPr>
      <w:rFonts w:hint="default" w:ascii="Times New Roman" w:hAnsi="Times New Roman" w:cs="Times New Roman"/>
      <w:b/>
      <w:color w:val="FF0000"/>
      <w:sz w:val="21"/>
      <w:szCs w:val="21"/>
      <w:u w:val="none"/>
    </w:rPr>
  </w:style>
  <w:style w:type="character" w:customStyle="1" w:styleId="76">
    <w:name w:val="标题 9 Char"/>
    <w:basedOn w:val="50"/>
    <w:link w:val="10"/>
    <w:qFormat/>
    <w:uiPriority w:val="0"/>
    <w:rPr>
      <w:rFonts w:ascii="Arial" w:hAnsi="Arial" w:eastAsia="黑体"/>
      <w:kern w:val="2"/>
      <w:sz w:val="21"/>
      <w:szCs w:val="21"/>
      <w:lang w:val="en-US" w:eastAsia="zh-CN" w:bidi="ar-SA"/>
    </w:rPr>
  </w:style>
  <w:style w:type="character" w:customStyle="1" w:styleId="77">
    <w:name w:val="陈表格中内容 Char Char"/>
    <w:basedOn w:val="50"/>
    <w:link w:val="78"/>
    <w:qFormat/>
    <w:uiPriority w:val="0"/>
    <w:rPr>
      <w:rFonts w:eastAsia="楷体_GB2312"/>
      <w:kern w:val="2"/>
      <w:sz w:val="21"/>
      <w:szCs w:val="21"/>
      <w:lang w:val="en-US" w:eastAsia="zh-CN" w:bidi="ar-SA"/>
    </w:rPr>
  </w:style>
  <w:style w:type="paragraph" w:customStyle="1" w:styleId="78">
    <w:name w:val="陈表格中内容"/>
    <w:basedOn w:val="1"/>
    <w:next w:val="1"/>
    <w:link w:val="77"/>
    <w:qFormat/>
    <w:uiPriority w:val="0"/>
    <w:pPr>
      <w:spacing w:line="270" w:lineRule="exact"/>
      <w:jc w:val="center"/>
    </w:pPr>
    <w:rPr>
      <w:rFonts w:eastAsia="楷体_GB2312"/>
      <w:szCs w:val="21"/>
    </w:rPr>
  </w:style>
  <w:style w:type="character" w:customStyle="1" w:styleId="79">
    <w:name w:val="章标题 1 Char"/>
    <w:basedOn w:val="50"/>
    <w:qFormat/>
    <w:uiPriority w:val="0"/>
    <w:rPr>
      <w:rFonts w:eastAsia="宋体"/>
      <w:b/>
      <w:kern w:val="44"/>
      <w:sz w:val="44"/>
      <w:szCs w:val="24"/>
      <w:lang w:val="en-US" w:eastAsia="zh-CN" w:bidi="ar-SA"/>
    </w:rPr>
  </w:style>
  <w:style w:type="character" w:customStyle="1" w:styleId="80">
    <w:name w:val="页脚 Char"/>
    <w:basedOn w:val="50"/>
    <w:link w:val="33"/>
    <w:qFormat/>
    <w:uiPriority w:val="0"/>
    <w:rPr>
      <w:rFonts w:eastAsia="隶书"/>
      <w:kern w:val="2"/>
      <w:sz w:val="21"/>
      <w:szCs w:val="18"/>
      <w:lang w:val="en-US" w:eastAsia="zh-CN" w:bidi="ar-SA"/>
    </w:rPr>
  </w:style>
  <w:style w:type="character" w:customStyle="1" w:styleId="81">
    <w:name w:val="普通文字 Char Char1"/>
    <w:basedOn w:val="50"/>
    <w:qFormat/>
    <w:uiPriority w:val="0"/>
    <w:rPr>
      <w:rFonts w:ascii="宋体" w:hAnsi="Courier New" w:eastAsia="宋体" w:cs="Courier New"/>
      <w:kern w:val="2"/>
      <w:sz w:val="21"/>
      <w:szCs w:val="21"/>
      <w:lang w:val="en-US" w:eastAsia="zh-CN" w:bidi="ar-SA"/>
    </w:rPr>
  </w:style>
  <w:style w:type="character" w:customStyle="1" w:styleId="82">
    <w:name w:val="fontstrikethrough"/>
    <w:basedOn w:val="50"/>
    <w:qFormat/>
    <w:uiPriority w:val="0"/>
    <w:rPr>
      <w:strike/>
    </w:rPr>
  </w:style>
  <w:style w:type="character" w:customStyle="1" w:styleId="83">
    <w:name w:val="sn Char Char"/>
    <w:basedOn w:val="50"/>
    <w:link w:val="84"/>
    <w:qFormat/>
    <w:uiPriority w:val="0"/>
    <w:rPr>
      <w:rFonts w:eastAsia="宋体"/>
      <w:kern w:val="2"/>
      <w:sz w:val="24"/>
      <w:szCs w:val="24"/>
      <w:lang w:val="en-US" w:eastAsia="zh-CN" w:bidi="ar-SA"/>
    </w:rPr>
  </w:style>
  <w:style w:type="paragraph" w:customStyle="1" w:styleId="84">
    <w:name w:val="sn"/>
    <w:basedOn w:val="46"/>
    <w:link w:val="83"/>
    <w:qFormat/>
    <w:uiPriority w:val="0"/>
    <w:pPr>
      <w:adjustRightInd/>
      <w:spacing w:line="360" w:lineRule="auto"/>
      <w:ind w:firstLine="480" w:firstLineChars="200"/>
      <w:jc w:val="both"/>
      <w:textAlignment w:val="auto"/>
    </w:pPr>
    <w:rPr>
      <w:rFonts w:ascii="Times New Roman" w:hAnsi="Times New Roman"/>
      <w:kern w:val="2"/>
      <w:szCs w:val="24"/>
    </w:rPr>
  </w:style>
  <w:style w:type="character" w:customStyle="1" w:styleId="85">
    <w:name w:val="标题 5 Char"/>
    <w:basedOn w:val="50"/>
    <w:link w:val="6"/>
    <w:qFormat/>
    <w:uiPriority w:val="0"/>
    <w:rPr>
      <w:rFonts w:eastAsia="宋体"/>
      <w:b/>
      <w:bCs/>
      <w:kern w:val="2"/>
      <w:sz w:val="28"/>
      <w:szCs w:val="28"/>
      <w:lang w:val="en-US" w:eastAsia="zh-CN" w:bidi="ar-SA"/>
    </w:rPr>
  </w:style>
  <w:style w:type="character" w:customStyle="1" w:styleId="86">
    <w:name w:val="样式 宋体 小二 加粗 加宽量  0.7 磅"/>
    <w:basedOn w:val="50"/>
    <w:qFormat/>
    <w:uiPriority w:val="0"/>
    <w:rPr>
      <w:rFonts w:ascii="宋体" w:hAnsi="宋体" w:eastAsia="宋体"/>
      <w:b/>
      <w:bCs/>
      <w:spacing w:val="14"/>
      <w:sz w:val="32"/>
      <w:szCs w:val="32"/>
    </w:rPr>
  </w:style>
  <w:style w:type="character" w:customStyle="1" w:styleId="87">
    <w:name w:val="正文 + 宋体 Char"/>
    <w:basedOn w:val="50"/>
    <w:link w:val="88"/>
    <w:qFormat/>
    <w:uiPriority w:val="0"/>
    <w:rPr>
      <w:rFonts w:ascii="宋体" w:hAnsi="宋体" w:eastAsia="宋体"/>
      <w:kern w:val="2"/>
      <w:sz w:val="21"/>
      <w:szCs w:val="24"/>
      <w:lang w:val="en-US" w:eastAsia="zh-CN" w:bidi="ar-SA"/>
    </w:rPr>
  </w:style>
  <w:style w:type="paragraph" w:customStyle="1" w:styleId="88">
    <w:name w:val="正文 + 宋体"/>
    <w:basedOn w:val="46"/>
    <w:link w:val="87"/>
    <w:qFormat/>
    <w:uiPriority w:val="0"/>
    <w:pPr>
      <w:adjustRightInd/>
      <w:spacing w:after="0" w:line="360" w:lineRule="auto"/>
      <w:ind w:firstLine="200" w:firstLineChars="200"/>
      <w:jc w:val="both"/>
      <w:textAlignment w:val="auto"/>
    </w:pPr>
    <w:rPr>
      <w:rFonts w:ascii="宋体" w:hAnsi="宋体"/>
      <w:kern w:val="2"/>
      <w:sz w:val="21"/>
      <w:szCs w:val="24"/>
    </w:rPr>
  </w:style>
  <w:style w:type="character" w:customStyle="1" w:styleId="89">
    <w:name w:val="1正文段落 Char"/>
    <w:basedOn w:val="50"/>
    <w:link w:val="90"/>
    <w:qFormat/>
    <w:uiPriority w:val="0"/>
    <w:rPr>
      <w:rFonts w:eastAsia="宋体"/>
      <w:snapToGrid w:val="0"/>
      <w:sz w:val="24"/>
      <w:szCs w:val="24"/>
      <w:lang w:val="en-US" w:eastAsia="zh-CN" w:bidi="ar-SA"/>
    </w:rPr>
  </w:style>
  <w:style w:type="paragraph" w:customStyle="1" w:styleId="90">
    <w:name w:val="1正文段落"/>
    <w:basedOn w:val="1"/>
    <w:link w:val="89"/>
    <w:semiHidden/>
    <w:qFormat/>
    <w:uiPriority w:val="0"/>
    <w:pPr>
      <w:spacing w:line="360" w:lineRule="auto"/>
      <w:ind w:firstLine="480" w:firstLineChars="200"/>
      <w:jc w:val="left"/>
    </w:pPr>
    <w:rPr>
      <w:snapToGrid w:val="0"/>
    </w:rPr>
  </w:style>
  <w:style w:type="character" w:customStyle="1" w:styleId="91">
    <w:name w:val="【图片】 Char"/>
    <w:link w:val="92"/>
    <w:qFormat/>
    <w:uiPriority w:val="0"/>
    <w:rPr>
      <w:rFonts w:ascii="宋体" w:hAnsi="宋体"/>
      <w:sz w:val="24"/>
      <w:lang w:val="en-US" w:eastAsia="zh-CN" w:bidi="ar-SA"/>
    </w:rPr>
  </w:style>
  <w:style w:type="paragraph" w:customStyle="1" w:styleId="92">
    <w:name w:val="【图片】"/>
    <w:next w:val="46"/>
    <w:link w:val="91"/>
    <w:qFormat/>
    <w:uiPriority w:val="0"/>
    <w:pPr>
      <w:jc w:val="center"/>
    </w:pPr>
    <w:rPr>
      <w:rFonts w:ascii="宋体" w:hAnsi="宋体" w:eastAsia="Times New Roman" w:cs="Times New Roman"/>
      <w:sz w:val="24"/>
      <w:lang w:val="en-US" w:eastAsia="zh-CN" w:bidi="ar-SA"/>
    </w:rPr>
  </w:style>
  <w:style w:type="character" w:customStyle="1" w:styleId="93">
    <w:name w:val="1.1.1标题 3 Char"/>
    <w:basedOn w:val="50"/>
    <w:qFormat/>
    <w:uiPriority w:val="0"/>
    <w:rPr>
      <w:rFonts w:eastAsia="黑体"/>
      <w:b/>
      <w:bCs/>
      <w:kern w:val="2"/>
      <w:sz w:val="28"/>
      <w:szCs w:val="32"/>
      <w:lang w:val="en-US" w:eastAsia="zh-CN" w:bidi="ar-SA"/>
    </w:rPr>
  </w:style>
  <w:style w:type="character" w:customStyle="1" w:styleId="94">
    <w:name w:val="标题 6 Char"/>
    <w:basedOn w:val="50"/>
    <w:link w:val="7"/>
    <w:qFormat/>
    <w:uiPriority w:val="0"/>
    <w:rPr>
      <w:rFonts w:ascii="Arial" w:hAnsi="Arial" w:eastAsia="黑体"/>
      <w:b/>
      <w:bCs/>
      <w:kern w:val="2"/>
      <w:sz w:val="24"/>
      <w:szCs w:val="24"/>
      <w:lang w:val="en-US" w:eastAsia="zh-CN" w:bidi="ar-SA"/>
    </w:rPr>
  </w:style>
  <w:style w:type="character" w:customStyle="1" w:styleId="95">
    <w:name w:val="无间隔 Char"/>
    <w:link w:val="96"/>
    <w:qFormat/>
    <w:uiPriority w:val="0"/>
    <w:rPr>
      <w:rFonts w:ascii="Calibri" w:hAnsi="Calibri" w:eastAsia="宋体"/>
      <w:sz w:val="22"/>
      <w:szCs w:val="22"/>
      <w:lang w:val="en-US" w:eastAsia="zh-CN" w:bidi="ar-SA"/>
    </w:rPr>
  </w:style>
  <w:style w:type="paragraph" w:customStyle="1" w:styleId="96">
    <w:name w:val="无间隔1"/>
    <w:link w:val="95"/>
    <w:qFormat/>
    <w:uiPriority w:val="0"/>
    <w:rPr>
      <w:rFonts w:ascii="Calibri" w:hAnsi="Calibri" w:eastAsia="仿宋" w:cs="Times New Roman"/>
      <w:sz w:val="22"/>
      <w:szCs w:val="22"/>
      <w:lang w:val="en-US" w:eastAsia="zh-CN" w:bidi="ar-SA"/>
    </w:rPr>
  </w:style>
  <w:style w:type="character" w:customStyle="1" w:styleId="97">
    <w:name w:val="标题 3 Char"/>
    <w:basedOn w:val="50"/>
    <w:qFormat/>
    <w:uiPriority w:val="0"/>
    <w:rPr>
      <w:rFonts w:eastAsia="宋体"/>
      <w:b/>
      <w:bCs/>
      <w:snapToGrid w:val="0"/>
      <w:kern w:val="2"/>
      <w:sz w:val="28"/>
      <w:szCs w:val="24"/>
      <w:lang w:val="en-US" w:eastAsia="zh-CN" w:bidi="ar-SA"/>
    </w:rPr>
  </w:style>
  <w:style w:type="character" w:customStyle="1" w:styleId="98">
    <w:name w:val="yyp Char"/>
    <w:basedOn w:val="50"/>
    <w:link w:val="99"/>
    <w:qFormat/>
    <w:uiPriority w:val="0"/>
    <w:rPr>
      <w:rFonts w:eastAsia="宋体"/>
      <w:kern w:val="2"/>
      <w:sz w:val="24"/>
      <w:szCs w:val="24"/>
      <w:lang w:val="en-US" w:eastAsia="zh-CN" w:bidi="ar-SA"/>
    </w:rPr>
  </w:style>
  <w:style w:type="paragraph" w:customStyle="1" w:styleId="99">
    <w:name w:val="yyp"/>
    <w:basedOn w:val="46"/>
    <w:link w:val="98"/>
    <w:qFormat/>
    <w:uiPriority w:val="0"/>
    <w:pPr>
      <w:adjustRightInd/>
      <w:spacing w:line="360" w:lineRule="auto"/>
      <w:ind w:firstLine="480" w:firstLineChars="200"/>
      <w:jc w:val="both"/>
      <w:textAlignment w:val="auto"/>
    </w:pPr>
    <w:rPr>
      <w:rFonts w:ascii="Times New Roman" w:hAnsi="Times New Roman"/>
      <w:kern w:val="2"/>
      <w:szCs w:val="24"/>
    </w:rPr>
  </w:style>
  <w:style w:type="character" w:customStyle="1" w:styleId="100">
    <w:name w:val="正文缩进 Char1"/>
    <w:basedOn w:val="50"/>
    <w:qFormat/>
    <w:uiPriority w:val="0"/>
    <w:rPr>
      <w:rFonts w:ascii="_x000B__x000C_" w:hAnsi="_x000B__x000C_" w:eastAsia="宋体"/>
      <w:color w:val="000000"/>
      <w:kern w:val="2"/>
      <w:sz w:val="24"/>
      <w:szCs w:val="18"/>
      <w:lang w:val="en-US" w:eastAsia="zh-CN" w:bidi="ar-SA"/>
    </w:rPr>
  </w:style>
  <w:style w:type="character" w:customStyle="1" w:styleId="101">
    <w:name w:val="￥正文 Char Char"/>
    <w:link w:val="102"/>
    <w:qFormat/>
    <w:uiPriority w:val="0"/>
    <w:rPr>
      <w:rFonts w:ascii="宋体" w:hAnsi="宋体" w:eastAsia="仿宋_GB2312"/>
      <w:kern w:val="2"/>
      <w:sz w:val="24"/>
      <w:szCs w:val="28"/>
      <w:lang w:val="en-US" w:eastAsia="zh-CN" w:bidi="ar-SA"/>
    </w:rPr>
  </w:style>
  <w:style w:type="paragraph" w:customStyle="1" w:styleId="102">
    <w:name w:val="￥正文"/>
    <w:basedOn w:val="1"/>
    <w:link w:val="101"/>
    <w:qFormat/>
    <w:uiPriority w:val="0"/>
    <w:pPr>
      <w:spacing w:after="120" w:line="440" w:lineRule="atLeast"/>
      <w:ind w:firstLine="560" w:firstLineChars="200"/>
    </w:pPr>
    <w:rPr>
      <w:rFonts w:hAnsi="宋体" w:eastAsia="仿宋_GB2312"/>
      <w:szCs w:val="28"/>
    </w:rPr>
  </w:style>
  <w:style w:type="character" w:customStyle="1" w:styleId="103">
    <w:name w:val="Normal Char"/>
    <w:basedOn w:val="50"/>
    <w:link w:val="104"/>
    <w:qFormat/>
    <w:uiPriority w:val="0"/>
    <w:rPr>
      <w:rFonts w:ascii="宋体" w:eastAsia="宋体"/>
      <w:sz w:val="24"/>
      <w:lang w:val="en-US" w:eastAsia="zh-CN" w:bidi="ar-SA"/>
    </w:rPr>
  </w:style>
  <w:style w:type="paragraph" w:customStyle="1" w:styleId="104">
    <w:name w:val="正文1"/>
    <w:link w:val="103"/>
    <w:qFormat/>
    <w:uiPriority w:val="0"/>
    <w:pPr>
      <w:widowControl w:val="0"/>
      <w:adjustRightInd w:val="0"/>
      <w:spacing w:line="315" w:lineRule="atLeast"/>
      <w:jc w:val="both"/>
      <w:textAlignment w:val="baseline"/>
    </w:pPr>
    <w:rPr>
      <w:rFonts w:ascii="宋体" w:hAnsi="Times New Roman" w:eastAsia="仿宋" w:cs="Times New Roman"/>
      <w:sz w:val="24"/>
      <w:lang w:val="en-US" w:eastAsia="zh-CN" w:bidi="ar-SA"/>
    </w:rPr>
  </w:style>
  <w:style w:type="character" w:customStyle="1" w:styleId="105">
    <w:name w:val="表头 Char Char Char Char"/>
    <w:basedOn w:val="50"/>
    <w:link w:val="106"/>
    <w:qFormat/>
    <w:uiPriority w:val="0"/>
    <w:rPr>
      <w:rFonts w:eastAsia="宋体"/>
      <w:bCs/>
      <w:kern w:val="2"/>
      <w:sz w:val="28"/>
      <w:szCs w:val="24"/>
      <w:lang w:val="en-US" w:eastAsia="zh-CN" w:bidi="ar-SA"/>
    </w:rPr>
  </w:style>
  <w:style w:type="paragraph" w:customStyle="1" w:styleId="106">
    <w:name w:val="表头 Char Char Char"/>
    <w:basedOn w:val="107"/>
    <w:link w:val="105"/>
    <w:qFormat/>
    <w:uiPriority w:val="0"/>
    <w:pPr>
      <w:ind w:firstLine="0" w:firstLineChars="0"/>
      <w:jc w:val="center"/>
    </w:pPr>
  </w:style>
  <w:style w:type="paragraph" w:customStyle="1" w:styleId="107">
    <w:name w:val="正文文本最新 Char Char Char Char1 Char Char Char Char Char Char1"/>
    <w:basedOn w:val="1"/>
    <w:link w:val="190"/>
    <w:qFormat/>
    <w:uiPriority w:val="0"/>
    <w:pPr>
      <w:spacing w:line="360" w:lineRule="auto"/>
      <w:ind w:firstLine="200" w:firstLineChars="200"/>
    </w:pPr>
    <w:rPr>
      <w:bCs/>
      <w:sz w:val="28"/>
    </w:rPr>
  </w:style>
  <w:style w:type="character" w:customStyle="1" w:styleId="108">
    <w:name w:val="报告正文 Char1"/>
    <w:basedOn w:val="50"/>
    <w:link w:val="109"/>
    <w:qFormat/>
    <w:uiPriority w:val="0"/>
    <w:rPr>
      <w:rFonts w:ascii="宋体" w:eastAsia="宋体"/>
      <w:kern w:val="2"/>
      <w:sz w:val="28"/>
      <w:lang w:val="en-US" w:eastAsia="zh-CN" w:bidi="ar-SA"/>
    </w:rPr>
  </w:style>
  <w:style w:type="paragraph" w:customStyle="1" w:styleId="109">
    <w:name w:val="报告正文"/>
    <w:basedOn w:val="1"/>
    <w:link w:val="108"/>
    <w:qFormat/>
    <w:uiPriority w:val="0"/>
    <w:pPr>
      <w:adjustRightInd w:val="0"/>
      <w:snapToGrid w:val="0"/>
      <w:spacing w:line="300" w:lineRule="auto"/>
    </w:pPr>
    <w:rPr>
      <w:sz w:val="28"/>
    </w:rPr>
  </w:style>
  <w:style w:type="character" w:customStyle="1" w:styleId="110">
    <w:name w:val="正文文本缩进 2 Char"/>
    <w:basedOn w:val="50"/>
    <w:link w:val="31"/>
    <w:qFormat/>
    <w:uiPriority w:val="0"/>
    <w:rPr>
      <w:rFonts w:eastAsia="宋体"/>
      <w:kern w:val="2"/>
      <w:sz w:val="21"/>
      <w:szCs w:val="24"/>
      <w:lang w:val="en-US" w:eastAsia="zh-CN" w:bidi="ar-SA"/>
    </w:rPr>
  </w:style>
  <w:style w:type="character" w:customStyle="1" w:styleId="111">
    <w:name w:val="章节标题 Char1"/>
    <w:basedOn w:val="50"/>
    <w:qFormat/>
    <w:uiPriority w:val="0"/>
    <w:rPr>
      <w:rFonts w:eastAsia="楷体_GB2312"/>
      <w:b/>
      <w:bCs/>
      <w:kern w:val="44"/>
      <w:sz w:val="30"/>
      <w:szCs w:val="44"/>
      <w:lang w:val="en-US" w:eastAsia="zh-CN" w:bidi="ar-SA"/>
    </w:rPr>
  </w:style>
  <w:style w:type="character" w:customStyle="1" w:styleId="112">
    <w:name w:val="标题 3 Char1"/>
    <w:basedOn w:val="50"/>
    <w:link w:val="4"/>
    <w:qFormat/>
    <w:uiPriority w:val="0"/>
    <w:rPr>
      <w:rFonts w:eastAsia="黑体"/>
      <w:b/>
      <w:bCs/>
      <w:kern w:val="2"/>
      <w:sz w:val="28"/>
      <w:szCs w:val="32"/>
      <w:lang w:val="en-US" w:eastAsia="zh-CN" w:bidi="ar-SA"/>
    </w:rPr>
  </w:style>
  <w:style w:type="character" w:customStyle="1" w:styleId="113">
    <w:name w:val="表内字 Char1"/>
    <w:basedOn w:val="50"/>
    <w:link w:val="114"/>
    <w:qFormat/>
    <w:uiPriority w:val="0"/>
    <w:rPr>
      <w:rFonts w:eastAsia="宋体"/>
      <w:color w:val="000000"/>
      <w:sz w:val="21"/>
      <w:lang w:val="en-US" w:eastAsia="zh-CN" w:bidi="ar-SA"/>
    </w:rPr>
  </w:style>
  <w:style w:type="paragraph" w:customStyle="1" w:styleId="114">
    <w:name w:val="表内字"/>
    <w:link w:val="113"/>
    <w:qFormat/>
    <w:uiPriority w:val="0"/>
    <w:pPr>
      <w:spacing w:line="312" w:lineRule="auto"/>
      <w:jc w:val="center"/>
    </w:pPr>
    <w:rPr>
      <w:rFonts w:ascii="Times New Roman" w:hAnsi="Times New Roman" w:eastAsia="仿宋" w:cs="Times New Roman"/>
      <w:color w:val="000000"/>
      <w:sz w:val="21"/>
      <w:lang w:val="en-US" w:eastAsia="zh-CN" w:bidi="ar-SA"/>
    </w:rPr>
  </w:style>
  <w:style w:type="character" w:customStyle="1" w:styleId="115">
    <w:name w:val="123YJ Char Char"/>
    <w:qFormat/>
    <w:uiPriority w:val="0"/>
    <w:rPr>
      <w:rFonts w:eastAsia="宋体"/>
      <w:kern w:val="2"/>
      <w:sz w:val="18"/>
      <w:szCs w:val="18"/>
      <w:lang w:val="en-US" w:eastAsia="zh-CN" w:bidi="ar-SA"/>
    </w:rPr>
  </w:style>
  <w:style w:type="character" w:customStyle="1" w:styleId="116">
    <w:name w:val="孙普文字 Char Char"/>
    <w:basedOn w:val="50"/>
    <w:qFormat/>
    <w:uiPriority w:val="0"/>
    <w:rPr>
      <w:rFonts w:ascii="宋体" w:hAnsi="Courier New" w:eastAsia="宋体"/>
      <w:kern w:val="2"/>
      <w:sz w:val="21"/>
      <w:szCs w:val="24"/>
      <w:lang w:val="en-US" w:eastAsia="zh-CN" w:bidi="ar-SA"/>
    </w:rPr>
  </w:style>
  <w:style w:type="character" w:customStyle="1" w:styleId="117">
    <w:name w:val="Char Char2"/>
    <w:basedOn w:val="50"/>
    <w:qFormat/>
    <w:uiPriority w:val="0"/>
    <w:rPr>
      <w:rFonts w:ascii="宋体" w:eastAsia="宋体"/>
      <w:color w:val="000000"/>
      <w:spacing w:val="4"/>
      <w:kern w:val="2"/>
      <w:sz w:val="24"/>
      <w:szCs w:val="24"/>
      <w:lang w:val="en-US" w:eastAsia="zh-CN" w:bidi="ar-SA"/>
    </w:rPr>
  </w:style>
  <w:style w:type="character" w:customStyle="1" w:styleId="118">
    <w:name w:val="正文文本缩进 3 Char"/>
    <w:basedOn w:val="50"/>
    <w:link w:val="39"/>
    <w:semiHidden/>
    <w:qFormat/>
    <w:uiPriority w:val="0"/>
    <w:rPr>
      <w:rFonts w:ascii="宋体" w:hAnsi="宋体" w:eastAsia="宋体"/>
      <w:color w:val="0000FF"/>
      <w:kern w:val="2"/>
      <w:sz w:val="28"/>
      <w:szCs w:val="24"/>
      <w:lang w:val="en-US" w:eastAsia="zh-CN" w:bidi="ar-SA"/>
    </w:rPr>
  </w:style>
  <w:style w:type="character" w:customStyle="1" w:styleId="119">
    <w:name w:val="页眉 Char"/>
    <w:basedOn w:val="50"/>
    <w:link w:val="34"/>
    <w:semiHidden/>
    <w:qFormat/>
    <w:uiPriority w:val="0"/>
    <w:rPr>
      <w:rFonts w:eastAsia="隶书"/>
      <w:b/>
      <w:kern w:val="2"/>
      <w:sz w:val="18"/>
      <w:szCs w:val="18"/>
      <w:lang w:val="en-US" w:eastAsia="zh-CN" w:bidi="ar-SA"/>
    </w:rPr>
  </w:style>
  <w:style w:type="character" w:customStyle="1" w:styleId="120">
    <w:name w:val="正文文本 Char"/>
    <w:basedOn w:val="50"/>
    <w:link w:val="23"/>
    <w:qFormat/>
    <w:uiPriority w:val="0"/>
    <w:rPr>
      <w:rFonts w:eastAsia="宋体"/>
      <w:kern w:val="2"/>
      <w:sz w:val="21"/>
      <w:szCs w:val="24"/>
      <w:lang w:val="en-US" w:eastAsia="zh-CN" w:bidi="ar-SA"/>
    </w:rPr>
  </w:style>
  <w:style w:type="character" w:customStyle="1" w:styleId="121">
    <w:name w:val="标题 8 Char"/>
    <w:basedOn w:val="50"/>
    <w:link w:val="9"/>
    <w:qFormat/>
    <w:uiPriority w:val="0"/>
    <w:rPr>
      <w:rFonts w:ascii="Arial" w:hAnsi="Arial" w:eastAsia="黑体"/>
      <w:kern w:val="2"/>
      <w:sz w:val="24"/>
      <w:szCs w:val="24"/>
      <w:lang w:val="en-US" w:eastAsia="zh-CN" w:bidi="ar-SA"/>
    </w:rPr>
  </w:style>
  <w:style w:type="character" w:customStyle="1" w:styleId="122">
    <w:name w:val="表格 Char"/>
    <w:basedOn w:val="50"/>
    <w:link w:val="123"/>
    <w:qFormat/>
    <w:uiPriority w:val="0"/>
    <w:rPr>
      <w:rFonts w:eastAsia="黑体"/>
      <w:sz w:val="21"/>
      <w:lang w:val="en-US" w:eastAsia="zh-CN" w:bidi="ar-SA"/>
    </w:rPr>
  </w:style>
  <w:style w:type="paragraph" w:customStyle="1" w:styleId="123">
    <w:name w:val="表格"/>
    <w:basedOn w:val="1"/>
    <w:next w:val="1"/>
    <w:link w:val="122"/>
    <w:semiHidden/>
    <w:qFormat/>
    <w:uiPriority w:val="0"/>
    <w:pPr>
      <w:adjustRightInd w:val="0"/>
      <w:spacing w:line="400" w:lineRule="exact"/>
      <w:ind w:firstLine="567"/>
      <w:jc w:val="center"/>
      <w:textAlignment w:val="baseline"/>
    </w:pPr>
    <w:rPr>
      <w:rFonts w:eastAsia="黑体"/>
    </w:rPr>
  </w:style>
  <w:style w:type="character" w:customStyle="1" w:styleId="124">
    <w:name w:val="表文字 Char"/>
    <w:basedOn w:val="50"/>
    <w:link w:val="125"/>
    <w:qFormat/>
    <w:uiPriority w:val="0"/>
    <w:rPr>
      <w:rFonts w:ascii="Arial" w:hAnsi="Arial" w:eastAsia="宋体" w:cs="Arial"/>
      <w:kern w:val="2"/>
      <w:sz w:val="23"/>
      <w:szCs w:val="24"/>
      <w:lang w:val="en-US" w:eastAsia="zh-CN" w:bidi="ar-SA"/>
    </w:rPr>
  </w:style>
  <w:style w:type="paragraph" w:customStyle="1" w:styleId="125">
    <w:name w:val="表文字"/>
    <w:next w:val="1"/>
    <w:link w:val="124"/>
    <w:qFormat/>
    <w:uiPriority w:val="0"/>
    <w:pPr>
      <w:spacing w:line="440" w:lineRule="exact"/>
    </w:pPr>
    <w:rPr>
      <w:rFonts w:ascii="Arial" w:hAnsi="Arial" w:eastAsia="仿宋" w:cs="Arial"/>
      <w:kern w:val="2"/>
      <w:sz w:val="23"/>
      <w:szCs w:val="24"/>
      <w:lang w:val="en-US" w:eastAsia="zh-CN" w:bidi="ar-SA"/>
    </w:rPr>
  </w:style>
  <w:style w:type="character" w:customStyle="1" w:styleId="126">
    <w:name w:val="Char Char12"/>
    <w:qFormat/>
    <w:uiPriority w:val="0"/>
    <w:rPr>
      <w:kern w:val="2"/>
      <w:sz w:val="18"/>
      <w:szCs w:val="18"/>
    </w:rPr>
  </w:style>
  <w:style w:type="character" w:customStyle="1" w:styleId="127">
    <w:name w:val="标题 4 Char"/>
    <w:link w:val="5"/>
    <w:qFormat/>
    <w:uiPriority w:val="0"/>
    <w:rPr>
      <w:rFonts w:ascii="Arial" w:hAnsi="Arial" w:eastAsia="黑体"/>
      <w:b/>
      <w:bCs/>
      <w:kern w:val="2"/>
      <w:sz w:val="24"/>
      <w:szCs w:val="28"/>
      <w:lang w:val="en-US" w:eastAsia="zh-CN" w:bidi="ar-SA"/>
    </w:rPr>
  </w:style>
  <w:style w:type="character" w:customStyle="1" w:styleId="128">
    <w:name w:val="zwb-图表标题 Char"/>
    <w:link w:val="129"/>
    <w:qFormat/>
    <w:uiPriority w:val="0"/>
    <w:rPr>
      <w:rFonts w:eastAsia="宋体"/>
      <w:b/>
      <w:kern w:val="2"/>
      <w:sz w:val="24"/>
      <w:szCs w:val="24"/>
      <w:lang w:val="en-US" w:eastAsia="zh-CN" w:bidi="ar-SA"/>
    </w:rPr>
  </w:style>
  <w:style w:type="paragraph" w:customStyle="1" w:styleId="129">
    <w:name w:val="zwb-图表标题"/>
    <w:basedOn w:val="1"/>
    <w:link w:val="128"/>
    <w:qFormat/>
    <w:uiPriority w:val="0"/>
    <w:pPr>
      <w:spacing w:line="360" w:lineRule="auto"/>
      <w:jc w:val="center"/>
    </w:pPr>
    <w:rPr>
      <w:b/>
    </w:rPr>
  </w:style>
  <w:style w:type="character" w:customStyle="1" w:styleId="130">
    <w:name w:val="款标题1.1.1.1 Char Char"/>
    <w:basedOn w:val="50"/>
    <w:qFormat/>
    <w:uiPriority w:val="0"/>
    <w:rPr>
      <w:rFonts w:ascii="Arial" w:hAnsi="Arial" w:eastAsia="黑体"/>
      <w:b/>
      <w:bCs/>
      <w:kern w:val="2"/>
      <w:sz w:val="28"/>
      <w:szCs w:val="28"/>
      <w:lang w:val="en-US" w:eastAsia="zh-CN" w:bidi="ar-SA"/>
    </w:rPr>
  </w:style>
  <w:style w:type="character" w:customStyle="1" w:styleId="131">
    <w:name w:val="正文缩进 Char"/>
    <w:basedOn w:val="50"/>
    <w:link w:val="14"/>
    <w:qFormat/>
    <w:uiPriority w:val="0"/>
    <w:rPr>
      <w:rFonts w:eastAsia="宋体"/>
      <w:kern w:val="2"/>
      <w:sz w:val="24"/>
      <w:szCs w:val="24"/>
      <w:lang w:val="en-US" w:eastAsia="zh-CN" w:bidi="ar-SA"/>
    </w:rPr>
  </w:style>
  <w:style w:type="character" w:customStyle="1" w:styleId="132">
    <w:name w:val="zwb-正文 Char"/>
    <w:link w:val="133"/>
    <w:qFormat/>
    <w:uiPriority w:val="0"/>
    <w:rPr>
      <w:rFonts w:eastAsia="宋体"/>
      <w:kern w:val="2"/>
      <w:sz w:val="24"/>
      <w:szCs w:val="24"/>
      <w:lang w:val="en-US" w:eastAsia="zh-CN" w:bidi="ar-SA"/>
    </w:rPr>
  </w:style>
  <w:style w:type="paragraph" w:customStyle="1" w:styleId="133">
    <w:name w:val="zwb-正文"/>
    <w:basedOn w:val="1"/>
    <w:link w:val="132"/>
    <w:qFormat/>
    <w:uiPriority w:val="0"/>
    <w:pPr>
      <w:spacing w:line="360" w:lineRule="auto"/>
      <w:ind w:firstLine="480" w:firstLineChars="200"/>
    </w:pPr>
  </w:style>
  <w:style w:type="character" w:customStyle="1" w:styleId="134">
    <w:name w:val="headline-content2"/>
    <w:basedOn w:val="50"/>
    <w:qFormat/>
    <w:uiPriority w:val="0"/>
    <w:rPr>
      <w:rFonts w:eastAsia="宋体"/>
      <w:kern w:val="2"/>
      <w:sz w:val="24"/>
      <w:szCs w:val="24"/>
      <w:lang w:val="en-US" w:eastAsia="zh-CN" w:bidi="ar-SA"/>
    </w:rPr>
  </w:style>
  <w:style w:type="character" w:customStyle="1" w:styleId="135">
    <w:name w:val="报告书正文 Char Char Char Char"/>
    <w:basedOn w:val="50"/>
    <w:link w:val="136"/>
    <w:qFormat/>
    <w:uiPriority w:val="0"/>
    <w:rPr>
      <w:rFonts w:ascii="宋体" w:hAnsi="宋体" w:eastAsia="宋体"/>
      <w:kern w:val="2"/>
      <w:sz w:val="24"/>
      <w:szCs w:val="24"/>
      <w:lang w:val="en-US" w:eastAsia="zh-CN" w:bidi="ar-SA"/>
    </w:rPr>
  </w:style>
  <w:style w:type="paragraph" w:customStyle="1" w:styleId="136">
    <w:name w:val="报告书正文 Char Char Char"/>
    <w:basedOn w:val="1"/>
    <w:link w:val="135"/>
    <w:qFormat/>
    <w:uiPriority w:val="0"/>
    <w:pPr>
      <w:spacing w:line="300" w:lineRule="auto"/>
      <w:ind w:firstLine="480" w:firstLineChars="200"/>
    </w:pPr>
    <w:rPr>
      <w:rFonts w:hAnsi="宋体"/>
    </w:rPr>
  </w:style>
  <w:style w:type="character" w:customStyle="1" w:styleId="137">
    <w:name w:val="Char Char17"/>
    <w:basedOn w:val="50"/>
    <w:qFormat/>
    <w:uiPriority w:val="0"/>
    <w:rPr>
      <w:rFonts w:eastAsia="宋体"/>
      <w:kern w:val="2"/>
      <w:sz w:val="21"/>
      <w:szCs w:val="24"/>
      <w:lang w:val="en-US" w:eastAsia="zh-CN" w:bidi="ar-SA"/>
    </w:rPr>
  </w:style>
  <w:style w:type="character" w:customStyle="1" w:styleId="138">
    <w:name w:val="标题 7 Char"/>
    <w:basedOn w:val="50"/>
    <w:link w:val="8"/>
    <w:qFormat/>
    <w:uiPriority w:val="0"/>
    <w:rPr>
      <w:rFonts w:eastAsia="宋体"/>
      <w:b/>
      <w:bCs/>
      <w:kern w:val="2"/>
      <w:sz w:val="24"/>
      <w:szCs w:val="24"/>
      <w:lang w:val="en-US" w:eastAsia="zh-CN" w:bidi="ar-SA"/>
    </w:rPr>
  </w:style>
  <w:style w:type="character" w:customStyle="1" w:styleId="139">
    <w:name w:val="正文文本 2 Char"/>
    <w:basedOn w:val="50"/>
    <w:link w:val="42"/>
    <w:qFormat/>
    <w:uiPriority w:val="0"/>
    <w:rPr>
      <w:rFonts w:eastAsia="宋体"/>
      <w:kern w:val="2"/>
      <w:sz w:val="21"/>
      <w:szCs w:val="24"/>
      <w:lang w:val="en-US" w:eastAsia="zh-CN" w:bidi="ar-SA"/>
    </w:rPr>
  </w:style>
  <w:style w:type="character" w:customStyle="1" w:styleId="140">
    <w:name w:val="论文正文2 Char"/>
    <w:basedOn w:val="50"/>
    <w:link w:val="141"/>
    <w:qFormat/>
    <w:uiPriority w:val="0"/>
    <w:rPr>
      <w:rFonts w:eastAsia="宋体"/>
      <w:snapToGrid w:val="0"/>
      <w:color w:val="000000"/>
      <w:sz w:val="24"/>
      <w:szCs w:val="24"/>
      <w:lang w:val="en-US" w:eastAsia="zh-CN" w:bidi="ar-SA"/>
    </w:rPr>
  </w:style>
  <w:style w:type="paragraph" w:customStyle="1" w:styleId="141">
    <w:name w:val="论文正文2"/>
    <w:basedOn w:val="1"/>
    <w:link w:val="140"/>
    <w:qFormat/>
    <w:uiPriority w:val="0"/>
    <w:pPr>
      <w:spacing w:line="360" w:lineRule="auto"/>
      <w:ind w:left="1" w:leftChars="-114" w:hanging="240" w:hangingChars="100"/>
    </w:pPr>
    <w:rPr>
      <w:snapToGrid w:val="0"/>
      <w:color w:val="000000"/>
    </w:rPr>
  </w:style>
  <w:style w:type="character" w:customStyle="1" w:styleId="142">
    <w:name w:val="纯文本 Char Char Char Char"/>
    <w:qFormat/>
    <w:uiPriority w:val="0"/>
    <w:rPr>
      <w:rFonts w:ascii="宋体" w:hAnsi="Courier New" w:eastAsia="宋体"/>
      <w:kern w:val="2"/>
      <w:sz w:val="21"/>
      <w:lang w:val="en-US" w:eastAsia="zh-CN" w:bidi="ar-SA"/>
    </w:rPr>
  </w:style>
  <w:style w:type="character" w:customStyle="1" w:styleId="143">
    <w:name w:val="Footer1 Char Char1"/>
    <w:basedOn w:val="50"/>
    <w:qFormat/>
    <w:uiPriority w:val="0"/>
    <w:rPr>
      <w:rFonts w:eastAsia="宋体"/>
      <w:kern w:val="2"/>
      <w:sz w:val="18"/>
      <w:szCs w:val="18"/>
      <w:lang w:val="en-US" w:eastAsia="zh-CN" w:bidi="ar-SA"/>
    </w:rPr>
  </w:style>
  <w:style w:type="character" w:customStyle="1" w:styleId="144">
    <w:name w:val="a-表名 Char"/>
    <w:link w:val="145"/>
    <w:qFormat/>
    <w:uiPriority w:val="0"/>
    <w:rPr>
      <w:rFonts w:ascii="Times New Roman" w:hAnsi="Times New Roman" w:eastAsia="宋体" w:cs="Times New Roman"/>
      <w:b/>
      <w:color w:val="000000"/>
      <w:sz w:val="24"/>
      <w:szCs w:val="21"/>
      <w:lang w:val="en-US" w:eastAsia="zh-CN" w:bidi="ar-SA"/>
    </w:rPr>
  </w:style>
  <w:style w:type="paragraph" w:customStyle="1" w:styleId="145">
    <w:name w:val="a-表名"/>
    <w:link w:val="144"/>
    <w:qFormat/>
    <w:uiPriority w:val="0"/>
    <w:pPr>
      <w:adjustRightInd w:val="0"/>
      <w:snapToGrid w:val="0"/>
      <w:jc w:val="center"/>
    </w:pPr>
    <w:rPr>
      <w:rFonts w:ascii="Times New Roman" w:hAnsi="Times New Roman" w:eastAsia="宋体" w:cs="Times New Roman"/>
      <w:b/>
      <w:color w:val="000000"/>
      <w:sz w:val="24"/>
      <w:szCs w:val="21"/>
      <w:lang w:val="en-US" w:eastAsia="zh-CN" w:bidi="ar-SA"/>
    </w:rPr>
  </w:style>
  <w:style w:type="character" w:customStyle="1" w:styleId="146">
    <w:name w:val="Heading 2 Char"/>
    <w:basedOn w:val="50"/>
    <w:semiHidden/>
    <w:qFormat/>
    <w:uiPriority w:val="0"/>
    <w:rPr>
      <w:rFonts w:ascii="Cambria" w:hAnsi="Cambria" w:eastAsia="宋体" w:cs="Times New Roman"/>
      <w:b/>
      <w:bCs/>
      <w:kern w:val="2"/>
      <w:sz w:val="32"/>
      <w:szCs w:val="32"/>
    </w:rPr>
  </w:style>
  <w:style w:type="character" w:customStyle="1" w:styleId="147">
    <w:name w:val="注释标题 Char"/>
    <w:link w:val="13"/>
    <w:qFormat/>
    <w:uiPriority w:val="0"/>
    <w:rPr>
      <w:rFonts w:eastAsia="宋体"/>
      <w:kern w:val="2"/>
      <w:sz w:val="21"/>
      <w:lang w:val="en-US" w:eastAsia="zh-CN" w:bidi="ar-SA"/>
    </w:rPr>
  </w:style>
  <w:style w:type="character" w:customStyle="1" w:styleId="148">
    <w:name w:val="_Heading 2 Char"/>
    <w:basedOn w:val="50"/>
    <w:qFormat/>
    <w:uiPriority w:val="0"/>
    <w:rPr>
      <w:rFonts w:ascii="Arial" w:hAnsi="Arial" w:eastAsia="黑体"/>
      <w:b/>
      <w:bCs/>
      <w:kern w:val="2"/>
      <w:sz w:val="32"/>
      <w:szCs w:val="32"/>
      <w:lang w:val="en-US" w:eastAsia="zh-CN" w:bidi="ar-SA"/>
    </w:rPr>
  </w:style>
  <w:style w:type="character" w:customStyle="1" w:styleId="149">
    <w:name w:val="文章正文 Char"/>
    <w:link w:val="150"/>
    <w:qFormat/>
    <w:uiPriority w:val="0"/>
    <w:rPr>
      <w:rFonts w:eastAsia="宋体"/>
      <w:color w:val="000000"/>
      <w:kern w:val="2"/>
      <w:sz w:val="24"/>
      <w:szCs w:val="24"/>
      <w:lang w:val="en-US" w:eastAsia="zh-CN" w:bidi="ar-SA"/>
    </w:rPr>
  </w:style>
  <w:style w:type="paragraph" w:customStyle="1" w:styleId="150">
    <w:name w:val="文章正文"/>
    <w:basedOn w:val="1"/>
    <w:link w:val="149"/>
    <w:qFormat/>
    <w:uiPriority w:val="0"/>
    <w:pPr>
      <w:spacing w:line="360" w:lineRule="auto"/>
      <w:ind w:firstLine="360" w:firstLineChars="150"/>
    </w:pPr>
    <w:rPr>
      <w:color w:val="000000"/>
    </w:rPr>
  </w:style>
  <w:style w:type="character" w:customStyle="1" w:styleId="151">
    <w:name w:val="表头5H Char"/>
    <w:basedOn w:val="50"/>
    <w:link w:val="152"/>
    <w:qFormat/>
    <w:uiPriority w:val="0"/>
    <w:rPr>
      <w:rFonts w:ascii="黑体" w:eastAsia="黑体"/>
      <w:kern w:val="2"/>
      <w:sz w:val="24"/>
      <w:szCs w:val="24"/>
      <w:lang w:val="en-US" w:eastAsia="zh-CN" w:bidi="ar-SA"/>
    </w:rPr>
  </w:style>
  <w:style w:type="paragraph" w:customStyle="1" w:styleId="152">
    <w:name w:val="表头5H"/>
    <w:basedOn w:val="1"/>
    <w:link w:val="151"/>
    <w:qFormat/>
    <w:uiPriority w:val="0"/>
    <w:pPr>
      <w:spacing w:line="312" w:lineRule="auto"/>
      <w:jc w:val="center"/>
    </w:pPr>
    <w:rPr>
      <w:rFonts w:ascii="黑体" w:eastAsia="黑体"/>
    </w:rPr>
  </w:style>
  <w:style w:type="character" w:customStyle="1" w:styleId="153">
    <w:name w:val="t31"/>
    <w:basedOn w:val="50"/>
    <w:qFormat/>
    <w:uiPriority w:val="0"/>
    <w:rPr>
      <w:rFonts w:eastAsia="宋体"/>
      <w:color w:val="000000"/>
      <w:kern w:val="2"/>
      <w:sz w:val="20"/>
      <w:szCs w:val="20"/>
      <w:lang w:val="en-US" w:eastAsia="zh-CN" w:bidi="ar-SA"/>
    </w:rPr>
  </w:style>
  <w:style w:type="character" w:customStyle="1" w:styleId="154">
    <w:name w:val="sn表题与图表 Char"/>
    <w:basedOn w:val="50"/>
    <w:link w:val="155"/>
    <w:qFormat/>
    <w:uiPriority w:val="0"/>
    <w:rPr>
      <w:rFonts w:hAnsi="宋体" w:eastAsia="宋体"/>
      <w:snapToGrid w:val="0"/>
      <w:sz w:val="21"/>
      <w:szCs w:val="21"/>
      <w:lang w:val="en-US" w:eastAsia="zh-CN" w:bidi="ar-SA"/>
    </w:rPr>
  </w:style>
  <w:style w:type="paragraph" w:customStyle="1" w:styleId="155">
    <w:name w:val="sn表题与图表"/>
    <w:basedOn w:val="1"/>
    <w:link w:val="154"/>
    <w:qFormat/>
    <w:uiPriority w:val="0"/>
    <w:pPr>
      <w:snapToGrid w:val="0"/>
      <w:ind w:left="-105" w:leftChars="-50" w:right="-105" w:rightChars="-50"/>
      <w:jc w:val="center"/>
    </w:pPr>
    <w:rPr>
      <w:rFonts w:hAnsi="宋体"/>
      <w:snapToGrid w:val="0"/>
      <w:szCs w:val="21"/>
    </w:rPr>
  </w:style>
  <w:style w:type="character" w:customStyle="1" w:styleId="156">
    <w:name w:val="font81"/>
    <w:basedOn w:val="50"/>
    <w:qFormat/>
    <w:uiPriority w:val="0"/>
    <w:rPr>
      <w:rFonts w:hint="eastAsia" w:ascii="宋体" w:hAnsi="宋体" w:eastAsia="宋体" w:cs="宋体"/>
      <w:color w:val="FF0000"/>
      <w:sz w:val="21"/>
      <w:szCs w:val="21"/>
      <w:u w:val="none"/>
    </w:rPr>
  </w:style>
  <w:style w:type="character" w:customStyle="1" w:styleId="157">
    <w:name w:val="表格内容注释 Char"/>
    <w:link w:val="158"/>
    <w:qFormat/>
    <w:uiPriority w:val="0"/>
    <w:rPr>
      <w:rFonts w:eastAsia="宋体"/>
      <w:kern w:val="2"/>
      <w:sz w:val="18"/>
      <w:szCs w:val="24"/>
      <w:lang w:val="en-US" w:eastAsia="zh-CN" w:bidi="ar-SA"/>
    </w:rPr>
  </w:style>
  <w:style w:type="paragraph" w:customStyle="1" w:styleId="158">
    <w:name w:val="表格内容注释"/>
    <w:basedOn w:val="1"/>
    <w:link w:val="157"/>
    <w:qFormat/>
    <w:uiPriority w:val="0"/>
    <w:pPr>
      <w:jc w:val="left"/>
    </w:pPr>
    <w:rPr>
      <w:sz w:val="18"/>
    </w:rPr>
  </w:style>
  <w:style w:type="character" w:customStyle="1" w:styleId="159">
    <w:name w:val="正文文本缩进 Char"/>
    <w:basedOn w:val="50"/>
    <w:link w:val="16"/>
    <w:qFormat/>
    <w:uiPriority w:val="0"/>
    <w:rPr>
      <w:rFonts w:eastAsia="宋体"/>
      <w:kern w:val="2"/>
      <w:sz w:val="21"/>
      <w:szCs w:val="24"/>
      <w:lang w:val="en-US" w:eastAsia="zh-CN" w:bidi="ar-SA"/>
    </w:rPr>
  </w:style>
  <w:style w:type="character" w:customStyle="1" w:styleId="160">
    <w:name w:val="Char Char7"/>
    <w:basedOn w:val="50"/>
    <w:qFormat/>
    <w:uiPriority w:val="0"/>
    <w:rPr>
      <w:rFonts w:eastAsia="宋体"/>
      <w:kern w:val="2"/>
      <w:sz w:val="18"/>
      <w:szCs w:val="24"/>
      <w:lang w:val="en-US" w:eastAsia="zh-CN" w:bidi="ar-SA"/>
    </w:rPr>
  </w:style>
  <w:style w:type="character" w:customStyle="1" w:styleId="161">
    <w:name w:val="bsharetext"/>
    <w:basedOn w:val="50"/>
    <w:qFormat/>
    <w:uiPriority w:val="0"/>
  </w:style>
  <w:style w:type="character" w:customStyle="1" w:styleId="162">
    <w:name w:val="正文文字缩进 2 Char Char1"/>
    <w:basedOn w:val="50"/>
    <w:qFormat/>
    <w:uiPriority w:val="0"/>
    <w:rPr>
      <w:rFonts w:eastAsia="宋体"/>
      <w:kern w:val="2"/>
      <w:sz w:val="21"/>
      <w:szCs w:val="24"/>
      <w:lang w:val="en-US" w:eastAsia="zh-CN" w:bidi="ar-SA"/>
    </w:rPr>
  </w:style>
  <w:style w:type="character" w:customStyle="1" w:styleId="163">
    <w:name w:val="font71"/>
    <w:qFormat/>
    <w:uiPriority w:val="0"/>
    <w:rPr>
      <w:rFonts w:hint="eastAsia" w:ascii="宋体" w:hAnsi="宋体" w:eastAsia="宋体" w:cs="宋体"/>
      <w:color w:val="000000"/>
      <w:sz w:val="21"/>
      <w:szCs w:val="21"/>
      <w:u w:val="none"/>
    </w:rPr>
  </w:style>
  <w:style w:type="character" w:customStyle="1" w:styleId="164">
    <w:name w:val="样式 题注 + (西文) Times New Roman (中文) 宋体 小四 加粗 黑色 Char Char"/>
    <w:basedOn w:val="50"/>
    <w:link w:val="165"/>
    <w:qFormat/>
    <w:uiPriority w:val="0"/>
    <w:rPr>
      <w:rFonts w:eastAsia="宋体" w:cs="Arial"/>
      <w:b/>
      <w:bCs/>
      <w:color w:val="000000"/>
      <w:kern w:val="2"/>
      <w:sz w:val="24"/>
      <w:szCs w:val="24"/>
      <w:lang w:val="en-US" w:eastAsia="zh-CN" w:bidi="ar-SA"/>
    </w:rPr>
  </w:style>
  <w:style w:type="paragraph" w:customStyle="1" w:styleId="165">
    <w:name w:val="样式 题注 + (西文) Times New Roman (中文) 宋体 小四 加粗 黑色 Char"/>
    <w:basedOn w:val="17"/>
    <w:link w:val="164"/>
    <w:qFormat/>
    <w:uiPriority w:val="0"/>
    <w:pPr>
      <w:adjustRightInd w:val="0"/>
      <w:spacing w:beforeLines="100" w:line="360" w:lineRule="auto"/>
      <w:jc w:val="center"/>
      <w:textAlignment w:val="baseline"/>
    </w:pPr>
    <w:rPr>
      <w:rFonts w:ascii="Times New Roman" w:hAnsi="Times New Roman" w:eastAsia="宋体"/>
      <w:b/>
      <w:bCs/>
      <w:color w:val="000000"/>
      <w:sz w:val="24"/>
      <w:szCs w:val="24"/>
    </w:rPr>
  </w:style>
  <w:style w:type="character" w:customStyle="1" w:styleId="166">
    <w:name w:val="正文(首行缩进) Char"/>
    <w:basedOn w:val="50"/>
    <w:link w:val="167"/>
    <w:qFormat/>
    <w:uiPriority w:val="0"/>
    <w:rPr>
      <w:rFonts w:eastAsia="宋体"/>
      <w:snapToGrid w:val="0"/>
      <w:kern w:val="2"/>
      <w:sz w:val="24"/>
      <w:szCs w:val="24"/>
      <w:lang w:val="en-US" w:eastAsia="zh-CN" w:bidi="ar-SA"/>
    </w:rPr>
  </w:style>
  <w:style w:type="paragraph" w:customStyle="1" w:styleId="167">
    <w:name w:val="正文(首行缩进)"/>
    <w:basedOn w:val="1"/>
    <w:link w:val="166"/>
    <w:qFormat/>
    <w:uiPriority w:val="0"/>
    <w:pPr>
      <w:adjustRightInd w:val="0"/>
      <w:snapToGrid w:val="0"/>
      <w:spacing w:line="360" w:lineRule="auto"/>
      <w:ind w:firstLine="200" w:firstLineChars="200"/>
    </w:pPr>
    <w:rPr>
      <w:snapToGrid w:val="0"/>
    </w:rPr>
  </w:style>
  <w:style w:type="character" w:customStyle="1" w:styleId="168">
    <w:name w:val="纯文本 Char"/>
    <w:basedOn w:val="50"/>
    <w:link w:val="27"/>
    <w:qFormat/>
    <w:uiPriority w:val="0"/>
    <w:rPr>
      <w:rFonts w:ascii="宋体" w:hAnsi="Courier New" w:eastAsia="宋体" w:cs="Courier New"/>
      <w:kern w:val="2"/>
      <w:sz w:val="21"/>
      <w:szCs w:val="21"/>
      <w:lang w:val="en-US" w:eastAsia="zh-CN" w:bidi="ar-SA"/>
    </w:rPr>
  </w:style>
  <w:style w:type="character" w:customStyle="1" w:styleId="169">
    <w:name w:val="正文文本 Char1"/>
    <w:basedOn w:val="50"/>
    <w:semiHidden/>
    <w:qFormat/>
    <w:uiPriority w:val="0"/>
    <w:rPr>
      <w:kern w:val="2"/>
      <w:sz w:val="21"/>
      <w:szCs w:val="24"/>
    </w:rPr>
  </w:style>
  <w:style w:type="character" w:customStyle="1" w:styleId="170">
    <w:name w:val="我的正文 Char"/>
    <w:basedOn w:val="50"/>
    <w:link w:val="70"/>
    <w:qFormat/>
    <w:uiPriority w:val="0"/>
    <w:rPr>
      <w:rFonts w:eastAsia="宋体" w:cs="宋体"/>
      <w:kern w:val="2"/>
      <w:sz w:val="24"/>
      <w:lang w:val="en-US" w:eastAsia="zh-CN" w:bidi="ar-SA"/>
    </w:rPr>
  </w:style>
  <w:style w:type="character" w:customStyle="1" w:styleId="171">
    <w:name w:val="font91"/>
    <w:basedOn w:val="50"/>
    <w:qFormat/>
    <w:uiPriority w:val="0"/>
    <w:rPr>
      <w:rFonts w:hint="default" w:ascii="Times New Roman" w:hAnsi="Times New Roman" w:cs="Times New Roman"/>
      <w:color w:val="FF0000"/>
      <w:sz w:val="21"/>
      <w:szCs w:val="21"/>
      <w:u w:val="none"/>
    </w:rPr>
  </w:style>
  <w:style w:type="character" w:customStyle="1" w:styleId="172">
    <w:name w:val="aa正文 Char"/>
    <w:link w:val="173"/>
    <w:qFormat/>
    <w:uiPriority w:val="0"/>
    <w:rPr>
      <w:rFonts w:eastAsia="宋体"/>
      <w:sz w:val="24"/>
      <w:szCs w:val="24"/>
      <w:lang w:bidi="ar-SA"/>
    </w:rPr>
  </w:style>
  <w:style w:type="paragraph" w:customStyle="1" w:styleId="173">
    <w:name w:val="aa正文"/>
    <w:basedOn w:val="1"/>
    <w:link w:val="172"/>
    <w:qFormat/>
    <w:uiPriority w:val="0"/>
    <w:pPr>
      <w:spacing w:line="360" w:lineRule="auto"/>
      <w:ind w:firstLine="200" w:firstLineChars="200"/>
    </w:pPr>
  </w:style>
  <w:style w:type="character" w:customStyle="1" w:styleId="174">
    <w:name w:val="fontborder"/>
    <w:basedOn w:val="50"/>
    <w:qFormat/>
    <w:uiPriority w:val="0"/>
    <w:rPr>
      <w:bdr w:val="single" w:color="000000" w:sz="6" w:space="0"/>
    </w:rPr>
  </w:style>
  <w:style w:type="character" w:customStyle="1" w:styleId="175">
    <w:name w:val="日期 Char"/>
    <w:basedOn w:val="50"/>
    <w:link w:val="30"/>
    <w:semiHidden/>
    <w:qFormat/>
    <w:uiPriority w:val="0"/>
    <w:rPr>
      <w:rFonts w:eastAsia="宋体"/>
      <w:kern w:val="2"/>
      <w:sz w:val="21"/>
      <w:szCs w:val="24"/>
      <w:lang w:val="en-US" w:eastAsia="zh-CN" w:bidi="ar-SA"/>
    </w:rPr>
  </w:style>
  <w:style w:type="character" w:customStyle="1" w:styleId="176">
    <w:name w:val="样式 小四 黑色 行距: 1.5 倍行距 Char Char"/>
    <w:link w:val="177"/>
    <w:qFormat/>
    <w:uiPriority w:val="0"/>
    <w:rPr>
      <w:color w:val="000000"/>
      <w:sz w:val="24"/>
      <w:szCs w:val="20"/>
    </w:rPr>
  </w:style>
  <w:style w:type="paragraph" w:customStyle="1" w:styleId="177">
    <w:name w:val="样式 小四 黑色 行距: 1.5 倍行距"/>
    <w:basedOn w:val="1"/>
    <w:link w:val="176"/>
    <w:qFormat/>
    <w:uiPriority w:val="0"/>
    <w:pPr>
      <w:spacing w:line="360" w:lineRule="auto"/>
      <w:ind w:firstLine="360" w:firstLineChars="150"/>
    </w:pPr>
    <w:rPr>
      <w:color w:val="000000"/>
    </w:rPr>
  </w:style>
  <w:style w:type="character" w:customStyle="1" w:styleId="178">
    <w:name w:val="表文字居中 Char"/>
    <w:basedOn w:val="50"/>
    <w:link w:val="179"/>
    <w:qFormat/>
    <w:uiPriority w:val="0"/>
    <w:rPr>
      <w:rFonts w:ascii="Arial" w:hAnsi="Arial" w:eastAsia="宋体"/>
      <w:kern w:val="2"/>
      <w:sz w:val="21"/>
      <w:szCs w:val="24"/>
      <w:lang w:val="en-US" w:eastAsia="zh-CN" w:bidi="ar-SA"/>
    </w:rPr>
  </w:style>
  <w:style w:type="paragraph" w:customStyle="1" w:styleId="179">
    <w:name w:val="表文字居中"/>
    <w:link w:val="178"/>
    <w:qFormat/>
    <w:uiPriority w:val="0"/>
    <w:pPr>
      <w:adjustRightInd w:val="0"/>
      <w:spacing w:line="360" w:lineRule="auto"/>
      <w:jc w:val="center"/>
    </w:pPr>
    <w:rPr>
      <w:rFonts w:ascii="Arial" w:hAnsi="Arial" w:eastAsia="仿宋" w:cs="Times New Roman"/>
      <w:kern w:val="2"/>
      <w:sz w:val="21"/>
      <w:szCs w:val="24"/>
      <w:lang w:val="en-US" w:eastAsia="zh-CN" w:bidi="ar-SA"/>
    </w:rPr>
  </w:style>
  <w:style w:type="character" w:customStyle="1" w:styleId="180">
    <w:name w:val="晓丹 Char"/>
    <w:basedOn w:val="50"/>
    <w:link w:val="181"/>
    <w:qFormat/>
    <w:uiPriority w:val="0"/>
    <w:rPr>
      <w:rFonts w:ascii="宋体" w:hAnsi="宋体" w:eastAsia="宋体"/>
      <w:color w:val="000000"/>
      <w:spacing w:val="6"/>
      <w:sz w:val="24"/>
      <w:szCs w:val="24"/>
      <w:lang w:val="en-US" w:eastAsia="zh-CN" w:bidi="ar-SA"/>
    </w:rPr>
  </w:style>
  <w:style w:type="paragraph" w:customStyle="1" w:styleId="181">
    <w:name w:val="晓丹"/>
    <w:basedOn w:val="46"/>
    <w:link w:val="180"/>
    <w:qFormat/>
    <w:uiPriority w:val="0"/>
    <w:pPr>
      <w:snapToGrid w:val="0"/>
      <w:spacing w:after="0" w:line="360" w:lineRule="auto"/>
      <w:ind w:firstLine="200" w:firstLineChars="200"/>
      <w:jc w:val="both"/>
    </w:pPr>
    <w:rPr>
      <w:rFonts w:ascii="宋体" w:hAnsi="宋体"/>
      <w:color w:val="000000"/>
      <w:spacing w:val="6"/>
      <w:szCs w:val="24"/>
    </w:rPr>
  </w:style>
  <w:style w:type="character" w:customStyle="1" w:styleId="182">
    <w:name w:val="表号 Char1"/>
    <w:basedOn w:val="50"/>
    <w:link w:val="183"/>
    <w:qFormat/>
    <w:uiPriority w:val="0"/>
    <w:rPr>
      <w:rFonts w:ascii="黑体" w:eastAsia="黑体"/>
      <w:b/>
      <w:color w:val="000000"/>
      <w:kern w:val="2"/>
      <w:sz w:val="24"/>
      <w:szCs w:val="24"/>
      <w:lang w:val="en-US" w:eastAsia="zh-CN" w:bidi="ar-SA"/>
    </w:rPr>
  </w:style>
  <w:style w:type="paragraph" w:customStyle="1" w:styleId="183">
    <w:name w:val="表号"/>
    <w:basedOn w:val="114"/>
    <w:next w:val="114"/>
    <w:link w:val="182"/>
    <w:qFormat/>
    <w:uiPriority w:val="0"/>
    <w:pPr>
      <w:tabs>
        <w:tab w:val="left" w:pos="360"/>
      </w:tabs>
      <w:spacing w:before="120" w:after="120" w:line="240" w:lineRule="atLeast"/>
      <w:ind w:left="360" w:hanging="360"/>
    </w:pPr>
    <w:rPr>
      <w:rFonts w:ascii="黑体" w:eastAsia="黑体"/>
      <w:b/>
      <w:kern w:val="2"/>
      <w:sz w:val="24"/>
      <w:szCs w:val="24"/>
    </w:rPr>
  </w:style>
  <w:style w:type="character" w:customStyle="1" w:styleId="184">
    <w:name w:val="表格内容 Char"/>
    <w:basedOn w:val="50"/>
    <w:link w:val="185"/>
    <w:qFormat/>
    <w:uiPriority w:val="0"/>
    <w:rPr>
      <w:rFonts w:eastAsia="宋体"/>
      <w:kern w:val="2"/>
      <w:sz w:val="21"/>
      <w:szCs w:val="21"/>
      <w:lang w:val="en-US" w:eastAsia="zh-CN" w:bidi="ar-SA"/>
    </w:rPr>
  </w:style>
  <w:style w:type="paragraph" w:customStyle="1" w:styleId="185">
    <w:name w:val="表格内容"/>
    <w:basedOn w:val="1"/>
    <w:link w:val="184"/>
    <w:qFormat/>
    <w:uiPriority w:val="0"/>
    <w:pPr>
      <w:jc w:val="center"/>
    </w:pPr>
    <w:rPr>
      <w:szCs w:val="21"/>
    </w:rPr>
  </w:style>
  <w:style w:type="character" w:customStyle="1" w:styleId="186">
    <w:name w:val="正文(首行缩进2字） Char"/>
    <w:basedOn w:val="50"/>
    <w:link w:val="187"/>
    <w:qFormat/>
    <w:uiPriority w:val="0"/>
    <w:rPr>
      <w:rFonts w:ascii="Arial" w:hAnsi="Arial" w:eastAsia="宋体" w:cs="Arial"/>
      <w:kern w:val="2"/>
      <w:sz w:val="24"/>
      <w:szCs w:val="24"/>
      <w:lang w:val="en-US" w:eastAsia="zh-CN" w:bidi="ar-SA"/>
    </w:rPr>
  </w:style>
  <w:style w:type="paragraph" w:customStyle="1" w:styleId="187">
    <w:name w:val="正文(首行缩进2字）"/>
    <w:basedOn w:val="1"/>
    <w:link w:val="186"/>
    <w:qFormat/>
    <w:uiPriority w:val="0"/>
    <w:pPr>
      <w:spacing w:line="480" w:lineRule="exact"/>
      <w:ind w:firstLine="200" w:firstLineChars="200"/>
    </w:pPr>
    <w:rPr>
      <w:rFonts w:ascii="Arial" w:hAnsi="Arial" w:cs="Arial"/>
    </w:rPr>
  </w:style>
  <w:style w:type="character" w:customStyle="1" w:styleId="188">
    <w:name w:val="报告书正文 Char"/>
    <w:basedOn w:val="50"/>
    <w:link w:val="189"/>
    <w:qFormat/>
    <w:uiPriority w:val="0"/>
    <w:rPr>
      <w:rFonts w:eastAsia="宋体"/>
      <w:kern w:val="2"/>
      <w:sz w:val="24"/>
      <w:szCs w:val="24"/>
      <w:lang w:val="en-US" w:eastAsia="zh-CN" w:bidi="ar-SA"/>
    </w:rPr>
  </w:style>
  <w:style w:type="paragraph" w:customStyle="1" w:styleId="189">
    <w:name w:val="报告书正文"/>
    <w:basedOn w:val="1"/>
    <w:link w:val="188"/>
    <w:semiHidden/>
    <w:qFormat/>
    <w:uiPriority w:val="0"/>
    <w:pPr>
      <w:spacing w:line="360" w:lineRule="auto"/>
      <w:ind w:firstLine="480" w:firstLineChars="200"/>
    </w:pPr>
  </w:style>
  <w:style w:type="character" w:customStyle="1" w:styleId="190">
    <w:name w:val="正文文本最新 Char Char Char Char1 Char Char Char Char Char Char1 Char"/>
    <w:basedOn w:val="50"/>
    <w:link w:val="107"/>
    <w:qFormat/>
    <w:uiPriority w:val="0"/>
    <w:rPr>
      <w:rFonts w:eastAsia="宋体"/>
      <w:bCs/>
      <w:kern w:val="2"/>
      <w:sz w:val="28"/>
      <w:szCs w:val="24"/>
      <w:lang w:val="en-US" w:eastAsia="zh-CN" w:bidi="ar-SA"/>
    </w:rPr>
  </w:style>
  <w:style w:type="character" w:customStyle="1" w:styleId="191">
    <w:name w:val="图表名称 Char Char"/>
    <w:link w:val="192"/>
    <w:qFormat/>
    <w:uiPriority w:val="0"/>
    <w:rPr>
      <w:rFonts w:eastAsia="宋体"/>
      <w:b/>
      <w:kern w:val="2"/>
      <w:sz w:val="24"/>
      <w:szCs w:val="24"/>
      <w:lang w:val="en-US" w:eastAsia="zh-CN" w:bidi="ar-SA"/>
    </w:rPr>
  </w:style>
  <w:style w:type="paragraph" w:customStyle="1" w:styleId="192">
    <w:name w:val="图表名称"/>
    <w:basedOn w:val="1"/>
    <w:link w:val="191"/>
    <w:qFormat/>
    <w:uiPriority w:val="0"/>
    <w:pPr>
      <w:spacing w:line="360" w:lineRule="auto"/>
      <w:ind w:firstLine="482" w:firstLineChars="200"/>
      <w:jc w:val="center"/>
    </w:pPr>
    <w:rPr>
      <w:b/>
    </w:rPr>
  </w:style>
  <w:style w:type="character" w:customStyle="1" w:styleId="193">
    <w:name w:val="正文格式 Char"/>
    <w:basedOn w:val="50"/>
    <w:link w:val="194"/>
    <w:qFormat/>
    <w:uiPriority w:val="0"/>
    <w:rPr>
      <w:rFonts w:eastAsia="宋体" w:cs="宋体"/>
      <w:kern w:val="2"/>
      <w:sz w:val="24"/>
      <w:szCs w:val="24"/>
      <w:lang w:val="en-US" w:eastAsia="zh-CN" w:bidi="ar-SA"/>
    </w:rPr>
  </w:style>
  <w:style w:type="paragraph" w:customStyle="1" w:styleId="194">
    <w:name w:val="正文格式"/>
    <w:basedOn w:val="1"/>
    <w:link w:val="193"/>
    <w:qFormat/>
    <w:uiPriority w:val="0"/>
    <w:pPr>
      <w:spacing w:line="360" w:lineRule="auto"/>
      <w:ind w:firstLine="480" w:firstLineChars="200"/>
    </w:pPr>
    <w:rPr>
      <w:rFonts w:cs="宋体"/>
    </w:rPr>
  </w:style>
  <w:style w:type="character" w:customStyle="1" w:styleId="195">
    <w:name w:val="正文(首行缩进)宋旭峰 Char Char"/>
    <w:basedOn w:val="50"/>
    <w:link w:val="196"/>
    <w:qFormat/>
    <w:uiPriority w:val="0"/>
    <w:rPr>
      <w:rFonts w:ascii="仿宋_GB2312" w:hAnsi="宋体" w:eastAsia="仿宋_GB2312" w:cs="Arial"/>
      <w:snapToGrid w:val="0"/>
      <w:sz w:val="24"/>
      <w:lang w:val="en-US" w:eastAsia="zh-CN" w:bidi="ar-SA"/>
    </w:rPr>
  </w:style>
  <w:style w:type="paragraph" w:customStyle="1" w:styleId="196">
    <w:name w:val="正文(首行缩进)宋旭峰"/>
    <w:basedOn w:val="14"/>
    <w:link w:val="195"/>
    <w:qFormat/>
    <w:uiPriority w:val="0"/>
    <w:pPr>
      <w:adjustRightInd w:val="0"/>
      <w:snapToGrid w:val="0"/>
      <w:ind w:firstLine="480"/>
      <w:contextualSpacing/>
    </w:pPr>
    <w:rPr>
      <w:rFonts w:ascii="仿宋_GB2312" w:hAnsi="宋体" w:eastAsia="仿宋_GB2312" w:cs="Arial"/>
      <w:snapToGrid w:val="0"/>
    </w:rPr>
  </w:style>
  <w:style w:type="character" w:customStyle="1" w:styleId="197">
    <w:name w:val="表文 Char"/>
    <w:basedOn w:val="50"/>
    <w:link w:val="198"/>
    <w:qFormat/>
    <w:uiPriority w:val="0"/>
    <w:rPr>
      <w:rFonts w:ascii="Arial" w:hAnsi="Arial" w:eastAsia="宋体"/>
      <w:kern w:val="2"/>
      <w:sz w:val="21"/>
      <w:szCs w:val="24"/>
      <w:lang w:val="en-US" w:eastAsia="zh-CN" w:bidi="ar-SA"/>
    </w:rPr>
  </w:style>
  <w:style w:type="paragraph" w:customStyle="1" w:styleId="198">
    <w:name w:val="表文"/>
    <w:basedOn w:val="1"/>
    <w:link w:val="197"/>
    <w:qFormat/>
    <w:uiPriority w:val="0"/>
    <w:pPr>
      <w:overflowPunct w:val="0"/>
      <w:spacing w:line="440" w:lineRule="exact"/>
      <w:jc w:val="center"/>
      <w:textAlignment w:val="baseline"/>
    </w:pPr>
    <w:rPr>
      <w:rFonts w:ascii="Arial" w:hAnsi="Arial"/>
    </w:rPr>
  </w:style>
  <w:style w:type="character" w:customStyle="1" w:styleId="199">
    <w:name w:val="列表项目符号 Char"/>
    <w:basedOn w:val="50"/>
    <w:link w:val="18"/>
    <w:qFormat/>
    <w:uiPriority w:val="0"/>
    <w:rPr>
      <w:rFonts w:eastAsia="宋体"/>
      <w:kern w:val="2"/>
      <w:sz w:val="21"/>
      <w:szCs w:val="24"/>
      <w:lang w:val="en-US" w:eastAsia="zh-CN" w:bidi="ar-SA"/>
    </w:rPr>
  </w:style>
  <w:style w:type="character" w:customStyle="1" w:styleId="200">
    <w:name w:val="标题 1 Char Char"/>
    <w:basedOn w:val="50"/>
    <w:qFormat/>
    <w:uiPriority w:val="0"/>
    <w:rPr>
      <w:rFonts w:eastAsia="黑体"/>
      <w:b/>
      <w:bCs/>
      <w:kern w:val="44"/>
      <w:sz w:val="32"/>
      <w:szCs w:val="44"/>
      <w:lang w:val="en-US" w:eastAsia="zh-CN" w:bidi="ar-SA"/>
    </w:rPr>
  </w:style>
  <w:style w:type="character" w:customStyle="1" w:styleId="201">
    <w:name w:val="正文文字缩进 2 Char Char"/>
    <w:qFormat/>
    <w:uiPriority w:val="0"/>
    <w:rPr>
      <w:rFonts w:eastAsia="宋体"/>
      <w:kern w:val="2"/>
      <w:sz w:val="21"/>
      <w:szCs w:val="24"/>
      <w:lang w:val="en-US" w:eastAsia="zh-CN" w:bidi="ar-SA"/>
    </w:rPr>
  </w:style>
  <w:style w:type="character" w:customStyle="1" w:styleId="202">
    <w:name w:val="普通文字 Char Char"/>
    <w:basedOn w:val="50"/>
    <w:qFormat/>
    <w:uiPriority w:val="0"/>
    <w:rPr>
      <w:rFonts w:ascii="宋体" w:hAnsi="Courier New" w:eastAsia="宋体" w:cs="Courier New"/>
      <w:kern w:val="2"/>
      <w:sz w:val="21"/>
      <w:szCs w:val="21"/>
      <w:lang w:val="en-US" w:eastAsia="zh-CN" w:bidi="ar-SA"/>
    </w:rPr>
  </w:style>
  <w:style w:type="character" w:customStyle="1" w:styleId="203">
    <w:name w:val="标题 2 Char1"/>
    <w:link w:val="3"/>
    <w:semiHidden/>
    <w:qFormat/>
    <w:uiPriority w:val="0"/>
    <w:rPr>
      <w:rFonts w:ascii="Arial" w:hAnsi="Arial" w:eastAsia="黑体"/>
      <w:b/>
      <w:bCs/>
      <w:kern w:val="2"/>
      <w:sz w:val="30"/>
      <w:szCs w:val="32"/>
      <w:lang w:val="en-US" w:eastAsia="zh-CN" w:bidi="ar-SA"/>
    </w:rPr>
  </w:style>
  <w:style w:type="character" w:customStyle="1" w:styleId="204">
    <w:name w:val="标题 2 Char"/>
    <w:basedOn w:val="50"/>
    <w:qFormat/>
    <w:uiPriority w:val="0"/>
    <w:rPr>
      <w:rFonts w:ascii="Arial" w:hAnsi="Arial" w:eastAsia="黑体"/>
      <w:b/>
      <w:kern w:val="2"/>
      <w:sz w:val="32"/>
      <w:szCs w:val="24"/>
      <w:lang w:val="en-US" w:eastAsia="zh-CN" w:bidi="ar-SA"/>
    </w:rPr>
  </w:style>
  <w:style w:type="character" w:customStyle="1" w:styleId="205">
    <w:name w:val="表、图名 Char"/>
    <w:basedOn w:val="50"/>
    <w:link w:val="206"/>
    <w:qFormat/>
    <w:uiPriority w:val="0"/>
    <w:rPr>
      <w:rFonts w:eastAsia="楷体_GB2312"/>
      <w:b/>
      <w:sz w:val="24"/>
      <w:szCs w:val="24"/>
      <w:lang w:val="en-US" w:eastAsia="zh-CN" w:bidi="ar-SA"/>
    </w:rPr>
  </w:style>
  <w:style w:type="paragraph" w:customStyle="1" w:styleId="206">
    <w:name w:val="表、图名"/>
    <w:basedOn w:val="1"/>
    <w:link w:val="205"/>
    <w:semiHidden/>
    <w:qFormat/>
    <w:uiPriority w:val="0"/>
    <w:pPr>
      <w:adjustRightInd w:val="0"/>
      <w:snapToGrid w:val="0"/>
      <w:spacing w:before="120"/>
      <w:jc w:val="center"/>
    </w:pPr>
    <w:rPr>
      <w:rFonts w:eastAsia="楷体_GB2312"/>
      <w:b/>
    </w:rPr>
  </w:style>
  <w:style w:type="character" w:customStyle="1" w:styleId="207">
    <w:name w:val="表头 Char"/>
    <w:basedOn w:val="50"/>
    <w:link w:val="208"/>
    <w:qFormat/>
    <w:uiPriority w:val="0"/>
    <w:rPr>
      <w:rFonts w:eastAsia="宋体" w:cs="宋体"/>
      <w:b/>
      <w:bCs/>
      <w:sz w:val="24"/>
      <w:szCs w:val="24"/>
      <w:lang w:val="en-US" w:eastAsia="zh-CN" w:bidi="ar-SA"/>
    </w:rPr>
  </w:style>
  <w:style w:type="paragraph" w:customStyle="1" w:styleId="208">
    <w:name w:val="表头"/>
    <w:basedOn w:val="209"/>
    <w:next w:val="1"/>
    <w:link w:val="207"/>
    <w:qFormat/>
    <w:uiPriority w:val="0"/>
    <w:pPr>
      <w:tabs>
        <w:tab w:val="left" w:pos="605"/>
      </w:tabs>
      <w:adjustRightInd w:val="0"/>
      <w:spacing w:beforeLines="50" w:line="360" w:lineRule="auto"/>
      <w:ind w:firstLine="1000" w:firstLineChars="1000"/>
    </w:pPr>
  </w:style>
  <w:style w:type="paragraph" w:customStyle="1" w:styleId="209">
    <w:name w:val="图标题"/>
    <w:basedOn w:val="68"/>
    <w:next w:val="1"/>
    <w:qFormat/>
    <w:uiPriority w:val="0"/>
    <w:pPr>
      <w:snapToGrid w:val="0"/>
      <w:jc w:val="center"/>
    </w:pPr>
    <w:rPr>
      <w:rFonts w:cs="宋体"/>
      <w:b/>
      <w:bCs/>
      <w:sz w:val="24"/>
    </w:rPr>
  </w:style>
  <w:style w:type="character" w:customStyle="1" w:styleId="210">
    <w:name w:val="批注文字 Char"/>
    <w:basedOn w:val="50"/>
    <w:link w:val="20"/>
    <w:qFormat/>
    <w:uiPriority w:val="0"/>
    <w:rPr>
      <w:rFonts w:eastAsia="宋体"/>
      <w:kern w:val="2"/>
      <w:sz w:val="21"/>
      <w:szCs w:val="24"/>
      <w:lang w:val="en-US" w:eastAsia="zh-CN" w:bidi="ar-SA"/>
    </w:rPr>
  </w:style>
  <w:style w:type="character" w:customStyle="1" w:styleId="211">
    <w:name w:val="表文 Char Char"/>
    <w:qFormat/>
    <w:uiPriority w:val="0"/>
    <w:rPr>
      <w:snapToGrid w:val="0"/>
      <w:kern w:val="28"/>
      <w:position w:val="-24"/>
      <w:szCs w:val="21"/>
      <w:lang w:val="en-US" w:eastAsia="zh-CN"/>
    </w:rPr>
  </w:style>
  <w:style w:type="character" w:customStyle="1" w:styleId="212">
    <w:name w:val="标题 2 Char Char"/>
    <w:basedOn w:val="50"/>
    <w:qFormat/>
    <w:uiPriority w:val="0"/>
    <w:rPr>
      <w:rFonts w:eastAsia="宋体"/>
      <w:b/>
      <w:bCs/>
      <w:kern w:val="2"/>
      <w:sz w:val="28"/>
      <w:szCs w:val="28"/>
      <w:lang w:val="en-US" w:eastAsia="zh-CN" w:bidi="ar-SA"/>
    </w:rPr>
  </w:style>
  <w:style w:type="character" w:customStyle="1" w:styleId="213">
    <w:name w:val="标题 1 Char1"/>
    <w:link w:val="2"/>
    <w:qFormat/>
    <w:uiPriority w:val="0"/>
    <w:rPr>
      <w:rFonts w:eastAsia="宋体"/>
      <w:b/>
      <w:bCs/>
      <w:kern w:val="44"/>
      <w:sz w:val="44"/>
      <w:szCs w:val="44"/>
      <w:lang w:val="en-US" w:eastAsia="zh-CN" w:bidi="ar-SA"/>
    </w:rPr>
  </w:style>
  <w:style w:type="character" w:customStyle="1" w:styleId="214">
    <w:name w:val="Char Char5"/>
    <w:basedOn w:val="50"/>
    <w:qFormat/>
    <w:uiPriority w:val="0"/>
    <w:rPr>
      <w:rFonts w:eastAsia="宋体"/>
      <w:kern w:val="2"/>
      <w:sz w:val="21"/>
      <w:szCs w:val="24"/>
      <w:lang w:val="en-US" w:eastAsia="zh-CN" w:bidi="ar-SA"/>
    </w:rPr>
  </w:style>
  <w:style w:type="character" w:customStyle="1" w:styleId="215">
    <w:name w:val="正文首行缩进 Char"/>
    <w:basedOn w:val="50"/>
    <w:link w:val="46"/>
    <w:qFormat/>
    <w:uiPriority w:val="0"/>
    <w:rPr>
      <w:rFonts w:ascii="Arial" w:hAnsi="Arial" w:eastAsia="宋体"/>
      <w:sz w:val="24"/>
      <w:lang w:val="en-US" w:eastAsia="zh-CN" w:bidi="ar-SA"/>
    </w:rPr>
  </w:style>
  <w:style w:type="character" w:customStyle="1" w:styleId="216">
    <w:name w:val="Char Char9"/>
    <w:qFormat/>
    <w:uiPriority w:val="0"/>
    <w:rPr>
      <w:rFonts w:eastAsia="宋体"/>
      <w:kern w:val="2"/>
      <w:sz w:val="21"/>
      <w:lang w:bidi="ar-SA"/>
    </w:rPr>
  </w:style>
  <w:style w:type="character" w:customStyle="1" w:styleId="217">
    <w:name w:val="标题 1 Char"/>
    <w:basedOn w:val="50"/>
    <w:qFormat/>
    <w:uiPriority w:val="0"/>
    <w:rPr>
      <w:rFonts w:eastAsia="宋体"/>
      <w:b/>
      <w:bCs/>
      <w:kern w:val="44"/>
      <w:sz w:val="44"/>
      <w:szCs w:val="44"/>
      <w:lang w:val="en-US" w:eastAsia="zh-CN" w:bidi="ar-SA"/>
    </w:rPr>
  </w:style>
  <w:style w:type="paragraph" w:customStyle="1" w:styleId="218">
    <w:name w:val="a-文本缩2"/>
    <w:qFormat/>
    <w:uiPriority w:val="0"/>
    <w:pPr>
      <w:widowControl w:val="0"/>
      <w:adjustRightInd w:val="0"/>
      <w:snapToGrid w:val="0"/>
      <w:spacing w:line="360" w:lineRule="auto"/>
      <w:ind w:firstLine="480" w:firstLineChars="200"/>
      <w:jc w:val="both"/>
    </w:pPr>
    <w:rPr>
      <w:rFonts w:ascii="Times New Roman" w:hAnsi="Times New Roman" w:eastAsia="宋体" w:cs="Times New Roman"/>
      <w:kern w:val="2"/>
      <w:sz w:val="24"/>
      <w:szCs w:val="21"/>
      <w:lang w:val="en-US" w:eastAsia="zh-CN" w:bidi="ar-SA"/>
    </w:rPr>
  </w:style>
  <w:style w:type="paragraph" w:customStyle="1" w:styleId="219">
    <w:name w:val="gao 1"/>
    <w:basedOn w:val="1"/>
    <w:qFormat/>
    <w:uiPriority w:val="0"/>
    <w:rPr>
      <w:rFonts w:eastAsia="方正大标宋简体"/>
      <w:sz w:val="28"/>
    </w:rPr>
  </w:style>
  <w:style w:type="paragraph" w:customStyle="1" w:styleId="220">
    <w:name w:val="样式 样式 正文文字-1 + 首行缩进:  2.1 字符1 + 首行缩进:  2.1 字符"/>
    <w:basedOn w:val="1"/>
    <w:qFormat/>
    <w:uiPriority w:val="0"/>
    <w:pPr>
      <w:spacing w:before="120" w:after="120" w:line="400" w:lineRule="exact"/>
      <w:ind w:firstLine="210" w:firstLineChars="210"/>
    </w:pPr>
    <w:rPr>
      <w:rFonts w:ascii="Times New Roman" w:cs="宋体"/>
      <w:kern w:val="2"/>
    </w:rPr>
  </w:style>
  <w:style w:type="paragraph" w:customStyle="1" w:styleId="221">
    <w:name w:val="xl38"/>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hAnsi="宋体"/>
      <w:sz w:val="28"/>
      <w:szCs w:val="28"/>
    </w:rPr>
  </w:style>
  <w:style w:type="paragraph" w:customStyle="1" w:styleId="222">
    <w:name w:val="xl5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223">
    <w:name w:val="陈表格中内容，两端对齐"/>
    <w:basedOn w:val="78"/>
    <w:next w:val="78"/>
    <w:qFormat/>
    <w:uiPriority w:val="0"/>
    <w:pPr>
      <w:jc w:val="left"/>
    </w:pPr>
  </w:style>
  <w:style w:type="paragraph" w:customStyle="1" w:styleId="224">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Arial" w:hAnsi="Arial" w:cs="Arial"/>
      <w:sz w:val="22"/>
      <w:szCs w:val="22"/>
    </w:rPr>
  </w:style>
  <w:style w:type="paragraph" w:customStyle="1" w:styleId="225">
    <w:name w:val="xl43"/>
    <w:basedOn w:val="1"/>
    <w:qFormat/>
    <w:uiPriority w:val="0"/>
    <w:pPr>
      <w:widowControl/>
      <w:pBdr>
        <w:left w:val="single" w:color="auto" w:sz="4" w:space="0"/>
      </w:pBdr>
      <w:spacing w:before="100" w:beforeAutospacing="1" w:after="100" w:afterAutospacing="1"/>
      <w:jc w:val="center"/>
      <w:textAlignment w:val="top"/>
    </w:pPr>
    <w:rPr>
      <w:rFonts w:hAnsi="宋体"/>
      <w:szCs w:val="21"/>
    </w:rPr>
  </w:style>
  <w:style w:type="paragraph" w:customStyle="1" w:styleId="226">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227">
    <w:name w:val="电镀表"/>
    <w:basedOn w:val="1"/>
    <w:qFormat/>
    <w:uiPriority w:val="0"/>
    <w:pPr>
      <w:autoSpaceDE w:val="0"/>
      <w:autoSpaceDN w:val="0"/>
      <w:adjustRightInd w:val="0"/>
      <w:snapToGrid w:val="0"/>
      <w:spacing w:line="300" w:lineRule="exact"/>
      <w:jc w:val="center"/>
      <w:textAlignment w:val="center"/>
    </w:pPr>
    <w:rPr>
      <w:szCs w:val="21"/>
    </w:rPr>
  </w:style>
  <w:style w:type="paragraph" w:customStyle="1" w:styleId="228">
    <w:name w:val="正文表格"/>
    <w:basedOn w:val="1"/>
    <w:qFormat/>
    <w:uiPriority w:val="0"/>
    <w:pPr>
      <w:keepNext/>
      <w:keepLines/>
      <w:tabs>
        <w:tab w:val="center" w:pos="6804"/>
      </w:tabs>
      <w:overflowPunct w:val="0"/>
      <w:adjustRightInd w:val="0"/>
      <w:spacing w:before="80"/>
      <w:jc w:val="center"/>
      <w:textAlignment w:val="bottom"/>
    </w:pPr>
  </w:style>
  <w:style w:type="paragraph" w:customStyle="1" w:styleId="22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rPr>
  </w:style>
  <w:style w:type="paragraph" w:customStyle="1" w:styleId="230">
    <w:name w:val="Table Description"/>
    <w:next w:val="1"/>
    <w:qFormat/>
    <w:uiPriority w:val="0"/>
    <w:pPr>
      <w:keepNext/>
      <w:snapToGrid w:val="0"/>
      <w:spacing w:before="160" w:after="80"/>
      <w:jc w:val="center"/>
    </w:pPr>
    <w:rPr>
      <w:rFonts w:ascii="Arial" w:hAnsi="Arial" w:eastAsia="黑体" w:cs="Times New Roman"/>
      <w:sz w:val="18"/>
      <w:lang w:val="en-US" w:eastAsia="zh-CN" w:bidi="ar-SA"/>
    </w:rPr>
  </w:style>
  <w:style w:type="paragraph" w:customStyle="1" w:styleId="231">
    <w:name w:val="0正文"/>
    <w:basedOn w:val="16"/>
    <w:next w:val="34"/>
    <w:unhideWhenUsed/>
    <w:qFormat/>
    <w:uiPriority w:val="0"/>
    <w:pPr>
      <w:spacing w:line="360" w:lineRule="auto"/>
      <w:ind w:firstLine="720" w:firstLineChars="200"/>
    </w:pPr>
    <w:rPr>
      <w:rFonts w:ascii="Times New Roman" w:eastAsia="宋体"/>
      <w:szCs w:val="22"/>
    </w:rPr>
  </w:style>
  <w:style w:type="paragraph" w:customStyle="1" w:styleId="232">
    <w:name w:val="xl73"/>
    <w:basedOn w:val="1"/>
    <w:qFormat/>
    <w:uiPriority w:val="0"/>
    <w:pPr>
      <w:widowControl/>
      <w:spacing w:before="100" w:beforeAutospacing="1" w:after="100" w:afterAutospacing="1"/>
      <w:jc w:val="center"/>
      <w:textAlignment w:val="bottom"/>
    </w:pPr>
    <w:rPr>
      <w:rFonts w:hint="eastAsia" w:hAnsi="宋体"/>
      <w:sz w:val="28"/>
      <w:szCs w:val="28"/>
    </w:rPr>
  </w:style>
  <w:style w:type="paragraph" w:customStyle="1" w:styleId="233">
    <w:name w:val="段落2"/>
    <w:basedOn w:val="234"/>
    <w:qFormat/>
    <w:uiPriority w:val="0"/>
    <w:pPr>
      <w:ind w:firstLine="454"/>
    </w:pPr>
  </w:style>
  <w:style w:type="paragraph" w:customStyle="1" w:styleId="234">
    <w:name w:val="段落"/>
    <w:basedOn w:val="1"/>
    <w:qFormat/>
    <w:uiPriority w:val="0"/>
    <w:pPr>
      <w:adjustRightInd w:val="0"/>
      <w:spacing w:line="400" w:lineRule="atLeast"/>
      <w:ind w:firstLine="482"/>
      <w:jc w:val="left"/>
      <w:textAlignment w:val="baseline"/>
    </w:pPr>
    <w:rPr>
      <w:sz w:val="28"/>
    </w:rPr>
  </w:style>
  <w:style w:type="paragraph" w:customStyle="1" w:styleId="235">
    <w:name w:val="font0"/>
    <w:basedOn w:val="1"/>
    <w:qFormat/>
    <w:uiPriority w:val="0"/>
    <w:pPr>
      <w:widowControl/>
      <w:spacing w:before="100" w:beforeAutospacing="1" w:after="100" w:afterAutospacing="1"/>
      <w:jc w:val="left"/>
    </w:pPr>
    <w:rPr>
      <w:rFonts w:hint="eastAsia" w:hAnsi="宋体"/>
    </w:rPr>
  </w:style>
  <w:style w:type="paragraph" w:customStyle="1" w:styleId="236">
    <w:name w:val="列出段落2"/>
    <w:basedOn w:val="1"/>
    <w:qFormat/>
    <w:uiPriority w:val="0"/>
    <w:pPr>
      <w:ind w:firstLine="420" w:firstLineChars="200"/>
    </w:pPr>
    <w:rPr>
      <w:rFonts w:ascii="Calibri" w:hAnsi="Calibri"/>
      <w:szCs w:val="22"/>
    </w:rPr>
  </w:style>
  <w:style w:type="paragraph" w:customStyle="1" w:styleId="237">
    <w:name w:val="font11"/>
    <w:basedOn w:val="1"/>
    <w:qFormat/>
    <w:uiPriority w:val="0"/>
    <w:pPr>
      <w:widowControl/>
      <w:spacing w:before="100" w:beforeAutospacing="1" w:after="100" w:afterAutospacing="1"/>
      <w:jc w:val="left"/>
    </w:pPr>
    <w:rPr>
      <w:b/>
      <w:bCs/>
      <w:sz w:val="36"/>
      <w:szCs w:val="36"/>
    </w:rPr>
  </w:style>
  <w:style w:type="paragraph" w:customStyle="1" w:styleId="238">
    <w:name w:val="Default"/>
    <w:basedOn w:val="239"/>
    <w:qFormat/>
    <w:uiPriority w:val="0"/>
    <w:pPr>
      <w:widowControl w:val="0"/>
      <w:autoSpaceDE w:val="0"/>
      <w:autoSpaceDN w:val="0"/>
      <w:adjustRightInd w:val="0"/>
    </w:pPr>
    <w:rPr>
      <w:rFonts w:ascii="宋体" w:hAnsi="Times New Roman" w:eastAsia="仿宋" w:cs="宋体"/>
      <w:color w:val="000000"/>
      <w:sz w:val="24"/>
      <w:szCs w:val="24"/>
      <w:lang w:val="en-US" w:eastAsia="zh-CN" w:bidi="ar-SA"/>
    </w:rPr>
  </w:style>
  <w:style w:type="paragraph" w:customStyle="1" w:styleId="239">
    <w:name w:val="纯文本1"/>
    <w:basedOn w:val="1"/>
    <w:qFormat/>
    <w:uiPriority w:val="0"/>
    <w:pPr>
      <w:adjustRightInd w:val="0"/>
      <w:textAlignment w:val="baseline"/>
    </w:pPr>
    <w:rPr>
      <w:rFonts w:ascii="宋体" w:hAnsi="Courier New"/>
      <w:szCs w:val="20"/>
    </w:rPr>
  </w:style>
  <w:style w:type="paragraph" w:customStyle="1" w:styleId="240">
    <w:name w:val="目录样式"/>
    <w:basedOn w:val="1"/>
    <w:qFormat/>
    <w:uiPriority w:val="0"/>
    <w:pPr>
      <w:spacing w:line="360" w:lineRule="auto"/>
      <w:jc w:val="center"/>
    </w:pPr>
    <w:rPr>
      <w:b/>
      <w:sz w:val="36"/>
    </w:rPr>
  </w:style>
  <w:style w:type="paragraph" w:customStyle="1" w:styleId="241">
    <w:name w:val="流程图"/>
    <w:basedOn w:val="1"/>
    <w:qFormat/>
    <w:uiPriority w:val="0"/>
    <w:pPr>
      <w:tabs>
        <w:tab w:val="left" w:pos="0"/>
      </w:tabs>
      <w:autoSpaceDE w:val="0"/>
      <w:autoSpaceDN w:val="0"/>
      <w:adjustRightInd w:val="0"/>
      <w:spacing w:line="240" w:lineRule="atLeast"/>
      <w:jc w:val="center"/>
      <w:textAlignment w:val="bottom"/>
    </w:pPr>
  </w:style>
  <w:style w:type="paragraph" w:customStyle="1" w:styleId="242">
    <w:name w:val="样式 正文-1 + 首行缩进:  0 字符"/>
    <w:basedOn w:val="1"/>
    <w:qFormat/>
    <w:uiPriority w:val="0"/>
    <w:pPr>
      <w:adjustRightInd w:val="0"/>
      <w:spacing w:line="520" w:lineRule="exact"/>
      <w:jc w:val="left"/>
      <w:textAlignment w:val="baseline"/>
    </w:pPr>
    <w:rPr>
      <w:sz w:val="28"/>
    </w:rPr>
  </w:style>
  <w:style w:type="paragraph" w:customStyle="1" w:styleId="24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hint="eastAsia" w:hAnsi="宋体"/>
    </w:rPr>
  </w:style>
  <w:style w:type="paragraph" w:customStyle="1" w:styleId="244">
    <w:name w:val="表"/>
    <w:basedOn w:val="1"/>
    <w:next w:val="1"/>
    <w:qFormat/>
    <w:uiPriority w:val="0"/>
    <w:pPr>
      <w:adjustRightInd w:val="0"/>
      <w:spacing w:before="120"/>
      <w:jc w:val="center"/>
      <w:textAlignment w:val="baseline"/>
    </w:pPr>
  </w:style>
  <w:style w:type="paragraph" w:customStyle="1" w:styleId="245">
    <w:name w:val="表格样式1"/>
    <w:basedOn w:val="1"/>
    <w:qFormat/>
    <w:uiPriority w:val="0"/>
    <w:pPr>
      <w:adjustRightInd w:val="0"/>
      <w:spacing w:line="20" w:lineRule="atLeast"/>
      <w:jc w:val="center"/>
      <w:textAlignment w:val="baseline"/>
    </w:pPr>
  </w:style>
  <w:style w:type="paragraph" w:customStyle="1" w:styleId="246">
    <w:name w:val="封面单位名称英语"/>
    <w:basedOn w:val="1"/>
    <w:qFormat/>
    <w:uiPriority w:val="0"/>
    <w:pPr>
      <w:spacing w:before="156" w:after="156" w:line="360" w:lineRule="auto"/>
      <w:jc w:val="center"/>
    </w:pPr>
    <w:rPr>
      <w:rFonts w:cs="宋体"/>
      <w:b/>
      <w:bCs/>
    </w:rPr>
  </w:style>
  <w:style w:type="paragraph" w:customStyle="1" w:styleId="247">
    <w:name w:val="Char"/>
    <w:basedOn w:val="1"/>
    <w:qFormat/>
    <w:uiPriority w:val="0"/>
  </w:style>
  <w:style w:type="paragraph" w:customStyle="1" w:styleId="248">
    <w:name w:val="Char Char Char Char Char Char Char"/>
    <w:basedOn w:val="1"/>
    <w:qFormat/>
    <w:uiPriority w:val="0"/>
  </w:style>
  <w:style w:type="paragraph" w:customStyle="1" w:styleId="249">
    <w:name w:val="xl55"/>
    <w:basedOn w:val="1"/>
    <w:qFormat/>
    <w:uiPriority w:val="0"/>
    <w:pPr>
      <w:widowControl/>
      <w:pBdr>
        <w:top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250">
    <w:name w:val="样式a"/>
    <w:basedOn w:val="1"/>
    <w:qFormat/>
    <w:uiPriority w:val="0"/>
    <w:pPr>
      <w:jc w:val="center"/>
    </w:pPr>
    <w:rPr>
      <w:rFonts w:ascii="Times New Roman" w:cs="宋体"/>
      <w:kern w:val="2"/>
    </w:rPr>
  </w:style>
  <w:style w:type="paragraph" w:customStyle="1" w:styleId="251">
    <w:name w:val="xl5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252">
    <w:name w:val="样式 标题1-1 + 首行缩进:  0 字符"/>
    <w:basedOn w:val="1"/>
    <w:qFormat/>
    <w:uiPriority w:val="0"/>
    <w:pPr>
      <w:keepNext/>
      <w:tabs>
        <w:tab w:val="left" w:pos="5880"/>
      </w:tabs>
      <w:autoSpaceDE w:val="0"/>
      <w:autoSpaceDN w:val="0"/>
      <w:adjustRightInd w:val="0"/>
      <w:spacing w:line="660" w:lineRule="exact"/>
      <w:jc w:val="left"/>
      <w:outlineLvl w:val="0"/>
    </w:pPr>
    <w:rPr>
      <w:b/>
      <w:bCs/>
      <w:color w:val="000000"/>
      <w:sz w:val="28"/>
      <w:szCs w:val="28"/>
    </w:rPr>
  </w:style>
  <w:style w:type="paragraph" w:customStyle="1" w:styleId="25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hint="eastAsia" w:hAnsi="宋体"/>
    </w:rPr>
  </w:style>
  <w:style w:type="paragraph" w:customStyle="1" w:styleId="254">
    <w:name w:val="工程建设项标题"/>
    <w:basedOn w:val="255"/>
    <w:qFormat/>
    <w:uiPriority w:val="0"/>
    <w:pPr>
      <w:tabs>
        <w:tab w:val="left" w:pos="360"/>
        <w:tab w:val="left" w:pos="525"/>
        <w:tab w:val="left" w:pos="735"/>
        <w:tab w:val="left" w:pos="1440"/>
        <w:tab w:val="left" w:pos="1980"/>
        <w:tab w:val="left" w:pos="2400"/>
        <w:tab w:val="left" w:pos="3240"/>
        <w:tab w:val="left" w:pos="3660"/>
      </w:tabs>
      <w:ind w:left="1021" w:hanging="1021"/>
    </w:pPr>
  </w:style>
  <w:style w:type="paragraph" w:customStyle="1" w:styleId="255">
    <w:name w:val="工程建设款标题"/>
    <w:basedOn w:val="256"/>
    <w:next w:val="259"/>
    <w:qFormat/>
    <w:uiPriority w:val="0"/>
    <w:pPr>
      <w:tabs>
        <w:tab w:val="left" w:pos="360"/>
        <w:tab w:val="left" w:pos="525"/>
        <w:tab w:val="left" w:pos="735"/>
        <w:tab w:val="left" w:pos="1440"/>
        <w:tab w:val="left" w:pos="1980"/>
        <w:tab w:val="left" w:pos="2400"/>
        <w:tab w:val="left" w:pos="3240"/>
      </w:tabs>
      <w:ind w:left="3240"/>
      <w:outlineLvl w:val="9"/>
    </w:pPr>
  </w:style>
  <w:style w:type="paragraph" w:customStyle="1" w:styleId="256">
    <w:name w:val="工程建设条标题"/>
    <w:basedOn w:val="257"/>
    <w:next w:val="259"/>
    <w:qFormat/>
    <w:uiPriority w:val="0"/>
    <w:pPr>
      <w:tabs>
        <w:tab w:val="left" w:pos="360"/>
        <w:tab w:val="left" w:pos="525"/>
        <w:tab w:val="left" w:pos="735"/>
        <w:tab w:val="left" w:pos="1440"/>
        <w:tab w:val="left" w:pos="1980"/>
        <w:tab w:val="left" w:pos="2400"/>
      </w:tabs>
      <w:spacing w:before="0" w:after="0"/>
      <w:ind w:left="2400" w:hanging="420"/>
      <w:jc w:val="both"/>
      <w:outlineLvl w:val="3"/>
    </w:pPr>
    <w:rPr>
      <w:b w:val="0"/>
    </w:rPr>
  </w:style>
  <w:style w:type="paragraph" w:customStyle="1" w:styleId="257">
    <w:name w:val="工程建设节标题"/>
    <w:basedOn w:val="258"/>
    <w:next w:val="259"/>
    <w:qFormat/>
    <w:uiPriority w:val="0"/>
    <w:pPr>
      <w:tabs>
        <w:tab w:val="left" w:pos="360"/>
        <w:tab w:val="left" w:pos="525"/>
        <w:tab w:val="left" w:pos="1980"/>
      </w:tabs>
      <w:spacing w:before="400" w:after="400" w:line="240" w:lineRule="auto"/>
      <w:ind w:left="1980" w:hanging="420"/>
      <w:outlineLvl w:val="2"/>
    </w:pPr>
    <w:rPr>
      <w:sz w:val="21"/>
    </w:rPr>
  </w:style>
  <w:style w:type="paragraph" w:customStyle="1" w:styleId="258">
    <w:name w:val="工程建设章标题"/>
    <w:next w:val="259"/>
    <w:qFormat/>
    <w:uiPriority w:val="0"/>
    <w:pPr>
      <w:tabs>
        <w:tab w:val="left" w:pos="360"/>
      </w:tabs>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59">
    <w:name w:val="段"/>
    <w:basedOn w:val="1"/>
    <w:qFormat/>
    <w:uiPriority w:val="0"/>
    <w:pPr>
      <w:spacing w:after="120" w:line="360" w:lineRule="auto"/>
      <w:ind w:firstLine="533"/>
    </w:pPr>
    <w:rPr>
      <w:rFonts w:ascii="Arial" w:hAnsi="Arial"/>
      <w:spacing w:val="10"/>
    </w:rPr>
  </w:style>
  <w:style w:type="paragraph" w:customStyle="1" w:styleId="260">
    <w:name w:val="BG"/>
    <w:basedOn w:val="1"/>
    <w:next w:val="1"/>
    <w:qFormat/>
    <w:uiPriority w:val="0"/>
    <w:pPr>
      <w:tabs>
        <w:tab w:val="left" w:pos="1134"/>
      </w:tabs>
      <w:adjustRightInd w:val="0"/>
      <w:spacing w:line="360" w:lineRule="atLeast"/>
      <w:jc w:val="center"/>
      <w:textAlignment w:val="baseline"/>
    </w:pPr>
    <w:rPr>
      <w:rFonts w:ascii="Arial" w:hAnsi="Arial"/>
    </w:rPr>
  </w:style>
  <w:style w:type="paragraph" w:customStyle="1" w:styleId="261">
    <w:name w:val="样式 责任表内填写多行EPAJW120926 + 粉红"/>
    <w:basedOn w:val="262"/>
    <w:qFormat/>
    <w:uiPriority w:val="0"/>
  </w:style>
  <w:style w:type="paragraph" w:customStyle="1" w:styleId="262">
    <w:name w:val="责任表内填写EPAJW120926"/>
    <w:basedOn w:val="1"/>
    <w:qFormat/>
    <w:uiPriority w:val="0"/>
    <w:pPr>
      <w:spacing w:before="120" w:line="360" w:lineRule="auto"/>
      <w:ind w:hanging="108"/>
      <w:jc w:val="center"/>
    </w:pPr>
    <w:rPr>
      <w:rFonts w:cs="宋体"/>
      <w:sz w:val="28"/>
    </w:rPr>
  </w:style>
  <w:style w:type="paragraph" w:customStyle="1" w:styleId="263">
    <w:name w:val="xl7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bottom"/>
    </w:pPr>
    <w:rPr>
      <w:rFonts w:hint="eastAsia" w:hAnsi="宋体"/>
    </w:rPr>
  </w:style>
  <w:style w:type="paragraph" w:customStyle="1" w:styleId="264">
    <w:name w:val="样式1"/>
    <w:basedOn w:val="218"/>
    <w:qFormat/>
    <w:uiPriority w:val="0"/>
    <w:pPr>
      <w:widowControl/>
      <w:spacing w:before="80" w:after="80" w:line="540" w:lineRule="exact"/>
      <w:ind w:left="-2"/>
    </w:pPr>
    <w:rPr>
      <w:rFonts w:ascii="Arial" w:hAnsi="Arial"/>
      <w:bCs/>
      <w:kern w:val="0"/>
      <w:szCs w:val="48"/>
    </w:rPr>
  </w:style>
  <w:style w:type="paragraph" w:customStyle="1" w:styleId="265">
    <w:name w:val="家具表格内文字"/>
    <w:basedOn w:val="1"/>
    <w:qFormat/>
    <w:uiPriority w:val="0"/>
    <w:pPr>
      <w:jc w:val="center"/>
    </w:pPr>
    <w:rPr>
      <w:sz w:val="21"/>
      <w:szCs w:val="21"/>
    </w:rPr>
  </w:style>
  <w:style w:type="paragraph" w:customStyle="1" w:styleId="266">
    <w:name w:val="Item Step"/>
    <w:qFormat/>
    <w:uiPriority w:val="0"/>
    <w:pPr>
      <w:tabs>
        <w:tab w:val="left" w:pos="2211"/>
      </w:tabs>
      <w:spacing w:line="300" w:lineRule="auto"/>
      <w:ind w:left="2211" w:hanging="510"/>
      <w:jc w:val="both"/>
    </w:pPr>
    <w:rPr>
      <w:rFonts w:ascii="Arial" w:hAnsi="Arial" w:eastAsia="仿宋" w:cs="Times New Roman"/>
      <w:sz w:val="21"/>
      <w:lang w:val="en-US" w:eastAsia="zh-CN" w:bidi="ar-SA"/>
    </w:rPr>
  </w:style>
  <w:style w:type="paragraph" w:customStyle="1" w:styleId="267">
    <w:name w:val="正文11"/>
    <w:qFormat/>
    <w:uiPriority w:val="0"/>
    <w:pPr>
      <w:widowControl w:val="0"/>
      <w:adjustRightInd w:val="0"/>
      <w:spacing w:line="360" w:lineRule="atLeast"/>
    </w:pPr>
    <w:rPr>
      <w:rFonts w:ascii="Times New Roman" w:hAnsi="Times New Roman" w:eastAsia="宋体" w:cs="Times New Roman"/>
      <w:snapToGrid w:val="0"/>
      <w:sz w:val="24"/>
      <w:szCs w:val="24"/>
      <w:lang w:val="en-US" w:eastAsia="zh-CN" w:bidi="ar-SA"/>
    </w:rPr>
  </w:style>
  <w:style w:type="paragraph" w:customStyle="1" w:styleId="268">
    <w:name w:val="标准"/>
    <w:basedOn w:val="1"/>
    <w:qFormat/>
    <w:uiPriority w:val="0"/>
    <w:pPr>
      <w:adjustRightInd w:val="0"/>
      <w:spacing w:line="312" w:lineRule="atLeast"/>
      <w:textAlignment w:val="baseline"/>
    </w:pPr>
    <w:rPr>
      <w:sz w:val="30"/>
    </w:rPr>
  </w:style>
  <w:style w:type="paragraph" w:customStyle="1" w:styleId="269">
    <w:name w:val="xl5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270">
    <w:name w:val="符号说明"/>
    <w:basedOn w:val="1"/>
    <w:qFormat/>
    <w:uiPriority w:val="0"/>
    <w:pPr>
      <w:tabs>
        <w:tab w:val="left" w:pos="1260"/>
        <w:tab w:val="left" w:pos="3780"/>
        <w:tab w:val="left" w:pos="4680"/>
      </w:tabs>
      <w:spacing w:line="0" w:lineRule="atLeast"/>
      <w:ind w:firstLine="1120" w:firstLineChars="400"/>
    </w:pPr>
    <w:rPr>
      <w:sz w:val="28"/>
    </w:rPr>
  </w:style>
  <w:style w:type="paragraph" w:styleId="271">
    <w:name w:val="List Paragraph"/>
    <w:basedOn w:val="1"/>
    <w:qFormat/>
    <w:uiPriority w:val="0"/>
    <w:pPr>
      <w:ind w:firstLine="420" w:firstLineChars="200"/>
    </w:pPr>
  </w:style>
  <w:style w:type="paragraph" w:customStyle="1" w:styleId="272">
    <w:name w:val="居中对齐"/>
    <w:basedOn w:val="1"/>
    <w:qFormat/>
    <w:uiPriority w:val="0"/>
    <w:pPr>
      <w:jc w:val="center"/>
    </w:pPr>
  </w:style>
  <w:style w:type="paragraph" w:customStyle="1" w:styleId="273">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274">
    <w:name w:val="李巍"/>
    <w:basedOn w:val="1"/>
    <w:qFormat/>
    <w:uiPriority w:val="0"/>
    <w:pPr>
      <w:tabs>
        <w:tab w:val="left" w:pos="0"/>
      </w:tabs>
      <w:snapToGrid w:val="0"/>
      <w:spacing w:line="360" w:lineRule="auto"/>
      <w:ind w:firstLine="480" w:firstLineChars="200"/>
    </w:pPr>
  </w:style>
  <w:style w:type="paragraph" w:customStyle="1" w:styleId="275">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hint="eastAsia" w:hAnsi="宋体"/>
    </w:rPr>
  </w:style>
  <w:style w:type="paragraph" w:customStyle="1" w:styleId="276">
    <w:name w:val="Char Char1 Char Char Char Char Char Char Char Char Char Char Char Char Char Char Char Char Char Char Char Char1 Char"/>
    <w:basedOn w:val="1"/>
    <w:qFormat/>
    <w:uiPriority w:val="0"/>
    <w:pPr>
      <w:spacing w:line="360" w:lineRule="auto"/>
      <w:ind w:firstLine="200" w:firstLineChars="200"/>
    </w:pPr>
  </w:style>
  <w:style w:type="paragraph" w:customStyle="1" w:styleId="277">
    <w:name w:val="一级条标题"/>
    <w:basedOn w:val="2"/>
    <w:next w:val="1"/>
    <w:qFormat/>
    <w:uiPriority w:val="0"/>
    <w:pPr>
      <w:keepNext w:val="0"/>
      <w:keepLines w:val="0"/>
      <w:widowControl/>
      <w:numPr>
        <w:numId w:val="0"/>
      </w:numPr>
      <w:tabs>
        <w:tab w:val="left" w:pos="0"/>
        <w:tab w:val="left" w:pos="360"/>
        <w:tab w:val="left" w:pos="903"/>
      </w:tabs>
      <w:spacing w:before="0" w:after="0" w:line="276" w:lineRule="auto"/>
      <w:jc w:val="both"/>
      <w:outlineLvl w:val="2"/>
    </w:pPr>
    <w:rPr>
      <w:rFonts w:ascii="黑体"/>
      <w:b w:val="0"/>
      <w:bCs w:val="0"/>
      <w:kern w:val="0"/>
      <w:sz w:val="21"/>
      <w:szCs w:val="22"/>
    </w:rPr>
  </w:style>
  <w:style w:type="paragraph" w:customStyle="1" w:styleId="278">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hint="eastAsia" w:hAnsi="宋体"/>
    </w:rPr>
  </w:style>
  <w:style w:type="paragraph" w:customStyle="1" w:styleId="279">
    <w:name w:val="三级条标题"/>
    <w:basedOn w:val="1"/>
    <w:next w:val="1"/>
    <w:qFormat/>
    <w:uiPriority w:val="0"/>
    <w:pPr>
      <w:widowControl/>
      <w:tabs>
        <w:tab w:val="left" w:pos="360"/>
      </w:tabs>
      <w:jc w:val="left"/>
      <w:outlineLvl w:val="4"/>
    </w:pPr>
    <w:rPr>
      <w:rFonts w:ascii="黑体" w:eastAsia="黑体"/>
      <w:lang w:eastAsia="en-US" w:bidi="en-US"/>
    </w:rPr>
  </w:style>
  <w:style w:type="paragraph" w:customStyle="1" w:styleId="280">
    <w:name w:val="xl3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hAnsi="宋体"/>
      <w:sz w:val="28"/>
      <w:szCs w:val="28"/>
    </w:rPr>
  </w:style>
  <w:style w:type="paragraph" w:customStyle="1" w:styleId="281">
    <w:name w:val="font5"/>
    <w:basedOn w:val="1"/>
    <w:qFormat/>
    <w:uiPriority w:val="0"/>
    <w:pPr>
      <w:widowControl/>
      <w:spacing w:before="100" w:beforeAutospacing="1" w:after="100" w:afterAutospacing="1"/>
      <w:jc w:val="left"/>
    </w:pPr>
    <w:rPr>
      <w:rFonts w:ascii="Arial" w:hAnsi="Arial" w:cs="Arial"/>
    </w:rPr>
  </w:style>
  <w:style w:type="paragraph" w:customStyle="1" w:styleId="282">
    <w:name w:val="样式 标题2-1 + 首行缩进:  0 字符"/>
    <w:basedOn w:val="3"/>
    <w:qFormat/>
    <w:uiPriority w:val="0"/>
    <w:pPr>
      <w:keepLines w:val="0"/>
      <w:tabs>
        <w:tab w:val="left" w:pos="5880"/>
      </w:tabs>
      <w:autoSpaceDE w:val="0"/>
      <w:autoSpaceDN w:val="0"/>
      <w:adjustRightInd w:val="0"/>
      <w:spacing w:before="0" w:after="0" w:line="660" w:lineRule="exact"/>
      <w:jc w:val="left"/>
    </w:pPr>
    <w:rPr>
      <w:rFonts w:ascii="Times New Roman" w:hAnsi="Times New Roman" w:eastAsia="宋体"/>
      <w:bCs w:val="0"/>
      <w:sz w:val="28"/>
      <w:szCs w:val="28"/>
    </w:rPr>
  </w:style>
  <w:style w:type="paragraph" w:customStyle="1" w:styleId="283">
    <w:name w:val="Char Char Char1 Char Char Char Char Char Char Char Char Char Char Char Char1 Char Char Char Char Char Char Char Char Char Char"/>
    <w:basedOn w:val="1"/>
    <w:qFormat/>
    <w:uiPriority w:val="0"/>
  </w:style>
  <w:style w:type="paragraph" w:customStyle="1" w:styleId="284">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style>
  <w:style w:type="paragraph" w:customStyle="1" w:styleId="285">
    <w:name w:val="Body Text 22"/>
    <w:basedOn w:val="1"/>
    <w:qFormat/>
    <w:uiPriority w:val="0"/>
    <w:pPr>
      <w:adjustRightInd w:val="0"/>
      <w:spacing w:line="440" w:lineRule="atLeast"/>
      <w:ind w:firstLine="480"/>
      <w:textAlignment w:val="baseline"/>
    </w:pPr>
    <w:rPr>
      <w:rFonts w:eastAsia="仿宋_GB2312"/>
    </w:rPr>
  </w:style>
  <w:style w:type="paragraph" w:customStyle="1" w:styleId="286">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hint="eastAsia" w:hAnsi="宋体"/>
    </w:rPr>
  </w:style>
  <w:style w:type="paragraph" w:customStyle="1" w:styleId="28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hAnsi="宋体"/>
    </w:rPr>
  </w:style>
  <w:style w:type="paragraph" w:customStyle="1" w:styleId="288">
    <w:name w:val="Char Char Char Char Char Char Char3"/>
    <w:basedOn w:val="1"/>
    <w:qFormat/>
    <w:uiPriority w:val="0"/>
    <w:pPr>
      <w:spacing w:line="360" w:lineRule="auto"/>
      <w:ind w:firstLine="200" w:firstLineChars="200"/>
    </w:pPr>
    <w:rPr>
      <w:rFonts w:cs="宋体"/>
      <w:kern w:val="2"/>
      <w:szCs w:val="24"/>
    </w:rPr>
  </w:style>
  <w:style w:type="paragraph" w:customStyle="1" w:styleId="289">
    <w:name w:val="样式 样式a + 左侧:  0.42 厘米 右侧:  0.42 厘米"/>
    <w:basedOn w:val="250"/>
    <w:qFormat/>
    <w:uiPriority w:val="0"/>
    <w:pPr>
      <w:adjustRightInd w:val="0"/>
      <w:snapToGrid w:val="0"/>
    </w:pPr>
  </w:style>
  <w:style w:type="paragraph" w:customStyle="1" w:styleId="290">
    <w:name w:val="责任表内固定EPAJW120926"/>
    <w:basedOn w:val="1"/>
    <w:qFormat/>
    <w:uiPriority w:val="0"/>
    <w:pPr>
      <w:spacing w:line="360" w:lineRule="auto"/>
      <w:ind w:hanging="108"/>
      <w:jc w:val="center"/>
    </w:pPr>
    <w:rPr>
      <w:rFonts w:eastAsia="黑体" w:cs="宋体"/>
      <w:b/>
      <w:bCs/>
      <w:sz w:val="28"/>
    </w:rPr>
  </w:style>
  <w:style w:type="paragraph" w:customStyle="1" w:styleId="291">
    <w:name w:val="Char Char Char1 Char Char Char Char Char Char Char Char Char Char"/>
    <w:basedOn w:val="1"/>
    <w:qFormat/>
    <w:uiPriority w:val="0"/>
  </w:style>
  <w:style w:type="paragraph" w:customStyle="1" w:styleId="292">
    <w:name w:val="xl35"/>
    <w:basedOn w:val="1"/>
    <w:qFormat/>
    <w:uiPriority w:val="0"/>
    <w:pPr>
      <w:widowControl/>
      <w:pBdr>
        <w:left w:val="single" w:color="auto" w:sz="4" w:space="0"/>
        <w:bottom w:val="double" w:color="auto" w:sz="6" w:space="0"/>
        <w:right w:val="single" w:color="auto" w:sz="4" w:space="0"/>
      </w:pBdr>
      <w:spacing w:before="100" w:beforeAutospacing="1" w:after="100" w:afterAutospacing="1"/>
      <w:jc w:val="right"/>
      <w:textAlignment w:val="center"/>
    </w:pPr>
    <w:rPr>
      <w:rFonts w:hAnsi="宋体"/>
    </w:rPr>
  </w:style>
  <w:style w:type="paragraph" w:customStyle="1" w:styleId="293">
    <w:name w:val="Char4 Char Char Char Char Char Char"/>
    <w:basedOn w:val="1"/>
    <w:qFormat/>
    <w:uiPriority w:val="0"/>
    <w:pPr>
      <w:spacing w:line="360" w:lineRule="auto"/>
      <w:ind w:firstLine="200" w:firstLineChars="200"/>
    </w:pPr>
    <w:rPr>
      <w:rFonts w:hAnsi="宋体" w:cs="宋体"/>
    </w:rPr>
  </w:style>
  <w:style w:type="paragraph" w:customStyle="1" w:styleId="294">
    <w:name w:val="封面格式1"/>
    <w:qFormat/>
    <w:uiPriority w:val="0"/>
    <w:pPr>
      <w:widowControl w:val="0"/>
      <w:adjustRightInd w:val="0"/>
      <w:spacing w:line="360" w:lineRule="auto"/>
      <w:ind w:firstLine="2563" w:firstLineChars="800"/>
      <w:jc w:val="both"/>
      <w:textAlignment w:val="baseline"/>
      <w:outlineLvl w:val="0"/>
    </w:pPr>
    <w:rPr>
      <w:rFonts w:ascii="仿宋_GB2312" w:hAnsi="Times New Roman" w:eastAsia="仿宋_GB2312" w:cs="Times New Roman"/>
      <w:b/>
      <w:sz w:val="32"/>
      <w:lang w:val="en-US" w:eastAsia="zh-CN" w:bidi="ar-SA"/>
    </w:rPr>
  </w:style>
  <w:style w:type="paragraph" w:customStyle="1" w:styleId="295">
    <w:name w:val="font6"/>
    <w:basedOn w:val="1"/>
    <w:next w:val="40"/>
    <w:qFormat/>
    <w:uiPriority w:val="0"/>
    <w:pPr>
      <w:widowControl/>
      <w:spacing w:before="100" w:beforeAutospacing="1" w:after="100" w:afterAutospacing="1"/>
      <w:jc w:val="left"/>
    </w:pPr>
    <w:rPr>
      <w:rFonts w:hint="eastAsia" w:hAnsi="宋体"/>
    </w:rPr>
  </w:style>
  <w:style w:type="paragraph" w:customStyle="1" w:styleId="296">
    <w:name w:val="xl26"/>
    <w:basedOn w:val="1"/>
    <w:qFormat/>
    <w:uiPriority w:val="0"/>
    <w:pPr>
      <w:widowControl/>
      <w:spacing w:before="100" w:beforeAutospacing="1" w:after="100" w:afterAutospacing="1"/>
      <w:jc w:val="center"/>
    </w:pPr>
    <w:rPr>
      <w:rFonts w:hAnsi="宋体"/>
      <w:sz w:val="28"/>
      <w:szCs w:val="28"/>
    </w:rPr>
  </w:style>
  <w:style w:type="paragraph" w:customStyle="1" w:styleId="297">
    <w:name w:val="样式 标题 1 + 居中"/>
    <w:basedOn w:val="2"/>
    <w:qFormat/>
    <w:uiPriority w:val="0"/>
    <w:pPr>
      <w:numPr>
        <w:numId w:val="0"/>
      </w:numPr>
      <w:spacing w:beforeLines="50" w:afterLines="50" w:line="720" w:lineRule="auto"/>
      <w:jc w:val="center"/>
    </w:pPr>
    <w:rPr>
      <w:rFonts w:eastAsia="楷体_GB2312" w:cs="宋体"/>
      <w:sz w:val="28"/>
      <w:szCs w:val="20"/>
    </w:rPr>
  </w:style>
  <w:style w:type="paragraph" w:customStyle="1" w:styleId="298">
    <w:name w:val="标语"/>
    <w:basedOn w:val="1"/>
    <w:qFormat/>
    <w:uiPriority w:val="0"/>
    <w:pPr>
      <w:framePr w:w="2734" w:h="817" w:hRule="exact" w:hSpace="187" w:vSpace="187" w:wrap="around" w:vAnchor="page" w:hAnchor="page" w:x="987" w:y="14257" w:anchorLock="1"/>
      <w:widowControl/>
      <w:jc w:val="left"/>
    </w:pPr>
    <w:rPr>
      <w:rFonts w:ascii="Impact" w:hAnsi="Impact" w:eastAsia="黑体"/>
      <w:caps/>
      <w:color w:val="FFFFFF"/>
      <w:spacing w:val="20"/>
      <w:position w:val="12"/>
      <w:sz w:val="84"/>
    </w:rPr>
  </w:style>
  <w:style w:type="paragraph" w:customStyle="1" w:styleId="299">
    <w:name w:val="默认段落字体 Para Char Char Char Char"/>
    <w:basedOn w:val="1"/>
    <w:qFormat/>
    <w:uiPriority w:val="0"/>
  </w:style>
  <w:style w:type="paragraph" w:customStyle="1" w:styleId="300">
    <w:name w:val="table1"/>
    <w:basedOn w:val="1"/>
    <w:qFormat/>
    <w:uiPriority w:val="0"/>
    <w:pPr>
      <w:adjustRightInd w:val="0"/>
      <w:spacing w:line="240" w:lineRule="atLeast"/>
      <w:jc w:val="center"/>
      <w:textAlignment w:val="baseline"/>
    </w:pPr>
    <w:rPr>
      <w:rFonts w:eastAsia="黑体"/>
    </w:rPr>
  </w:style>
  <w:style w:type="paragraph" w:customStyle="1" w:styleId="301">
    <w:name w:val="样式9"/>
    <w:basedOn w:val="1"/>
    <w:qFormat/>
    <w:uiPriority w:val="0"/>
    <w:pPr>
      <w:ind w:firstLine="480" w:firstLineChars="200"/>
    </w:pPr>
    <w:rPr>
      <w:szCs w:val="24"/>
    </w:rPr>
  </w:style>
  <w:style w:type="paragraph" w:customStyle="1" w:styleId="302">
    <w:name w:val="CONT-0"/>
    <w:basedOn w:val="1"/>
    <w:qFormat/>
    <w:uiPriority w:val="0"/>
    <w:pPr>
      <w:adjustRightInd w:val="0"/>
      <w:spacing w:line="480" w:lineRule="atLeast"/>
      <w:ind w:firstLine="567"/>
      <w:textAlignment w:val="baseline"/>
    </w:pPr>
    <w:rPr>
      <w:rFonts w:eastAsia="DFKai-SB"/>
      <w:sz w:val="28"/>
      <w:lang w:eastAsia="zh-TW"/>
    </w:rPr>
  </w:style>
  <w:style w:type="paragraph" w:customStyle="1" w:styleId="303">
    <w:name w:val="xl40"/>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hAnsi="宋体"/>
      <w:sz w:val="28"/>
      <w:szCs w:val="28"/>
    </w:rPr>
  </w:style>
  <w:style w:type="paragraph" w:customStyle="1" w:styleId="304">
    <w:name w:val="xl49"/>
    <w:basedOn w:val="1"/>
    <w:qFormat/>
    <w:uiPriority w:val="0"/>
    <w:pPr>
      <w:widowControl/>
      <w:spacing w:before="100" w:beforeAutospacing="1" w:after="100" w:afterAutospacing="1"/>
      <w:jc w:val="left"/>
      <w:textAlignment w:val="bottom"/>
    </w:pPr>
    <w:rPr>
      <w:rFonts w:hint="eastAsia" w:hAnsi="宋体"/>
    </w:rPr>
  </w:style>
  <w:style w:type="paragraph" w:customStyle="1" w:styleId="305">
    <w:name w:val="font7"/>
    <w:basedOn w:val="1"/>
    <w:qFormat/>
    <w:uiPriority w:val="0"/>
    <w:pPr>
      <w:widowControl/>
      <w:spacing w:before="100" w:beforeAutospacing="1" w:after="100" w:afterAutospacing="1"/>
      <w:jc w:val="left"/>
    </w:pPr>
    <w:rPr>
      <w:rFonts w:hint="eastAsia" w:hAnsi="宋体"/>
      <w:sz w:val="18"/>
      <w:szCs w:val="18"/>
    </w:rPr>
  </w:style>
  <w:style w:type="paragraph" w:customStyle="1" w:styleId="306">
    <w:name w:val="Char1 Char Char Char Char Char"/>
    <w:basedOn w:val="1"/>
    <w:qFormat/>
    <w:uiPriority w:val="0"/>
  </w:style>
  <w:style w:type="paragraph" w:customStyle="1" w:styleId="307">
    <w:name w:val="xl48"/>
    <w:basedOn w:val="1"/>
    <w:qFormat/>
    <w:uiPriority w:val="0"/>
    <w:pPr>
      <w:widowControl/>
      <w:spacing w:before="100" w:beforeAutospacing="1" w:after="100" w:afterAutospacing="1"/>
      <w:jc w:val="left"/>
      <w:textAlignment w:val="bottom"/>
    </w:pPr>
    <w:rPr>
      <w:rFonts w:hint="eastAsia" w:hAnsi="宋体"/>
    </w:rPr>
  </w:style>
  <w:style w:type="paragraph" w:customStyle="1" w:styleId="308">
    <w:name w:val="1表格"/>
    <w:basedOn w:val="1"/>
    <w:qFormat/>
    <w:uiPriority w:val="0"/>
    <w:pPr>
      <w:snapToGrid w:val="0"/>
      <w:spacing w:line="300" w:lineRule="auto"/>
      <w:jc w:val="center"/>
    </w:pPr>
    <w:rPr>
      <w:color w:val="000000"/>
      <w:spacing w:val="4"/>
      <w:sz w:val="21"/>
      <w:szCs w:val="24"/>
    </w:rPr>
  </w:style>
  <w:style w:type="paragraph" w:customStyle="1" w:styleId="309">
    <w:name w:val="国电正文"/>
    <w:basedOn w:val="1"/>
    <w:semiHidden/>
    <w:qFormat/>
    <w:uiPriority w:val="0"/>
    <w:pPr>
      <w:spacing w:line="360" w:lineRule="auto"/>
      <w:ind w:firstLine="480" w:firstLineChars="200"/>
    </w:pPr>
    <w:rPr>
      <w:rFonts w:ascii="Times New Roman"/>
      <w:color w:val="000000"/>
      <w:kern w:val="2"/>
    </w:rPr>
  </w:style>
  <w:style w:type="paragraph" w:customStyle="1" w:styleId="310">
    <w:name w:val="Table Text"/>
    <w:qFormat/>
    <w:uiPriority w:val="0"/>
    <w:pPr>
      <w:snapToGrid w:val="0"/>
      <w:spacing w:before="80" w:after="80"/>
    </w:pPr>
    <w:rPr>
      <w:rFonts w:ascii="Arial" w:hAnsi="Arial" w:eastAsia="仿宋" w:cs="Times New Roman"/>
      <w:sz w:val="18"/>
      <w:lang w:val="en-US" w:eastAsia="zh-CN" w:bidi="ar-SA"/>
    </w:rPr>
  </w:style>
  <w:style w:type="paragraph" w:customStyle="1" w:styleId="311">
    <w:name w:val="xl34"/>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hAnsi="宋体"/>
      <w:sz w:val="28"/>
      <w:szCs w:val="28"/>
    </w:rPr>
  </w:style>
  <w:style w:type="paragraph" w:customStyle="1" w:styleId="312">
    <w:name w:val="xl74"/>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w:hAnsi="Arial" w:cs="Arial"/>
      <w:sz w:val="22"/>
      <w:szCs w:val="22"/>
    </w:rPr>
  </w:style>
  <w:style w:type="paragraph" w:customStyle="1" w:styleId="313">
    <w:name w:val="xl31"/>
    <w:basedOn w:val="1"/>
    <w:qFormat/>
    <w:uiPriority w:val="0"/>
    <w:pPr>
      <w:widowControl/>
      <w:pBdr>
        <w:bottom w:val="single" w:color="auto" w:sz="4" w:space="0"/>
        <w:right w:val="single" w:color="auto" w:sz="4" w:space="0"/>
      </w:pBdr>
      <w:spacing w:before="100" w:beforeAutospacing="1" w:after="100" w:afterAutospacing="1"/>
    </w:pPr>
    <w:rPr>
      <w:szCs w:val="21"/>
    </w:rPr>
  </w:style>
  <w:style w:type="paragraph" w:customStyle="1" w:styleId="314">
    <w:name w:val="正文00"/>
    <w:basedOn w:val="1"/>
    <w:qFormat/>
    <w:uiPriority w:val="0"/>
    <w:pPr>
      <w:spacing w:line="360" w:lineRule="auto"/>
      <w:ind w:firstLine="480" w:firstLineChars="200"/>
    </w:pPr>
    <w:rPr>
      <w:rFonts w:ascii="Calibri" w:hAnsi="Calibri"/>
      <w:kern w:val="2"/>
      <w:szCs w:val="24"/>
    </w:rPr>
  </w:style>
  <w:style w:type="paragraph" w:customStyle="1" w:styleId="315">
    <w:name w:val="样式 (符号) 宋体 小三 行距: 1.5 倍行距"/>
    <w:basedOn w:val="1"/>
    <w:qFormat/>
    <w:uiPriority w:val="0"/>
    <w:pPr>
      <w:spacing w:line="360" w:lineRule="auto"/>
      <w:ind w:firstLine="600" w:firstLineChars="200"/>
    </w:pPr>
    <w:rPr>
      <w:rFonts w:cs="宋体"/>
      <w:kern w:val="2"/>
      <w:sz w:val="28"/>
    </w:rPr>
  </w:style>
  <w:style w:type="paragraph" w:customStyle="1" w:styleId="316">
    <w:name w:val="Char1 Char Char Char Char Char Char"/>
    <w:basedOn w:val="1"/>
    <w:qFormat/>
    <w:uiPriority w:val="0"/>
  </w:style>
  <w:style w:type="paragraph" w:customStyle="1" w:styleId="317">
    <w:name w:val="xl50"/>
    <w:basedOn w:val="1"/>
    <w:qFormat/>
    <w:uiPriority w:val="0"/>
    <w:pPr>
      <w:widowControl/>
      <w:spacing w:before="100" w:beforeAutospacing="1" w:after="100" w:afterAutospacing="1"/>
      <w:jc w:val="center"/>
      <w:textAlignment w:val="bottom"/>
    </w:pPr>
    <w:rPr>
      <w:rFonts w:hint="eastAsia" w:hAnsi="宋体"/>
    </w:rPr>
  </w:style>
  <w:style w:type="paragraph" w:customStyle="1" w:styleId="318">
    <w:name w:val="样式2"/>
    <w:basedOn w:val="1"/>
    <w:qFormat/>
    <w:uiPriority w:val="0"/>
    <w:pPr>
      <w:keepNext/>
      <w:keepLines/>
      <w:spacing w:before="260" w:after="260" w:line="560" w:lineRule="exact"/>
      <w:jc w:val="left"/>
      <w:outlineLvl w:val="1"/>
    </w:pPr>
    <w:rPr>
      <w:rFonts w:eastAsia="楷体_GB2312"/>
      <w:b/>
      <w:bCs/>
      <w:sz w:val="32"/>
      <w:szCs w:val="32"/>
    </w:rPr>
  </w:style>
  <w:style w:type="paragraph" w:customStyle="1" w:styleId="319">
    <w:name w:val="样式 标题 3-1"/>
    <w:basedOn w:val="4"/>
    <w:next w:val="23"/>
    <w:qFormat/>
    <w:uiPriority w:val="0"/>
    <w:pPr>
      <w:adjustRightInd w:val="0"/>
      <w:spacing w:before="0" w:after="0" w:line="520" w:lineRule="exact"/>
      <w:jc w:val="left"/>
      <w:textAlignment w:val="baseline"/>
    </w:pPr>
    <w:rPr>
      <w:rFonts w:eastAsia="宋体"/>
      <w:color w:val="000000"/>
      <w:szCs w:val="28"/>
    </w:rPr>
  </w:style>
  <w:style w:type="paragraph" w:customStyle="1" w:styleId="320">
    <w:name w:val="xl5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321">
    <w:name w:val="编写人填写EPAJW120926"/>
    <w:basedOn w:val="1"/>
    <w:qFormat/>
    <w:uiPriority w:val="0"/>
    <w:pPr>
      <w:spacing w:line="360" w:lineRule="auto"/>
    </w:pPr>
    <w:rPr>
      <w:rFonts w:cs="宋体"/>
      <w:sz w:val="28"/>
    </w:rPr>
  </w:style>
  <w:style w:type="paragraph" w:customStyle="1" w:styleId="322">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hAnsi="宋体"/>
    </w:rPr>
  </w:style>
  <w:style w:type="paragraph" w:customStyle="1" w:styleId="323">
    <w:name w:val="xl32"/>
    <w:basedOn w:val="1"/>
    <w:qFormat/>
    <w:uiPriority w:val="0"/>
    <w:pPr>
      <w:widowControl/>
      <w:pBdr>
        <w:right w:val="single" w:color="auto" w:sz="4" w:space="0"/>
      </w:pBdr>
      <w:spacing w:before="100" w:beforeAutospacing="1" w:after="100" w:afterAutospacing="1"/>
      <w:jc w:val="center"/>
      <w:textAlignment w:val="center"/>
    </w:pPr>
    <w:rPr>
      <w:rFonts w:hAnsi="宋体"/>
    </w:rPr>
  </w:style>
  <w:style w:type="paragraph" w:customStyle="1" w:styleId="324">
    <w:name w:val="工程建设表标题"/>
    <w:basedOn w:val="256"/>
    <w:next w:val="259"/>
    <w:qFormat/>
    <w:uiPriority w:val="0"/>
    <w:pPr>
      <w:tabs>
        <w:tab w:val="left" w:pos="4080"/>
      </w:tabs>
      <w:ind w:left="4080" w:hanging="420"/>
      <w:jc w:val="center"/>
      <w:outlineLvl w:val="9"/>
    </w:pPr>
    <w:rPr>
      <w:b/>
    </w:rPr>
  </w:style>
  <w:style w:type="paragraph" w:customStyle="1" w:styleId="325">
    <w:name w:val="xl33"/>
    <w:basedOn w:val="1"/>
    <w:qFormat/>
    <w:uiPriority w:val="0"/>
    <w:pPr>
      <w:widowControl/>
      <w:spacing w:before="100" w:beforeAutospacing="1" w:after="100" w:afterAutospacing="1"/>
      <w:jc w:val="center"/>
      <w:textAlignment w:val="center"/>
    </w:pPr>
    <w:rPr>
      <w:rFonts w:hAnsi="宋体"/>
      <w:b/>
      <w:bCs/>
      <w:sz w:val="44"/>
      <w:szCs w:val="44"/>
    </w:rPr>
  </w:style>
  <w:style w:type="paragraph" w:customStyle="1" w:styleId="326">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hint="eastAsia" w:hAnsi="宋体"/>
      <w:color w:val="FF0000"/>
    </w:rPr>
  </w:style>
  <w:style w:type="paragraph" w:customStyle="1" w:styleId="327">
    <w:name w:val="xl4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hAnsi="宋体"/>
      <w:sz w:val="28"/>
      <w:szCs w:val="28"/>
    </w:rPr>
  </w:style>
  <w:style w:type="paragraph" w:customStyle="1" w:styleId="328">
    <w:name w:val="默认段落字体 Para Char"/>
    <w:basedOn w:val="1"/>
    <w:qFormat/>
    <w:uiPriority w:val="0"/>
    <w:pPr>
      <w:adjustRightInd w:val="0"/>
      <w:spacing w:line="360" w:lineRule="auto"/>
    </w:pPr>
  </w:style>
  <w:style w:type="paragraph" w:customStyle="1" w:styleId="329">
    <w:name w:val="简单回函地址"/>
    <w:basedOn w:val="1"/>
    <w:qFormat/>
    <w:uiPriority w:val="0"/>
    <w:rPr>
      <w:rFonts w:hAnsi="宋体"/>
      <w:szCs w:val="32"/>
    </w:rPr>
  </w:style>
  <w:style w:type="paragraph" w:customStyle="1" w:styleId="330">
    <w:name w:val="标题3"/>
    <w:basedOn w:val="4"/>
    <w:next w:val="1"/>
    <w:qFormat/>
    <w:uiPriority w:val="0"/>
    <w:pPr>
      <w:spacing w:before="0" w:after="120" w:line="240" w:lineRule="auto"/>
    </w:pPr>
    <w:rPr>
      <w:sz w:val="24"/>
    </w:rPr>
  </w:style>
  <w:style w:type="paragraph" w:customStyle="1" w:styleId="33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hint="eastAsia" w:hAnsi="宋体"/>
    </w:rPr>
  </w:style>
  <w:style w:type="paragraph" w:customStyle="1" w:styleId="332">
    <w:name w:val="ÕýÎÄÊ×ÐÐËõ½ø"/>
    <w:basedOn w:val="1"/>
    <w:qFormat/>
    <w:uiPriority w:val="0"/>
    <w:pPr>
      <w:widowControl/>
      <w:overflowPunct w:val="0"/>
      <w:autoSpaceDE w:val="0"/>
      <w:autoSpaceDN w:val="0"/>
      <w:adjustRightInd w:val="0"/>
      <w:spacing w:line="360" w:lineRule="auto"/>
      <w:ind w:firstLine="425"/>
    </w:pPr>
    <w:rPr>
      <w:i/>
    </w:rPr>
  </w:style>
  <w:style w:type="paragraph" w:customStyle="1" w:styleId="333">
    <w:name w:val="样式 四号 行距: 1.5 倍行距"/>
    <w:basedOn w:val="1"/>
    <w:qFormat/>
    <w:uiPriority w:val="0"/>
    <w:pPr>
      <w:spacing w:line="360" w:lineRule="auto"/>
      <w:ind w:firstLine="560" w:firstLineChars="200"/>
    </w:pPr>
    <w:rPr>
      <w:rFonts w:ascii="Times New Roman" w:cs="宋体"/>
      <w:kern w:val="2"/>
    </w:rPr>
  </w:style>
  <w:style w:type="paragraph" w:customStyle="1" w:styleId="334">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hint="eastAsia" w:hAnsi="宋体"/>
    </w:rPr>
  </w:style>
  <w:style w:type="paragraph" w:customStyle="1" w:styleId="335">
    <w:name w:val="表左"/>
    <w:basedOn w:val="1"/>
    <w:next w:val="1"/>
    <w:qFormat/>
    <w:uiPriority w:val="0"/>
    <w:pPr>
      <w:spacing w:line="280" w:lineRule="exact"/>
      <w:jc w:val="center"/>
    </w:pPr>
    <w:rPr>
      <w:color w:val="000000"/>
      <w:sz w:val="18"/>
      <w:szCs w:val="18"/>
    </w:rPr>
  </w:style>
  <w:style w:type="paragraph" w:customStyle="1" w:styleId="336">
    <w:name w:val="正文样式1"/>
    <w:basedOn w:val="27"/>
    <w:qFormat/>
    <w:uiPriority w:val="0"/>
    <w:pPr>
      <w:widowControl/>
      <w:spacing w:line="360" w:lineRule="auto"/>
      <w:ind w:firstLine="560" w:firstLineChars="200"/>
      <w:jc w:val="left"/>
    </w:pPr>
  </w:style>
  <w:style w:type="paragraph" w:customStyle="1" w:styleId="337">
    <w:name w:val="样式3"/>
    <w:basedOn w:val="1"/>
    <w:qFormat/>
    <w:uiPriority w:val="0"/>
    <w:pPr>
      <w:tabs>
        <w:tab w:val="left" w:pos="840"/>
        <w:tab w:val="left" w:pos="3780"/>
        <w:tab w:val="left" w:pos="4680"/>
      </w:tabs>
      <w:spacing w:afterLines="50"/>
      <w:ind w:left="840" w:hanging="420"/>
    </w:pPr>
  </w:style>
  <w:style w:type="paragraph" w:customStyle="1" w:styleId="338">
    <w:name w:val="说明书标题"/>
    <w:basedOn w:val="1"/>
    <w:qFormat/>
    <w:uiPriority w:val="0"/>
    <w:pPr>
      <w:adjustRightInd w:val="0"/>
      <w:spacing w:line="480" w:lineRule="auto"/>
      <w:textAlignment w:val="baseline"/>
    </w:pPr>
    <w:rPr>
      <w:b/>
    </w:rPr>
  </w:style>
  <w:style w:type="paragraph" w:customStyle="1" w:styleId="339">
    <w:name w:val="xl2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hAnsi="宋体"/>
      <w:sz w:val="28"/>
      <w:szCs w:val="28"/>
    </w:rPr>
  </w:style>
  <w:style w:type="paragraph" w:styleId="340">
    <w:name w:val="No Spacing"/>
    <w:qFormat/>
    <w:uiPriority w:val="0"/>
    <w:rPr>
      <w:rFonts w:ascii="Calibri" w:hAnsi="Calibri" w:eastAsia="宋体" w:cs="Times New Roman"/>
      <w:sz w:val="22"/>
      <w:szCs w:val="22"/>
      <w:lang w:val="en-US" w:eastAsia="zh-CN" w:bidi="ar-SA"/>
    </w:rPr>
  </w:style>
  <w:style w:type="paragraph" w:customStyle="1" w:styleId="341">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rPr>
  </w:style>
  <w:style w:type="paragraph" w:customStyle="1" w:styleId="342">
    <w:name w:val="Char Char Char Char Char Char Char Char Char Char"/>
    <w:basedOn w:val="1"/>
    <w:qFormat/>
    <w:uiPriority w:val="0"/>
  </w:style>
  <w:style w:type="paragraph" w:customStyle="1" w:styleId="343">
    <w:name w:val="Table Paragraph"/>
    <w:basedOn w:val="1"/>
    <w:qFormat/>
    <w:uiPriority w:val="1"/>
    <w:pPr>
      <w:jc w:val="center"/>
    </w:pPr>
    <w:rPr>
      <w:rFonts w:cs="宋体"/>
      <w:sz w:val="22"/>
      <w:szCs w:val="22"/>
      <w:lang w:eastAsia="en-US"/>
    </w:rPr>
  </w:style>
  <w:style w:type="paragraph" w:customStyle="1" w:styleId="344">
    <w:name w:val="正文文本1"/>
    <w:basedOn w:val="1"/>
    <w:qFormat/>
    <w:uiPriority w:val="0"/>
    <w:pPr>
      <w:shd w:val="clear" w:color="auto" w:fill="FFFFFF"/>
      <w:spacing w:before="480" w:after="360" w:line="240" w:lineRule="atLeast"/>
      <w:jc w:val="distribute"/>
    </w:pPr>
    <w:rPr>
      <w:rFonts w:ascii="MingLiU" w:eastAsia="MingLiU"/>
      <w:sz w:val="23"/>
      <w:szCs w:val="23"/>
    </w:rPr>
  </w:style>
  <w:style w:type="paragraph" w:customStyle="1" w:styleId="345">
    <w:name w:val="样式 首行缩进:  2 字符"/>
    <w:basedOn w:val="1"/>
    <w:qFormat/>
    <w:uiPriority w:val="0"/>
    <w:pPr>
      <w:spacing w:line="360" w:lineRule="auto"/>
      <w:ind w:firstLine="200" w:firstLineChars="200"/>
    </w:pPr>
  </w:style>
  <w:style w:type="paragraph" w:customStyle="1" w:styleId="346">
    <w:name w:val="正文2"/>
    <w:basedOn w:val="1"/>
    <w:qFormat/>
    <w:uiPriority w:val="0"/>
    <w:pPr>
      <w:adjustRightInd w:val="0"/>
      <w:snapToGrid w:val="0"/>
      <w:spacing w:line="440" w:lineRule="atLeast"/>
      <w:ind w:firstLine="567"/>
    </w:pPr>
  </w:style>
  <w:style w:type="paragraph" w:customStyle="1" w:styleId="347">
    <w:name w:val="四级条标题"/>
    <w:basedOn w:val="279"/>
    <w:next w:val="1"/>
    <w:qFormat/>
    <w:uiPriority w:val="0"/>
    <w:pPr>
      <w:tabs>
        <w:tab w:val="left" w:pos="0"/>
      </w:tabs>
      <w:outlineLvl w:val="5"/>
    </w:pPr>
  </w:style>
  <w:style w:type="paragraph" w:customStyle="1" w:styleId="348">
    <w:name w:val="p0"/>
    <w:basedOn w:val="1"/>
    <w:qFormat/>
    <w:uiPriority w:val="0"/>
    <w:pPr>
      <w:widowControl/>
      <w:spacing w:line="520" w:lineRule="atLeast"/>
      <w:jc w:val="left"/>
    </w:pPr>
    <w:rPr>
      <w:szCs w:val="21"/>
    </w:rPr>
  </w:style>
  <w:style w:type="paragraph" w:customStyle="1" w:styleId="349">
    <w:name w:val="font10"/>
    <w:basedOn w:val="1"/>
    <w:qFormat/>
    <w:uiPriority w:val="0"/>
    <w:pPr>
      <w:widowControl/>
      <w:spacing w:before="100" w:beforeAutospacing="1" w:after="100" w:afterAutospacing="1"/>
      <w:jc w:val="left"/>
    </w:pPr>
    <w:rPr>
      <w:rFonts w:hAnsi="宋体"/>
      <w:b/>
      <w:bCs/>
      <w:sz w:val="36"/>
      <w:szCs w:val="36"/>
    </w:rPr>
  </w:style>
  <w:style w:type="paragraph" w:customStyle="1" w:styleId="35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hint="eastAsia" w:hAnsi="宋体"/>
    </w:rPr>
  </w:style>
  <w:style w:type="paragraph" w:customStyle="1" w:styleId="351">
    <w:name w:val="4"/>
    <w:basedOn w:val="1"/>
    <w:next w:val="27"/>
    <w:qFormat/>
    <w:uiPriority w:val="0"/>
    <w:rPr>
      <w:rFonts w:hint="eastAsia" w:hAnsi="Courier New"/>
    </w:rPr>
  </w:style>
  <w:style w:type="paragraph" w:customStyle="1" w:styleId="352">
    <w:name w:val="赵文本"/>
    <w:basedOn w:val="1"/>
    <w:qFormat/>
    <w:uiPriority w:val="0"/>
    <w:pPr>
      <w:ind w:firstLine="480" w:firstLineChars="200"/>
      <w:jc w:val="left"/>
    </w:pPr>
    <w:rPr>
      <w:rFonts w:eastAsia="仿宋_GB2312"/>
      <w:szCs w:val="32"/>
    </w:rPr>
  </w:style>
  <w:style w:type="paragraph" w:customStyle="1" w:styleId="353">
    <w:name w:val="五级条标题"/>
    <w:basedOn w:val="347"/>
    <w:next w:val="1"/>
    <w:qFormat/>
    <w:uiPriority w:val="0"/>
    <w:pPr>
      <w:outlineLvl w:val="6"/>
    </w:pPr>
  </w:style>
  <w:style w:type="paragraph" w:customStyle="1" w:styleId="354">
    <w:name w:val="表格单位"/>
    <w:basedOn w:val="1"/>
    <w:qFormat/>
    <w:uiPriority w:val="0"/>
    <w:pPr>
      <w:jc w:val="right"/>
    </w:pPr>
    <w:rPr>
      <w:rFonts w:eastAsia="黑体"/>
      <w:b/>
      <w:sz w:val="18"/>
    </w:rPr>
  </w:style>
  <w:style w:type="paragraph" w:customStyle="1" w:styleId="355">
    <w:name w:val="Char Char Char"/>
    <w:basedOn w:val="1"/>
    <w:qFormat/>
    <w:uiPriority w:val="0"/>
  </w:style>
  <w:style w:type="paragraph" w:customStyle="1" w:styleId="356">
    <w:name w:val="正文文本缩进 21"/>
    <w:basedOn w:val="1"/>
    <w:qFormat/>
    <w:uiPriority w:val="0"/>
    <w:pPr>
      <w:adjustRightInd w:val="0"/>
      <w:ind w:firstLine="630"/>
      <w:textAlignment w:val="baseline"/>
    </w:pPr>
    <w:rPr>
      <w:sz w:val="30"/>
    </w:rPr>
  </w:style>
  <w:style w:type="paragraph" w:customStyle="1" w:styleId="357">
    <w:name w:val="主要编写人及资格EPAJW120926"/>
    <w:basedOn w:val="1"/>
    <w:qFormat/>
    <w:uiPriority w:val="0"/>
    <w:pPr>
      <w:spacing w:before="142" w:line="360" w:lineRule="auto"/>
      <w:ind w:left="107" w:leftChars="51"/>
      <w:jc w:val="center"/>
    </w:pPr>
    <w:rPr>
      <w:rFonts w:eastAsia="黑体" w:cs="宋体"/>
      <w:b/>
      <w:bCs/>
      <w:sz w:val="32"/>
    </w:rPr>
  </w:style>
  <w:style w:type="paragraph" w:customStyle="1" w:styleId="358">
    <w:name w:val="批注"/>
    <w:basedOn w:val="17"/>
    <w:qFormat/>
    <w:uiPriority w:val="0"/>
    <w:rPr>
      <w:sz w:val="21"/>
      <w:szCs w:val="21"/>
    </w:rPr>
  </w:style>
  <w:style w:type="paragraph" w:customStyle="1" w:styleId="35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hint="eastAsia" w:hAnsi="宋体"/>
      <w:color w:val="FF0000"/>
    </w:rPr>
  </w:style>
  <w:style w:type="paragraph" w:customStyle="1" w:styleId="360">
    <w:name w:val="列出段落1"/>
    <w:basedOn w:val="1"/>
    <w:qFormat/>
    <w:uiPriority w:val="0"/>
    <w:pPr>
      <w:ind w:firstLine="420" w:firstLineChars="200"/>
    </w:pPr>
    <w:rPr>
      <w:rFonts w:ascii="Calibri" w:hAnsi="Calibri"/>
      <w:szCs w:val="22"/>
    </w:rPr>
  </w:style>
  <w:style w:type="paragraph" w:customStyle="1" w:styleId="361">
    <w:name w:val="表格内"/>
    <w:qFormat/>
    <w:uiPriority w:val="0"/>
    <w:pPr>
      <w:keepNext/>
      <w:keepLines/>
      <w:widowControl w:val="0"/>
      <w:tabs>
        <w:tab w:val="left" w:pos="9356"/>
      </w:tabs>
      <w:adjustRightInd w:val="0"/>
      <w:spacing w:before="40" w:after="40" w:line="80" w:lineRule="atLeast"/>
      <w:textAlignment w:val="baseline"/>
    </w:pPr>
    <w:rPr>
      <w:rFonts w:ascii="Arial" w:hAnsi="Times New Roman" w:eastAsia="仿宋" w:cs="Times New Roman"/>
      <w:sz w:val="24"/>
      <w:lang w:val="en-US" w:eastAsia="zh-CN" w:bidi="ar-SA"/>
    </w:rPr>
  </w:style>
  <w:style w:type="paragraph" w:customStyle="1" w:styleId="362">
    <w:name w:val="报告书表格"/>
    <w:basedOn w:val="1"/>
    <w:qFormat/>
    <w:uiPriority w:val="0"/>
    <w:pPr>
      <w:adjustRightInd w:val="0"/>
      <w:spacing w:before="60" w:after="60" w:line="240" w:lineRule="atLeast"/>
      <w:jc w:val="center"/>
    </w:pPr>
  </w:style>
  <w:style w:type="paragraph" w:customStyle="1" w:styleId="363">
    <w:name w:val="font8"/>
    <w:basedOn w:val="1"/>
    <w:qFormat/>
    <w:uiPriority w:val="0"/>
    <w:pPr>
      <w:widowControl/>
      <w:spacing w:before="100" w:beforeAutospacing="1" w:after="100" w:afterAutospacing="1"/>
      <w:jc w:val="left"/>
    </w:pPr>
    <w:rPr>
      <w:rFonts w:hint="eastAsia" w:hAnsi="宋体"/>
    </w:rPr>
  </w:style>
  <w:style w:type="paragraph" w:customStyle="1" w:styleId="364">
    <w:name w:val="尾注"/>
    <w:basedOn w:val="1"/>
    <w:qFormat/>
    <w:uiPriority w:val="0"/>
    <w:pPr>
      <w:adjustRightInd w:val="0"/>
      <w:spacing w:line="312" w:lineRule="atLeast"/>
      <w:textAlignment w:val="baseline"/>
    </w:pPr>
    <w:rPr>
      <w:sz w:val="28"/>
    </w:rPr>
  </w:style>
  <w:style w:type="paragraph" w:customStyle="1" w:styleId="365">
    <w:name w:val="xl7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bottom"/>
    </w:pPr>
    <w:rPr>
      <w:rFonts w:hint="eastAsia" w:hAnsi="宋体"/>
    </w:rPr>
  </w:style>
  <w:style w:type="paragraph" w:customStyle="1" w:styleId="36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8"/>
      <w:szCs w:val="28"/>
    </w:rPr>
  </w:style>
  <w:style w:type="paragraph" w:customStyle="1" w:styleId="367">
    <w:name w:val="“责任表”EPAJW120926"/>
    <w:basedOn w:val="1"/>
    <w:qFormat/>
    <w:uiPriority w:val="0"/>
    <w:pPr>
      <w:jc w:val="center"/>
    </w:pPr>
    <w:rPr>
      <w:rFonts w:eastAsia="黑体" w:cs="宋体"/>
      <w:b/>
      <w:bCs/>
      <w:sz w:val="32"/>
    </w:rPr>
  </w:style>
  <w:style w:type="paragraph" w:customStyle="1" w:styleId="368">
    <w:name w:val="Char Char Char Char Char Char1 Char"/>
    <w:basedOn w:val="1"/>
    <w:qFormat/>
    <w:uiPriority w:val="0"/>
  </w:style>
  <w:style w:type="paragraph" w:customStyle="1" w:styleId="369">
    <w:name w:val="xl51"/>
    <w:basedOn w:val="1"/>
    <w:qFormat/>
    <w:uiPriority w:val="0"/>
    <w:pPr>
      <w:widowControl/>
      <w:spacing w:before="100" w:beforeAutospacing="1" w:after="100" w:afterAutospacing="1"/>
      <w:jc w:val="left"/>
      <w:textAlignment w:val="bottom"/>
    </w:pPr>
    <w:rPr>
      <w:rFonts w:hint="eastAsia" w:hAnsi="宋体"/>
    </w:rPr>
  </w:style>
  <w:style w:type="paragraph" w:customStyle="1" w:styleId="370">
    <w:name w:val="hb3"/>
    <w:basedOn w:val="4"/>
    <w:qFormat/>
    <w:uiPriority w:val="0"/>
    <w:pPr>
      <w:adjustRightInd w:val="0"/>
      <w:spacing w:before="360" w:after="180" w:line="240" w:lineRule="auto"/>
      <w:textAlignment w:val="baseline"/>
    </w:pPr>
    <w:rPr>
      <w:rFonts w:eastAsia="宋体"/>
      <w:sz w:val="24"/>
      <w:szCs w:val="24"/>
    </w:rPr>
  </w:style>
  <w:style w:type="paragraph" w:customStyle="1" w:styleId="371">
    <w:name w:val="Item List"/>
    <w:qFormat/>
    <w:uiPriority w:val="0"/>
    <w:pPr>
      <w:tabs>
        <w:tab w:val="left" w:pos="2061"/>
      </w:tabs>
      <w:spacing w:line="300" w:lineRule="auto"/>
      <w:ind w:left="2061" w:hanging="360"/>
    </w:pPr>
    <w:rPr>
      <w:rFonts w:ascii="Arial" w:hAnsi="Arial" w:eastAsia="仿宋" w:cs="Times New Roman"/>
      <w:sz w:val="21"/>
      <w:lang w:val="en-US" w:eastAsia="zh-CN" w:bidi="ar-SA"/>
    </w:rPr>
  </w:style>
  <w:style w:type="paragraph" w:customStyle="1" w:styleId="372">
    <w:name w:val="font9"/>
    <w:basedOn w:val="1"/>
    <w:qFormat/>
    <w:uiPriority w:val="0"/>
    <w:pPr>
      <w:widowControl/>
      <w:spacing w:before="100" w:beforeAutospacing="1" w:after="100" w:afterAutospacing="1"/>
      <w:jc w:val="left"/>
    </w:pPr>
    <w:rPr>
      <w:rFonts w:hint="eastAsia" w:ascii="楷体" w:hAnsi="宋体" w:eastAsia="楷体"/>
    </w:rPr>
  </w:style>
  <w:style w:type="paragraph" w:customStyle="1" w:styleId="373">
    <w:name w:val="a-表内"/>
    <w:qFormat/>
    <w:uiPriority w:val="0"/>
    <w:pPr>
      <w:adjustRightInd w:val="0"/>
      <w:snapToGrid w:val="0"/>
      <w:jc w:val="center"/>
    </w:pPr>
    <w:rPr>
      <w:rFonts w:ascii="Times New Roman" w:hAnsi="Times New Roman" w:eastAsia="宋体" w:cs="Times New Roman"/>
      <w:color w:val="000000"/>
      <w:kern w:val="2"/>
      <w:sz w:val="21"/>
      <w:szCs w:val="21"/>
      <w:lang w:val="en-US" w:eastAsia="zh-CN" w:bidi="ar-SA"/>
    </w:rPr>
  </w:style>
  <w:style w:type="paragraph" w:customStyle="1" w:styleId="374">
    <w:name w:val="工程建设无节条标题"/>
    <w:basedOn w:val="1"/>
    <w:next w:val="259"/>
    <w:qFormat/>
    <w:uiPriority w:val="0"/>
    <w:pPr>
      <w:tabs>
        <w:tab w:val="left" w:pos="735"/>
        <w:tab w:val="left" w:pos="2880"/>
      </w:tabs>
      <w:ind w:left="2880" w:hanging="360"/>
    </w:pPr>
  </w:style>
  <w:style w:type="paragraph" w:customStyle="1" w:styleId="375">
    <w:name w:val="表内式样"/>
    <w:qFormat/>
    <w:uiPriority w:val="0"/>
    <w:pPr>
      <w:widowControl w:val="0"/>
      <w:jc w:val="center"/>
    </w:pPr>
    <w:rPr>
      <w:rFonts w:ascii="宋体" w:hAnsi="宋体" w:eastAsia="仿宋" w:cs="Times New Roman"/>
      <w:kern w:val="2"/>
      <w:sz w:val="21"/>
      <w:szCs w:val="24"/>
      <w:lang w:val="en-US" w:eastAsia="zh-CN" w:bidi="ar-SA"/>
    </w:rPr>
  </w:style>
  <w:style w:type="paragraph" w:customStyle="1" w:styleId="376">
    <w:name w:val="Char1"/>
    <w:basedOn w:val="1"/>
    <w:qFormat/>
    <w:uiPriority w:val="0"/>
    <w:pPr>
      <w:spacing w:line="360" w:lineRule="auto"/>
      <w:ind w:firstLine="200" w:firstLineChars="200"/>
    </w:pPr>
    <w:rPr>
      <w:rFonts w:hAnsi="宋体" w:cs="宋体"/>
    </w:rPr>
  </w:style>
  <w:style w:type="paragraph" w:customStyle="1" w:styleId="377">
    <w:name w:val="xl53"/>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hint="eastAsia" w:hAnsi="宋体"/>
    </w:rPr>
  </w:style>
  <w:style w:type="paragraph" w:customStyle="1" w:styleId="378">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hint="eastAsia" w:hAnsi="宋体"/>
    </w:rPr>
  </w:style>
  <w:style w:type="paragraph" w:customStyle="1" w:styleId="379">
    <w:name w:val="xl3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hAnsi="宋体"/>
      <w:sz w:val="28"/>
      <w:szCs w:val="28"/>
    </w:rPr>
  </w:style>
  <w:style w:type="paragraph" w:customStyle="1" w:styleId="380">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hint="eastAsia" w:hAnsi="宋体"/>
    </w:rPr>
  </w:style>
  <w:style w:type="paragraph" w:customStyle="1" w:styleId="381">
    <w:name w:val="Char Char Char Char"/>
    <w:basedOn w:val="1"/>
    <w:qFormat/>
    <w:uiPriority w:val="0"/>
    <w:pPr>
      <w:widowControl/>
      <w:adjustRightInd w:val="0"/>
      <w:spacing w:after="160" w:line="240" w:lineRule="exact"/>
      <w:jc w:val="left"/>
      <w:textAlignment w:val="baseline"/>
    </w:pPr>
    <w:rPr>
      <w:rFonts w:ascii="Arial" w:hAnsi="Arial" w:eastAsia="Times New Roman" w:cs="Verdana"/>
      <w:b/>
      <w:lang w:eastAsia="en-US"/>
    </w:rPr>
  </w:style>
  <w:style w:type="paragraph" w:customStyle="1" w:styleId="382">
    <w:name w:val="表名"/>
    <w:basedOn w:val="1"/>
    <w:qFormat/>
    <w:uiPriority w:val="0"/>
    <w:pPr>
      <w:widowControl/>
      <w:adjustRightInd w:val="0"/>
      <w:snapToGrid w:val="0"/>
      <w:jc w:val="center"/>
    </w:pPr>
    <w:rPr>
      <w:b/>
      <w:color w:val="000000"/>
      <w:szCs w:val="21"/>
    </w:rPr>
  </w:style>
  <w:style w:type="paragraph" w:customStyle="1" w:styleId="38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hint="eastAsia" w:hAnsi="宋体"/>
      <w:color w:val="FF0000"/>
    </w:rPr>
  </w:style>
  <w:style w:type="paragraph" w:customStyle="1" w:styleId="384">
    <w:name w:val="编写人固定EPAJW120926"/>
    <w:basedOn w:val="1"/>
    <w:qFormat/>
    <w:uiPriority w:val="0"/>
    <w:pPr>
      <w:spacing w:line="360" w:lineRule="auto"/>
      <w:jc w:val="center"/>
    </w:pPr>
    <w:rPr>
      <w:rFonts w:eastAsia="黑体" w:cs="宋体"/>
      <w:b/>
      <w:bCs/>
      <w:sz w:val="28"/>
    </w:rPr>
  </w:style>
  <w:style w:type="paragraph" w:customStyle="1" w:styleId="385">
    <w:name w:val="xl5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bottom"/>
    </w:pPr>
    <w:rPr>
      <w:rFonts w:hint="eastAsia" w:hAnsi="宋体"/>
    </w:rPr>
  </w:style>
  <w:style w:type="paragraph" w:customStyle="1" w:styleId="386">
    <w:name w:val="Table Heading"/>
    <w:qFormat/>
    <w:uiPriority w:val="0"/>
    <w:pPr>
      <w:snapToGrid w:val="0"/>
      <w:jc w:val="center"/>
    </w:pPr>
    <w:rPr>
      <w:rFonts w:ascii="Arial" w:hAnsi="Arial" w:eastAsia="黑体" w:cs="Times New Roman"/>
      <w:sz w:val="18"/>
      <w:lang w:val="en-US" w:eastAsia="zh-CN" w:bidi="ar-SA"/>
    </w:rPr>
  </w:style>
  <w:style w:type="paragraph" w:customStyle="1" w:styleId="387">
    <w:name w:val="表格文字"/>
    <w:basedOn w:val="46"/>
    <w:next w:val="1"/>
    <w:qFormat/>
    <w:uiPriority w:val="0"/>
  </w:style>
  <w:style w:type="paragraph" w:customStyle="1" w:styleId="38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sz w:val="22"/>
      <w:szCs w:val="22"/>
    </w:rPr>
  </w:style>
  <w:style w:type="paragraph" w:customStyle="1" w:styleId="389">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hint="eastAsia" w:hAnsi="宋体"/>
    </w:rPr>
  </w:style>
  <w:style w:type="paragraph" w:customStyle="1" w:styleId="390">
    <w:name w:val="表格内容格式"/>
    <w:basedOn w:val="1"/>
    <w:qFormat/>
    <w:uiPriority w:val="0"/>
    <w:pPr>
      <w:widowControl/>
      <w:adjustRightInd w:val="0"/>
      <w:spacing w:line="280" w:lineRule="exact"/>
      <w:jc w:val="center"/>
      <w:textAlignment w:val="baseline"/>
    </w:pPr>
    <w:rPr>
      <w:snapToGrid w:val="0"/>
      <w:color w:val="000000"/>
      <w:szCs w:val="21"/>
      <w:lang w:bidi="en-US"/>
    </w:rPr>
  </w:style>
  <w:style w:type="paragraph" w:customStyle="1" w:styleId="39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hint="eastAsia" w:hAnsi="宋体"/>
    </w:rPr>
  </w:style>
  <w:style w:type="paragraph" w:customStyle="1" w:styleId="392">
    <w:name w:val="段落1"/>
    <w:basedOn w:val="1"/>
    <w:qFormat/>
    <w:uiPriority w:val="0"/>
    <w:pPr>
      <w:adjustRightInd w:val="0"/>
      <w:spacing w:line="440" w:lineRule="exact"/>
      <w:ind w:firstLine="200" w:firstLineChars="200"/>
    </w:pPr>
    <w:rPr>
      <w:spacing w:val="8"/>
      <w:sz w:val="28"/>
    </w:rPr>
  </w:style>
  <w:style w:type="paragraph" w:customStyle="1" w:styleId="39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hAnsi="宋体"/>
    </w:rPr>
  </w:style>
  <w:style w:type="paragraph" w:customStyle="1" w:styleId="394">
    <w:name w:val="工程建设图标题"/>
    <w:basedOn w:val="256"/>
    <w:next w:val="259"/>
    <w:qFormat/>
    <w:uiPriority w:val="0"/>
    <w:pPr>
      <w:tabs>
        <w:tab w:val="left" w:pos="2160"/>
        <w:tab w:val="left" w:pos="4500"/>
        <w:tab w:val="clear" w:pos="1440"/>
        <w:tab w:val="clear" w:pos="2400"/>
      </w:tabs>
      <w:ind w:left="4500"/>
      <w:jc w:val="center"/>
      <w:outlineLvl w:val="9"/>
    </w:pPr>
    <w:rPr>
      <w:b/>
    </w:rPr>
  </w:style>
  <w:style w:type="paragraph" w:customStyle="1" w:styleId="395">
    <w:name w:val="样式8"/>
    <w:basedOn w:val="39"/>
    <w:qFormat/>
    <w:uiPriority w:val="0"/>
    <w:pPr>
      <w:ind w:firstLine="499"/>
    </w:pPr>
    <w:rPr>
      <w:sz w:val="24"/>
    </w:rPr>
  </w:style>
  <w:style w:type="paragraph" w:customStyle="1" w:styleId="396">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Ansi="宋体"/>
      <w:sz w:val="28"/>
      <w:szCs w:val="28"/>
    </w:rPr>
  </w:style>
  <w:style w:type="paragraph" w:customStyle="1" w:styleId="397">
    <w:name w:val="xl24"/>
    <w:basedOn w:val="1"/>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hAnsi="宋体"/>
    </w:rPr>
  </w:style>
  <w:style w:type="paragraph" w:customStyle="1" w:styleId="398">
    <w:name w:val="字元 字元 Char Char 字元 字元1 Char Char Char"/>
    <w:basedOn w:val="1"/>
    <w:qFormat/>
    <w:uiPriority w:val="0"/>
  </w:style>
  <w:style w:type="table" w:customStyle="1" w:styleId="399">
    <w:name w:val="标准表格"/>
    <w:basedOn w:val="47"/>
    <w:qFormat/>
    <w:uiPriority w:val="99"/>
    <w:pPr>
      <w:spacing w:before="74"/>
      <w:jc w:val="center"/>
    </w:pPr>
    <w:rPr>
      <w:sz w:val="18"/>
    </w:rPr>
    <w:tblPr>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FFFFFF"/>
      <w:vAlign w:val="center"/>
    </w:tcPr>
    <w:tblStylePr w:type="firstRow">
      <w:pPr>
        <w:wordWrap/>
        <w:spacing w:beforeLines="0" w:beforeAutospacing="0" w:afterLines="0" w:afterAutospacing="0" w:line="240" w:lineRule="auto"/>
        <w:ind w:left="0" w:leftChars="0" w:right="0" w:rightChars="0" w:firstLine="0" w:firstLineChars="0"/>
        <w:jc w:val="center"/>
      </w:pPr>
      <w:rPr>
        <w:rFonts w:eastAsia="Symbol"/>
        <w:sz w:val="18"/>
      </w:rPr>
      <w:tblPr/>
      <w:trPr>
        <w:tblHeader/>
      </w:trPr>
    </w:tblStylePr>
    <w:tblStylePr w:type="firstCol">
      <w:pPr>
        <w:jc w:val="center"/>
      </w:pPr>
    </w:tblStylePr>
  </w:style>
  <w:style w:type="paragraph" w:customStyle="1" w:styleId="400">
    <w:name w:val="段落正文"/>
    <w:basedOn w:val="27"/>
    <w:qFormat/>
    <w:uiPriority w:val="0"/>
    <w:pPr>
      <w:ind w:firstLine="200"/>
    </w:pPr>
    <w:rPr>
      <w:rFonts w:ascii="Times New Roman" w:hAnsi="Times New Roman"/>
    </w:rPr>
  </w:style>
  <w:style w:type="paragraph" w:customStyle="1" w:styleId="401">
    <w:name w:val="CEE正文"/>
    <w:basedOn w:val="1"/>
    <w:qFormat/>
    <w:uiPriority w:val="0"/>
    <w:pPr>
      <w:ind w:firstLine="200"/>
      <w:jc w:val="left"/>
    </w:pPr>
    <w:rPr>
      <w:szCs w:val="24"/>
    </w:rPr>
  </w:style>
  <w:style w:type="paragraph" w:customStyle="1" w:styleId="402">
    <w:name w:val="WPSOffice手动目录 1"/>
    <w:qFormat/>
    <w:uiPriority w:val="0"/>
    <w:rPr>
      <w:rFonts w:ascii="Times New Roman" w:hAnsi="Times New Roman" w:eastAsia="宋体" w:cs="Times New Roman"/>
      <w:lang w:val="en-US" w:eastAsia="zh-CN" w:bidi="ar-SA"/>
    </w:rPr>
  </w:style>
  <w:style w:type="paragraph" w:customStyle="1" w:styleId="40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04">
    <w:name w:val="倩正文缩进2"/>
    <w:basedOn w:val="1"/>
    <w:qFormat/>
    <w:uiPriority w:val="0"/>
    <w:pPr>
      <w:spacing w:line="360" w:lineRule="auto"/>
      <w:ind w:firstLine="480" w:firstLineChars="200"/>
    </w:pPr>
  </w:style>
  <w:style w:type="paragraph" w:customStyle="1" w:styleId="405">
    <w:name w:val="1、标题"/>
    <w:basedOn w:val="406"/>
    <w:next w:val="406"/>
    <w:qFormat/>
    <w:uiPriority w:val="0"/>
  </w:style>
  <w:style w:type="paragraph" w:customStyle="1" w:styleId="406">
    <w:name w:val="修修-正文"/>
    <w:basedOn w:val="1"/>
    <w:link w:val="416"/>
    <w:qFormat/>
    <w:uiPriority w:val="0"/>
    <w:pPr>
      <w:ind w:firstLine="964" w:firstLineChars="200"/>
    </w:pPr>
    <w:rPr>
      <w:rFonts w:ascii="Times New Roman"/>
    </w:rPr>
  </w:style>
  <w:style w:type="paragraph" w:customStyle="1" w:styleId="407">
    <w:name w:val="修修-表头"/>
    <w:basedOn w:val="1"/>
    <w:qFormat/>
    <w:uiPriority w:val="0"/>
    <w:pPr>
      <w:jc w:val="center"/>
    </w:pPr>
    <w:rPr>
      <w:rFonts w:ascii="Times New Roman"/>
    </w:rPr>
  </w:style>
  <w:style w:type="paragraph" w:customStyle="1" w:styleId="408">
    <w:name w:val="倩表格内文字"/>
    <w:basedOn w:val="1"/>
    <w:qFormat/>
    <w:uiPriority w:val="0"/>
    <w:pPr>
      <w:widowControl/>
      <w:jc w:val="center"/>
    </w:pPr>
    <w:rPr>
      <w:sz w:val="21"/>
      <w:szCs w:val="21"/>
    </w:rPr>
  </w:style>
  <w:style w:type="paragraph" w:customStyle="1" w:styleId="409">
    <w:name w:val="表格文本"/>
    <w:basedOn w:val="1"/>
    <w:qFormat/>
    <w:uiPriority w:val="0"/>
    <w:pPr>
      <w:jc w:val="center"/>
    </w:pPr>
  </w:style>
  <w:style w:type="paragraph" w:customStyle="1" w:styleId="410">
    <w:name w:val="报告表正文样式1"/>
    <w:basedOn w:val="1"/>
    <w:qFormat/>
    <w:uiPriority w:val="0"/>
    <w:pPr>
      <w:spacing w:line="360" w:lineRule="auto"/>
      <w:ind w:firstLine="480" w:firstLineChars="200"/>
    </w:pPr>
    <w:rPr>
      <w:rFonts w:cs="宋体"/>
    </w:rPr>
  </w:style>
  <w:style w:type="paragraph" w:customStyle="1" w:styleId="411">
    <w:name w:val="6表标题"/>
    <w:basedOn w:val="1"/>
    <w:qFormat/>
    <w:uiPriority w:val="0"/>
    <w:pPr>
      <w:widowControl/>
      <w:spacing w:beforeLines="20" w:after="100" w:afterAutospacing="1"/>
      <w:jc w:val="center"/>
    </w:pPr>
    <w:rPr>
      <w:b/>
      <w:bCs/>
    </w:rPr>
  </w:style>
  <w:style w:type="paragraph" w:customStyle="1" w:styleId="412">
    <w:name w:val="无间隔2"/>
    <w:qFormat/>
    <w:uiPriority w:val="1"/>
    <w:pPr>
      <w:widowControl w:val="0"/>
      <w:jc w:val="both"/>
    </w:pPr>
    <w:rPr>
      <w:rFonts w:ascii="Calibri" w:hAnsi="Calibri" w:eastAsia="宋体" w:cs="Times New Roman"/>
      <w:kern w:val="2"/>
      <w:sz w:val="21"/>
      <w:szCs w:val="22"/>
      <w:lang w:val="en-US" w:eastAsia="zh-CN" w:bidi="ar-SA"/>
    </w:rPr>
  </w:style>
  <w:style w:type="paragraph" w:customStyle="1" w:styleId="413">
    <w:name w:val="1正文"/>
    <w:basedOn w:val="1"/>
    <w:qFormat/>
    <w:uiPriority w:val="0"/>
    <w:pPr>
      <w:widowControl/>
      <w:spacing w:line="480" w:lineRule="exact"/>
      <w:ind w:firstLine="200" w:firstLineChars="200"/>
    </w:pPr>
    <w:rPr>
      <w:rFonts w:hAnsi="宋体" w:cs="宋体"/>
    </w:rPr>
  </w:style>
  <w:style w:type="paragraph" w:customStyle="1" w:styleId="414">
    <w:name w:val="00正文"/>
    <w:basedOn w:val="1"/>
    <w:qFormat/>
    <w:uiPriority w:val="0"/>
    <w:pPr>
      <w:widowControl/>
      <w:spacing w:line="480" w:lineRule="exact"/>
      <w:ind w:firstLine="200" w:firstLineChars="200"/>
      <w:jc w:val="left"/>
    </w:pPr>
    <w:rPr>
      <w:szCs w:val="22"/>
    </w:rPr>
  </w:style>
  <w:style w:type="paragraph" w:customStyle="1" w:styleId="415">
    <w:name w:val="表格内文字"/>
    <w:basedOn w:val="1"/>
    <w:qFormat/>
    <w:uiPriority w:val="0"/>
    <w:pPr>
      <w:widowControl/>
      <w:jc w:val="center"/>
    </w:pPr>
    <w:rPr>
      <w:sz w:val="21"/>
      <w:szCs w:val="21"/>
    </w:rPr>
  </w:style>
  <w:style w:type="character" w:customStyle="1" w:styleId="416">
    <w:name w:val="修修-正文 Char"/>
    <w:link w:val="406"/>
    <w:qFormat/>
    <w:uiPriority w:val="0"/>
    <w:rPr>
      <w:rFonts w:ascii="Times New Roman" w:hAnsi="Times New Roman"/>
    </w:rPr>
  </w:style>
  <w:style w:type="character" w:customStyle="1" w:styleId="417">
    <w:name w:val="NormalCharacter"/>
    <w:semiHidden/>
    <w:qFormat/>
    <w:uiPriority w:val="0"/>
  </w:style>
  <w:style w:type="paragraph" w:customStyle="1" w:styleId="418">
    <w:name w:val="表格标题"/>
    <w:basedOn w:val="46"/>
    <w:next w:val="419"/>
    <w:link w:val="423"/>
    <w:qFormat/>
    <w:uiPriority w:val="0"/>
    <w:pPr>
      <w:spacing w:line="360" w:lineRule="auto"/>
      <w:ind w:firstLine="0"/>
      <w:jc w:val="center"/>
    </w:pPr>
    <w:rPr>
      <w:rFonts w:eastAsia="黑体"/>
      <w:sz w:val="20"/>
    </w:rPr>
  </w:style>
  <w:style w:type="paragraph" w:customStyle="1" w:styleId="419">
    <w:name w:val="表格报告书"/>
    <w:basedOn w:val="420"/>
    <w:next w:val="420"/>
    <w:qFormat/>
    <w:uiPriority w:val="0"/>
    <w:pPr>
      <w:spacing w:line="240" w:lineRule="auto"/>
      <w:ind w:firstLine="0" w:firstLineChars="0"/>
      <w:jc w:val="center"/>
    </w:pPr>
    <w:rPr>
      <w:sz w:val="21"/>
    </w:rPr>
  </w:style>
  <w:style w:type="paragraph" w:customStyle="1" w:styleId="420">
    <w:name w:val="正文报告书"/>
    <w:basedOn w:val="421"/>
    <w:next w:val="1"/>
    <w:qFormat/>
    <w:uiPriority w:val="0"/>
    <w:pPr>
      <w:spacing w:before="20"/>
      <w:ind w:firstLine="643"/>
    </w:pPr>
    <w:rPr>
      <w:sz w:val="24"/>
    </w:rPr>
  </w:style>
  <w:style w:type="paragraph" w:customStyle="1" w:styleId="421">
    <w:name w:val="正文12"/>
    <w:basedOn w:val="1"/>
    <w:next w:val="1"/>
    <w:qFormat/>
    <w:uiPriority w:val="0"/>
    <w:pPr>
      <w:spacing w:line="360" w:lineRule="auto"/>
      <w:ind w:firstLine="420" w:firstLineChars="200"/>
    </w:pPr>
    <w:rPr>
      <w:rFonts w:ascii="Times New Roman" w:eastAsia="宋体"/>
      <w:sz w:val="28"/>
    </w:rPr>
  </w:style>
  <w:style w:type="paragraph" w:customStyle="1" w:styleId="422">
    <w:name w:val="表标题"/>
    <w:next w:val="123"/>
    <w:qFormat/>
    <w:uiPriority w:val="0"/>
    <w:pPr>
      <w:tabs>
        <w:tab w:val="left" w:pos="0"/>
      </w:tabs>
      <w:spacing w:line="360" w:lineRule="auto"/>
      <w:jc w:val="center"/>
    </w:pPr>
    <w:rPr>
      <w:rFonts w:ascii="Times New Roman" w:hAnsi="Times New Roman" w:eastAsia="黑体" w:cs="Times New Roman"/>
      <w:sz w:val="24"/>
      <w:lang w:val="en-US" w:eastAsia="zh-CN" w:bidi="ar-SA"/>
    </w:rPr>
  </w:style>
  <w:style w:type="character" w:customStyle="1" w:styleId="423">
    <w:name w:val="表格标题 Char"/>
    <w:link w:val="418"/>
    <w:qFormat/>
    <w:uiPriority w:val="0"/>
    <w:rPr>
      <w:rFonts w:eastAsia="黑体"/>
      <w:kern w:val="0"/>
      <w:sz w:val="20"/>
      <w:szCs w:val="20"/>
    </w:rPr>
  </w:style>
  <w:style w:type="paragraph" w:customStyle="1" w:styleId="424">
    <w:name w:val="表头11111111"/>
    <w:basedOn w:val="1"/>
    <w:qFormat/>
    <w:uiPriority w:val="0"/>
    <w:pPr>
      <w:jc w:val="center"/>
    </w:pPr>
    <w:rPr>
      <w:b/>
      <w:sz w:val="21"/>
    </w:rPr>
  </w:style>
  <w:style w:type="paragraph" w:customStyle="1" w:styleId="425">
    <w:name w:val="表格内容1"/>
    <w:qFormat/>
    <w:uiPriority w:val="0"/>
    <w:pPr>
      <w:widowControl w:val="0"/>
      <w:jc w:val="center"/>
    </w:pPr>
    <w:rPr>
      <w:rFonts w:ascii="Times New Roman" w:hAnsi="Times New Roman" w:eastAsia="宋体" w:cs="Times New Roman"/>
      <w:sz w:val="21"/>
      <w:szCs w:val="21"/>
      <w:lang w:val="en-US" w:eastAsia="zh-CN" w:bidi="ar-SA"/>
    </w:rPr>
  </w:style>
  <w:style w:type="paragraph" w:customStyle="1" w:styleId="426">
    <w:name w:val="正文啊啊啊"/>
    <w:qFormat/>
    <w:uiPriority w:val="0"/>
    <w:pPr>
      <w:widowControl w:val="0"/>
      <w:spacing w:line="360" w:lineRule="auto"/>
      <w:ind w:firstLine="880" w:firstLineChars="200"/>
      <w:jc w:val="both"/>
    </w:pPr>
    <w:rPr>
      <w:rFonts w:ascii="Times New Roman" w:hAnsi="Times New Roman" w:eastAsia="宋体" w:cs="Times New Roman"/>
      <w:kern w:val="2"/>
      <w:sz w:val="24"/>
      <w:szCs w:val="22"/>
      <w:lang w:val="en-US" w:eastAsia="zh-CN" w:bidi="ar-SA"/>
    </w:rPr>
  </w:style>
  <w:style w:type="paragraph" w:customStyle="1" w:styleId="427">
    <w:name w:val="表文(G)"/>
    <w:basedOn w:val="1"/>
    <w:qFormat/>
    <w:uiPriority w:val="0"/>
    <w:pPr>
      <w:tabs>
        <w:tab w:val="left" w:pos="1021"/>
      </w:tabs>
      <w:jc w:val="center"/>
    </w:pPr>
    <w:rPr>
      <w:rFonts w:ascii="Times New Roman"/>
      <w:position w:val="-24"/>
      <w:szCs w:val="21"/>
    </w:rPr>
  </w:style>
  <w:style w:type="paragraph" w:customStyle="1" w:styleId="428">
    <w:name w:val="环评正文"/>
    <w:basedOn w:val="1"/>
    <w:unhideWhenUsed/>
    <w:qFormat/>
    <w:uiPriority w:val="0"/>
    <w:pPr>
      <w:spacing w:line="360" w:lineRule="auto"/>
      <w:ind w:firstLine="200" w:firstLineChars="200"/>
    </w:pPr>
  </w:style>
  <w:style w:type="paragraph" w:customStyle="1" w:styleId="429">
    <w:name w:val="文章正文样式"/>
    <w:qFormat/>
    <w:uiPriority w:val="0"/>
    <w:pPr>
      <w:widowControl w:val="0"/>
      <w:spacing w:line="520" w:lineRule="exact"/>
      <w:ind w:firstLine="480" w:firstLineChars="200"/>
    </w:pPr>
    <w:rPr>
      <w:rFonts w:ascii="宋体" w:hAnsi="宋体" w:eastAsia="宋体" w:cs="宋体"/>
      <w:kern w:val="2"/>
      <w:sz w:val="24"/>
      <w:lang w:val="en-US" w:eastAsia="zh-CN" w:bidi="ar-SA"/>
    </w:rPr>
  </w:style>
  <w:style w:type="paragraph" w:customStyle="1" w:styleId="430">
    <w:name w:val="p20"/>
    <w:basedOn w:val="1"/>
    <w:qFormat/>
    <w:uiPriority w:val="0"/>
    <w:pPr>
      <w:widowControl/>
    </w:pPr>
    <w:rPr>
      <w:sz w:val="21"/>
      <w:szCs w:val="21"/>
    </w:rPr>
  </w:style>
  <w:style w:type="character" w:customStyle="1" w:styleId="431">
    <w:name w:val="font21"/>
    <w:basedOn w:val="50"/>
    <w:qFormat/>
    <w:uiPriority w:val="0"/>
    <w:rPr>
      <w:rFonts w:hint="eastAsia" w:ascii="宋体" w:hAnsi="宋体" w:eastAsia="宋体" w:cs="宋体"/>
      <w:b/>
      <w:bCs/>
      <w:color w:val="000000"/>
      <w:sz w:val="21"/>
      <w:szCs w:val="21"/>
      <w:u w:val="none"/>
    </w:rPr>
  </w:style>
  <w:style w:type="character" w:customStyle="1" w:styleId="432">
    <w:name w:val="font31"/>
    <w:basedOn w:val="50"/>
    <w:qFormat/>
    <w:uiPriority w:val="0"/>
    <w:rPr>
      <w:rFonts w:hint="default" w:ascii="Times New Roman" w:hAnsi="Times New Roman" w:cs="Times New Roman"/>
      <w:b/>
      <w:bCs/>
      <w:color w:val="000000"/>
      <w:sz w:val="21"/>
      <w:szCs w:val="21"/>
      <w:u w:val="none"/>
    </w:rPr>
  </w:style>
  <w:style w:type="character" w:customStyle="1" w:styleId="433">
    <w:name w:val="font41"/>
    <w:basedOn w:val="50"/>
    <w:qFormat/>
    <w:uiPriority w:val="0"/>
    <w:rPr>
      <w:rFonts w:hint="default" w:ascii="Times New Roman" w:hAnsi="Times New Roman" w:cs="Times New Roman"/>
      <w:b/>
      <w:bCs/>
      <w:color w:val="000000"/>
      <w:sz w:val="21"/>
      <w:szCs w:val="21"/>
      <w:u w:val="none"/>
      <w:vertAlign w:val="superscript"/>
    </w:rPr>
  </w:style>
  <w:style w:type="paragraph" w:customStyle="1" w:styleId="434">
    <w:name w:val="表图标题"/>
    <w:basedOn w:val="1"/>
    <w:qFormat/>
    <w:uiPriority w:val="0"/>
    <w:pPr>
      <w:autoSpaceDE w:val="0"/>
      <w:autoSpaceDN w:val="0"/>
      <w:adjustRightInd w:val="0"/>
      <w:snapToGrid w:val="0"/>
      <w:jc w:val="center"/>
    </w:pPr>
    <w:rPr>
      <w:rFonts w:ascii="Times New Roman" w:eastAsia="宋体"/>
      <w:b/>
      <w:bCs/>
      <w:color w:val="000000"/>
      <w:sz w:val="21"/>
      <w:szCs w:val="21"/>
    </w:rPr>
  </w:style>
  <w:style w:type="paragraph" w:customStyle="1" w:styleId="435">
    <w:name w:val="表字体"/>
    <w:basedOn w:val="1"/>
    <w:next w:val="1"/>
    <w:qFormat/>
    <w:uiPriority w:val="0"/>
    <w:pPr>
      <w:jc w:val="center"/>
    </w:pPr>
    <w:rPr>
      <w:rFonts w:ascii="Times New Roman" w:eastAsia="宋体"/>
    </w:rPr>
  </w:style>
  <w:style w:type="paragraph" w:customStyle="1" w:styleId="436">
    <w:name w:val="A0正文"/>
    <w:basedOn w:val="1"/>
    <w:qFormat/>
    <w:uiPriority w:val="0"/>
    <w:pPr>
      <w:spacing w:line="360" w:lineRule="auto"/>
      <w:ind w:firstLine="200" w:firstLineChars="200"/>
    </w:pPr>
    <w:rPr>
      <w:rFonts w:cs="宋体"/>
      <w:lang w:val="zh-CN"/>
    </w:rPr>
  </w:style>
  <w:style w:type="paragraph" w:customStyle="1" w:styleId="437">
    <w:name w:val="标题二"/>
    <w:basedOn w:val="1"/>
    <w:qFormat/>
    <w:uiPriority w:val="0"/>
  </w:style>
  <w:style w:type="paragraph" w:customStyle="1" w:styleId="438">
    <w:name w:val="Date1"/>
    <w:basedOn w:val="1"/>
    <w:next w:val="1"/>
    <w:qFormat/>
    <w:uiPriority w:val="0"/>
    <w:pPr>
      <w:adjustRightInd w:val="0"/>
      <w:jc w:val="left"/>
      <w:textAlignment w:val="baseline"/>
    </w:pPr>
    <w:rPr>
      <w:rFonts w:hAnsi="宋体"/>
      <w:sz w:val="28"/>
    </w:rPr>
  </w:style>
  <w:style w:type="table" w:customStyle="1" w:styleId="439">
    <w:name w:val="Table Normal"/>
    <w:semiHidden/>
    <w:unhideWhenUsed/>
    <w:qFormat/>
    <w:uiPriority w:val="0"/>
    <w:tblPr>
      <w:tblCellMar>
        <w:top w:w="0" w:type="dxa"/>
        <w:left w:w="0" w:type="dxa"/>
        <w:bottom w:w="0" w:type="dxa"/>
        <w:right w:w="0" w:type="dxa"/>
      </w:tblCellMar>
    </w:tblPr>
  </w:style>
  <w:style w:type="character" w:customStyle="1" w:styleId="440">
    <w:name w:val="10"/>
    <w:basedOn w:val="50"/>
    <w:qFormat/>
    <w:uiPriority w:val="0"/>
    <w:rPr>
      <w:rFonts w:hint="default" w:ascii="Times New Roman" w:hAnsi="Times New Roman" w:cs="Times New Roman"/>
    </w:rPr>
  </w:style>
  <w:style w:type="character" w:customStyle="1" w:styleId="441">
    <w:name w:val="15"/>
    <w:basedOn w:val="50"/>
    <w:qFormat/>
    <w:uiPriority w:val="0"/>
    <w:rPr>
      <w:rFonts w:hint="default" w:ascii="Times New Roman" w:hAnsi="Times New Roman" w:cs="Times New Roman"/>
    </w:rPr>
  </w:style>
  <w:style w:type="character" w:customStyle="1" w:styleId="442">
    <w:name w:val="px141"/>
    <w:qFormat/>
    <w:uiPriority w:val="0"/>
    <w:rPr>
      <w:sz w:val="28"/>
      <w:szCs w:val="28"/>
      <w:lang w:eastAsia="en-US"/>
    </w:rPr>
  </w:style>
  <w:style w:type="paragraph" w:customStyle="1" w:styleId="443">
    <w:name w:val="样式35"/>
    <w:basedOn w:val="395"/>
    <w:next w:val="295"/>
    <w:qFormat/>
    <w:uiPriority w:val="0"/>
    <w:pPr>
      <w:tabs>
        <w:tab w:val="left" w:pos="180"/>
      </w:tabs>
      <w:spacing w:line="312" w:lineRule="auto"/>
      <w:ind w:firstLine="567"/>
    </w:pPr>
    <w:rPr>
      <w:sz w:val="28"/>
    </w:rPr>
  </w:style>
  <w:style w:type="character" w:customStyle="1" w:styleId="444">
    <w:name w:val="font61"/>
    <w:basedOn w:val="50"/>
    <w:qFormat/>
    <w:uiPriority w:val="0"/>
    <w:rPr>
      <w:rFonts w:hint="default" w:ascii="Times New Roman" w:hAnsi="Times New Roman" w:cs="Times New Roman"/>
      <w:b/>
      <w:bCs/>
      <w:color w:val="000000"/>
      <w:sz w:val="21"/>
      <w:szCs w:val="21"/>
      <w:u w:val="none"/>
    </w:rPr>
  </w:style>
  <w:style w:type="paragraph" w:customStyle="1" w:styleId="445">
    <w:name w:val="正文-游"/>
    <w:qFormat/>
    <w:uiPriority w:val="0"/>
    <w:pPr>
      <w:adjustRightInd w:val="0"/>
      <w:snapToGrid w:val="0"/>
      <w:spacing w:after="120" w:line="480" w:lineRule="exact"/>
      <w:ind w:firstLine="200" w:firstLineChars="200"/>
      <w:jc w:val="both"/>
    </w:pPr>
    <w:rPr>
      <w:rFonts w:ascii="Times New Roman" w:hAnsi="Times New Roman" w:eastAsia="宋体" w:cs="Times New Roman"/>
      <w:bCs/>
      <w:color w:val="943734"/>
      <w:sz w:val="24"/>
      <w:szCs w:val="24"/>
      <w:lang w:val="en-US" w:eastAsia="zh-CN" w:bidi="ar-SA"/>
    </w:rPr>
  </w:style>
  <w:style w:type="character" w:customStyle="1" w:styleId="446">
    <w:name w:val="标题 3 字符"/>
    <w:link w:val="4"/>
    <w:qFormat/>
    <w:uiPriority w:val="9"/>
    <w:rPr>
      <w:rFonts w:ascii="Times New Roman"/>
      <w:b/>
      <w:bCs/>
      <w:sz w:val="32"/>
      <w:szCs w:val="32"/>
    </w:rPr>
  </w:style>
  <w:style w:type="paragraph" w:customStyle="1" w:styleId="447">
    <w:name w:val="0"/>
    <w:qFormat/>
    <w:uiPriority w:val="0"/>
    <w:pPr>
      <w:widowControl/>
      <w:jc w:val="both"/>
    </w:pPr>
    <w:rPr>
      <w:rFonts w:ascii="Times New Roman" w:hAnsi="Times New Roman" w:eastAsia="宋体" w:cs="Times New Roman"/>
      <w:kern w:val="0"/>
      <w:sz w:val="21"/>
      <w:szCs w:val="21"/>
      <w:lang w:val="en-US" w:eastAsia="zh-CN" w:bidi="ar-SA"/>
    </w:rPr>
  </w:style>
  <w:style w:type="paragraph" w:customStyle="1" w:styleId="448">
    <w:name w:val="标题三"/>
    <w:basedOn w:val="1"/>
    <w:qFormat/>
    <w:uiPriority w:val="0"/>
    <w:rPr>
      <w:rFonts w:ascii="Calibri" w:hAnsi="Calibri" w:cs="Times New Roman"/>
      <w:kern w:val="2"/>
      <w:sz w:val="21"/>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5" Type="http://schemas.openxmlformats.org/officeDocument/2006/relationships/fontTable" Target="fontTable.xml"/><Relationship Id="rId54" Type="http://schemas.microsoft.com/office/2006/relationships/keyMapCustomizations" Target="customizations.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35.png"/><Relationship Id="rId50" Type="http://schemas.openxmlformats.org/officeDocument/2006/relationships/image" Target="media/image34.png"/><Relationship Id="rId5" Type="http://schemas.openxmlformats.org/officeDocument/2006/relationships/footer" Target="footer1.xml"/><Relationship Id="rId49" Type="http://schemas.openxmlformats.org/officeDocument/2006/relationships/image" Target="media/image33.png"/><Relationship Id="rId48" Type="http://schemas.openxmlformats.org/officeDocument/2006/relationships/image" Target="media/image32.png"/><Relationship Id="rId47" Type="http://schemas.openxmlformats.org/officeDocument/2006/relationships/image" Target="media/image31.png"/><Relationship Id="rId46" Type="http://schemas.openxmlformats.org/officeDocument/2006/relationships/image" Target="media/image30.png"/><Relationship Id="rId45" Type="http://schemas.openxmlformats.org/officeDocument/2006/relationships/image" Target="media/image29.png"/><Relationship Id="rId44" Type="http://schemas.openxmlformats.org/officeDocument/2006/relationships/image" Target="media/image28.png"/><Relationship Id="rId43" Type="http://schemas.openxmlformats.org/officeDocument/2006/relationships/image" Target="media/image27.png"/><Relationship Id="rId42" Type="http://schemas.openxmlformats.org/officeDocument/2006/relationships/image" Target="media/image26.png"/><Relationship Id="rId41" Type="http://schemas.openxmlformats.org/officeDocument/2006/relationships/image" Target="media/image25.wmf"/><Relationship Id="rId40" Type="http://schemas.openxmlformats.org/officeDocument/2006/relationships/oleObject" Target="embeddings/oleObject2.bin"/><Relationship Id="rId4" Type="http://schemas.openxmlformats.org/officeDocument/2006/relationships/header" Target="header2.xml"/><Relationship Id="rId39" Type="http://schemas.openxmlformats.org/officeDocument/2006/relationships/image" Target="media/image24.jpeg"/><Relationship Id="rId38" Type="http://schemas.openxmlformats.org/officeDocument/2006/relationships/image" Target="media/image23.jpeg"/><Relationship Id="rId37" Type="http://schemas.openxmlformats.org/officeDocument/2006/relationships/image" Target="media/image22.png"/><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jpeg"/><Relationship Id="rId30" Type="http://schemas.openxmlformats.org/officeDocument/2006/relationships/image" Target="media/image15.png"/><Relationship Id="rId3" Type="http://schemas.openxmlformats.org/officeDocument/2006/relationships/header" Target="header1.xml"/><Relationship Id="rId29" Type="http://schemas.openxmlformats.org/officeDocument/2006/relationships/image" Target="media/image14.png"/><Relationship Id="rId28" Type="http://schemas.openxmlformats.org/officeDocument/2006/relationships/image" Target="media/image13.jpe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UxNjI1MTI2MDI5IiwKCSJHcm91cElkIiA6ICIzNDA1OTA0MjYiLAoJIkltYWdlIiA6ICJpVkJPUncwS0dnb0FBQUFOU1VoRVVnQUFBellBQUFLN0NBWUFBQUFnRmhyekFBQUFDWEJJV1hNQUFBc1RBQUFMRXdFQW1wd1lBQUFnQUVsRVFWUjRuT3pkZVh4VTViMC84TStaU1dZeVM1TEpaTTlrMzRDRVpES0RxWUplWk5QYklscTBiaTJLdTYxTFZWcUxZc0dpV0pScnFhMVZMNVNxS1BSbkVVcEZ2R2pkRjZxaUVwYVFFRUtJMmNpZVNUTEpyTW5NK2YyUlRKeUV5UVprR2ZtOFh5OWV6bm0yODV4eERzeDNudVVB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185</Pages>
  <Words>106008</Words>
  <Characters>121780</Characters>
  <Lines>948</Lines>
  <Paragraphs>266</Paragraphs>
  <TotalTime>0</TotalTime>
  <ScaleCrop>false</ScaleCrop>
  <LinksUpToDate>false</LinksUpToDate>
  <CharactersWithSpaces>122321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2013-11-01T03:17:00Z</dcterms:created>
  <dc:creator>微软用户</dc:creator>
  <cp:lastModifiedBy>杨阳</cp:lastModifiedBy>
  <cp:lastPrinted>2019-08-02T02:42:00Z</cp:lastPrinted>
  <dcterms:modified xsi:type="dcterms:W3CDTF">2023-11-15T06:25:48Z</dcterms:modified>
  <dc:title>目录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EBDF9CB0150248C0A2FDA09475ADABBA_13</vt:lpwstr>
  </property>
</Properties>
</file>