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3E718C">
      <w:pPr>
        <w:spacing w:line="348" w:lineRule="auto"/>
        <w:jc w:val="center"/>
        <w:rPr>
          <w:rFonts w:eastAsia="方正小标宋简体"/>
          <w:bCs/>
          <w:sz w:val="42"/>
          <w:szCs w:val="42"/>
        </w:rPr>
      </w:pPr>
    </w:p>
    <w:p w14:paraId="5D58F423">
      <w:pPr>
        <w:spacing w:line="800" w:lineRule="exact"/>
        <w:jc w:val="center"/>
        <w:rPr>
          <w:rFonts w:eastAsia="方正小标宋简体"/>
          <w:bCs/>
          <w:sz w:val="46"/>
          <w:szCs w:val="46"/>
        </w:rPr>
      </w:pPr>
      <w:r>
        <w:rPr>
          <w:rFonts w:hint="eastAsia" w:eastAsia="方正小标宋简体"/>
          <w:bCs/>
          <w:sz w:val="46"/>
          <w:szCs w:val="46"/>
        </w:rPr>
        <w:t>岳阳县</w:t>
      </w:r>
      <w:r>
        <w:rPr>
          <w:rFonts w:hint="eastAsia" w:eastAsia="方正小标宋简体"/>
          <w:bCs/>
          <w:sz w:val="46"/>
          <w:szCs w:val="46"/>
          <w:lang w:eastAsia="zh-CN"/>
        </w:rPr>
        <w:t>2023</w:t>
      </w:r>
      <w:r>
        <w:rPr>
          <w:rFonts w:hint="eastAsia" w:eastAsia="方正小标宋简体"/>
          <w:bCs/>
          <w:sz w:val="46"/>
          <w:szCs w:val="46"/>
        </w:rPr>
        <w:t>年度部门整体支出</w:t>
      </w:r>
    </w:p>
    <w:p w14:paraId="2E38EA72">
      <w:pPr>
        <w:spacing w:line="800" w:lineRule="exact"/>
        <w:jc w:val="center"/>
        <w:rPr>
          <w:rFonts w:eastAsia="方正小标宋简体"/>
          <w:bCs/>
          <w:sz w:val="46"/>
          <w:szCs w:val="46"/>
        </w:rPr>
      </w:pPr>
      <w:r>
        <w:rPr>
          <w:rFonts w:hint="eastAsia" w:eastAsia="方正小标宋简体"/>
          <w:bCs/>
          <w:sz w:val="46"/>
          <w:szCs w:val="46"/>
        </w:rPr>
        <w:t>绩效评价自评报告</w:t>
      </w:r>
    </w:p>
    <w:p w14:paraId="0DE4D726">
      <w:pPr>
        <w:rPr>
          <w:rFonts w:eastAsia="仿宋_GB2312"/>
          <w:b/>
          <w:sz w:val="32"/>
        </w:rPr>
      </w:pPr>
    </w:p>
    <w:p w14:paraId="7DB2A489">
      <w:pPr>
        <w:rPr>
          <w:rFonts w:eastAsia="仿宋_GB2312"/>
          <w:b/>
          <w:sz w:val="32"/>
        </w:rPr>
      </w:pPr>
    </w:p>
    <w:p w14:paraId="2C9715E2">
      <w:pPr>
        <w:rPr>
          <w:rFonts w:eastAsia="仿宋_GB2312"/>
          <w:b/>
          <w:sz w:val="32"/>
        </w:rPr>
      </w:pPr>
    </w:p>
    <w:p w14:paraId="7F2497BC">
      <w:pPr>
        <w:spacing w:beforeLines="50" w:line="348" w:lineRule="auto"/>
        <w:ind w:firstLine="476" w:firstLineChars="150"/>
        <w:rPr>
          <w:rFonts w:hint="eastAsia" w:eastAsia="仿宋_GB2312"/>
          <w:sz w:val="32"/>
          <w:szCs w:val="32"/>
          <w:u w:val="single"/>
          <w:lang w:eastAsia="zh-CN"/>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hint="eastAsia" w:eastAsia="仿宋_GB2312"/>
          <w:sz w:val="32"/>
          <w:szCs w:val="32"/>
          <w:lang w:eastAsia="zh-CN"/>
        </w:rPr>
        <w:t>月田镇人民政府</w:t>
      </w:r>
    </w:p>
    <w:p w14:paraId="5F2EFA59">
      <w:pPr>
        <w:spacing w:beforeLines="50" w:line="348" w:lineRule="auto"/>
        <w:ind w:firstLine="476" w:firstLineChars="150"/>
        <w:rPr>
          <w:rFonts w:hint="default" w:eastAsia="仿宋_GB2312"/>
          <w:spacing w:val="20"/>
          <w:sz w:val="32"/>
          <w:szCs w:val="32"/>
          <w:lang w:val="en-US" w:eastAsia="zh-CN"/>
        </w:rPr>
      </w:pPr>
      <w:r>
        <w:rPr>
          <w:rFonts w:hint="eastAsia" w:eastAsia="仿宋_GB2312"/>
          <w:sz w:val="32"/>
          <w:szCs w:val="32"/>
        </w:rPr>
        <w:t>预</w:t>
      </w:r>
      <w:r>
        <w:rPr>
          <w:rFonts w:hint="eastAsia" w:eastAsia="仿宋_GB2312"/>
          <w:spacing w:val="30"/>
          <w:sz w:val="32"/>
          <w:szCs w:val="32"/>
        </w:rPr>
        <w:t>算编码：</w:t>
      </w:r>
      <w:r>
        <w:rPr>
          <w:rFonts w:hint="eastAsia" w:eastAsia="仿宋_GB2312"/>
          <w:spacing w:val="30"/>
          <w:sz w:val="32"/>
          <w:szCs w:val="32"/>
          <w:lang w:val="en-US" w:eastAsia="zh-CN"/>
        </w:rPr>
        <w:t>714001</w:t>
      </w:r>
    </w:p>
    <w:p w14:paraId="48EB3734">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14:paraId="690F6529">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p>
    <w:p w14:paraId="03213ADB">
      <w:pPr>
        <w:spacing w:line="720" w:lineRule="exact"/>
        <w:ind w:firstLine="2188" w:firstLineChars="690"/>
        <w:rPr>
          <w:rFonts w:eastAsia="仿宋_GB2312"/>
          <w:sz w:val="32"/>
        </w:rPr>
      </w:pPr>
    </w:p>
    <w:p w14:paraId="453B1E44">
      <w:pPr>
        <w:spacing w:line="720" w:lineRule="exact"/>
        <w:ind w:firstLine="2188" w:firstLineChars="690"/>
        <w:rPr>
          <w:rFonts w:eastAsia="仿宋_GB2312"/>
          <w:sz w:val="32"/>
        </w:rPr>
      </w:pPr>
    </w:p>
    <w:p w14:paraId="25EE262A">
      <w:pPr>
        <w:spacing w:line="720" w:lineRule="exact"/>
        <w:ind w:firstLine="2188" w:firstLineChars="690"/>
        <w:rPr>
          <w:rFonts w:eastAsia="仿宋_GB2312"/>
          <w:sz w:val="32"/>
        </w:rPr>
      </w:pPr>
    </w:p>
    <w:p w14:paraId="0833F0BA">
      <w:pPr>
        <w:spacing w:line="348" w:lineRule="auto"/>
        <w:jc w:val="center"/>
        <w:rPr>
          <w:rFonts w:eastAsia="仿宋_GB2312"/>
          <w:sz w:val="32"/>
        </w:rPr>
      </w:pPr>
      <w:r>
        <w:rPr>
          <w:rFonts w:hint="eastAsia" w:eastAsia="仿宋_GB2312"/>
          <w:sz w:val="32"/>
        </w:rPr>
        <w:t>报告日期：</w:t>
      </w:r>
      <w:r>
        <w:rPr>
          <w:rFonts w:hint="eastAsia" w:eastAsia="仿宋_GB2312"/>
          <w:sz w:val="32"/>
          <w:lang w:val="en-US" w:eastAsia="zh-CN"/>
        </w:rPr>
        <w:t>2023</w:t>
      </w:r>
      <w:r>
        <w:rPr>
          <w:rFonts w:hint="eastAsia" w:eastAsia="仿宋_GB2312"/>
          <w:sz w:val="32"/>
        </w:rPr>
        <w:t>年</w:t>
      </w:r>
      <w:r>
        <w:rPr>
          <w:rFonts w:hint="eastAsia" w:eastAsia="仿宋_GB2312"/>
          <w:sz w:val="32"/>
          <w:lang w:val="en-US" w:eastAsia="zh-CN"/>
        </w:rPr>
        <w:t>8</w:t>
      </w:r>
      <w:r>
        <w:rPr>
          <w:rFonts w:hint="eastAsia" w:eastAsia="仿宋_GB2312"/>
          <w:sz w:val="32"/>
        </w:rPr>
        <w:t>月</w:t>
      </w:r>
      <w:r>
        <w:rPr>
          <w:rFonts w:hint="eastAsia" w:eastAsia="仿宋_GB2312"/>
          <w:sz w:val="32"/>
          <w:lang w:val="en-US" w:eastAsia="zh-CN"/>
        </w:rPr>
        <w:t>18</w:t>
      </w:r>
      <w:r>
        <w:rPr>
          <w:rFonts w:hint="eastAsia" w:eastAsia="仿宋_GB2312"/>
          <w:sz w:val="32"/>
        </w:rPr>
        <w:t>日</w:t>
      </w:r>
    </w:p>
    <w:p w14:paraId="2F9D5AB7">
      <w:pPr>
        <w:autoSpaceDN w:val="0"/>
        <w:jc w:val="center"/>
        <w:textAlignment w:val="center"/>
        <w:rPr>
          <w:rFonts w:eastAsia="仿宋_GB2312"/>
          <w:sz w:val="32"/>
          <w:szCs w:val="32"/>
        </w:rPr>
      </w:pPr>
    </w:p>
    <w:p w14:paraId="29C88DFA">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3"/>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13"/>
        <w:gridCol w:w="46"/>
        <w:gridCol w:w="1080"/>
        <w:gridCol w:w="210"/>
        <w:gridCol w:w="1132"/>
        <w:gridCol w:w="285"/>
        <w:gridCol w:w="666"/>
        <w:gridCol w:w="1621"/>
        <w:gridCol w:w="226"/>
        <w:gridCol w:w="455"/>
        <w:gridCol w:w="1080"/>
        <w:gridCol w:w="265"/>
        <w:gridCol w:w="139"/>
        <w:gridCol w:w="204"/>
        <w:gridCol w:w="112"/>
        <w:gridCol w:w="625"/>
      </w:tblGrid>
      <w:tr w14:paraId="44853D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0984C1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14:paraId="5485A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21B6FA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41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6970D06">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乔细华</w:t>
            </w:r>
          </w:p>
        </w:tc>
        <w:tc>
          <w:tcPr>
            <w:tcW w:w="162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4B23981">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F13176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15274078750</w:t>
            </w:r>
          </w:p>
        </w:tc>
      </w:tr>
      <w:tr w14:paraId="3CA19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25FAE8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41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B0F56D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86</w:t>
            </w:r>
          </w:p>
        </w:tc>
        <w:tc>
          <w:tcPr>
            <w:tcW w:w="162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CD827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61DEFE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86</w:t>
            </w:r>
          </w:p>
        </w:tc>
      </w:tr>
      <w:tr w14:paraId="66B6B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6"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E38FB7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E652008">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通过组织群众、宣传群众、教育群众、服务群众；切实贯彻落实党和国家在农村的各项方针政策和法律法规，围绕农业、农村、农民搞好服务，加快新农村建设步伐</w:t>
            </w:r>
            <w:r>
              <w:rPr>
                <w:rFonts w:hint="eastAsia" w:ascii="仿宋_GB2312" w:hAnsi="仿宋_GB2312" w:eastAsia="仿宋_GB2312" w:cs="仿宋_GB2312"/>
                <w:color w:val="000000"/>
                <w:sz w:val="24"/>
                <w:lang w:eastAsia="zh-CN"/>
              </w:rPr>
              <w:t>。</w:t>
            </w:r>
          </w:p>
        </w:tc>
      </w:tr>
      <w:tr w14:paraId="7E2C8E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4"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8E4DB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14:paraId="368800E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5E990E7">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000000"/>
                <w:sz w:val="24"/>
                <w:lang w:eastAsia="zh-CN"/>
              </w:rPr>
              <w:t>保障</w:t>
            </w:r>
            <w:r>
              <w:rPr>
                <w:rFonts w:hint="eastAsia" w:ascii="仿宋_GB2312" w:hAnsi="仿宋_GB2312" w:eastAsia="仿宋_GB2312" w:cs="仿宋_GB2312"/>
                <w:color w:val="000000"/>
                <w:sz w:val="24"/>
                <w:lang w:val="en-US" w:eastAsia="zh-CN"/>
              </w:rPr>
              <w:t>86人人</w:t>
            </w:r>
            <w:r>
              <w:rPr>
                <w:rFonts w:hint="eastAsia" w:ascii="仿宋_GB2312" w:hAnsi="仿宋_GB2312" w:eastAsia="仿宋_GB2312" w:cs="仿宋_GB2312"/>
                <w:color w:val="000000"/>
                <w:sz w:val="24"/>
              </w:rPr>
              <w:t>员经费，工资津贴，</w:t>
            </w:r>
            <w:r>
              <w:rPr>
                <w:rFonts w:hint="eastAsia" w:ascii="仿宋_GB2312" w:hAnsi="仿宋_GB2312" w:eastAsia="仿宋_GB2312" w:cs="仿宋_GB2312"/>
                <w:color w:val="000000"/>
                <w:sz w:val="24"/>
                <w:lang w:eastAsia="zh-CN"/>
              </w:rPr>
              <w:t>干部基金，住房公积金</w:t>
            </w:r>
            <w:r>
              <w:rPr>
                <w:rFonts w:hint="eastAsia" w:ascii="仿宋_GB2312" w:hAnsi="仿宋_GB2312" w:eastAsia="仿宋_GB2312" w:cs="仿宋_GB2312"/>
                <w:color w:val="000000"/>
                <w:sz w:val="24"/>
                <w:lang w:val="en-US" w:eastAsia="zh-CN"/>
              </w:rPr>
              <w:t>，</w:t>
            </w:r>
            <w:r>
              <w:rPr>
                <w:rFonts w:hint="eastAsia" w:ascii="仿宋_GB2312" w:hAnsi="仿宋_GB2312" w:eastAsia="仿宋_GB2312" w:cs="仿宋_GB2312"/>
                <w:color w:val="000000"/>
                <w:sz w:val="24"/>
                <w:lang w:eastAsia="zh-CN"/>
              </w:rPr>
              <w:t>16人遗属生活费安排</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公用经费</w:t>
            </w:r>
            <w:r>
              <w:rPr>
                <w:rFonts w:hint="eastAsia" w:ascii="仿宋_GB2312" w:hAnsi="仿宋_GB2312" w:eastAsia="仿宋_GB2312" w:cs="仿宋_GB2312"/>
                <w:color w:val="000000"/>
                <w:sz w:val="24"/>
                <w:lang w:val="en-US" w:eastAsia="zh-CN"/>
              </w:rPr>
              <w:t>86人</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val="en-US" w:eastAsia="zh-CN"/>
              </w:rPr>
              <w:t>72.8</w:t>
            </w:r>
            <w:r>
              <w:rPr>
                <w:rFonts w:hint="eastAsia" w:ascii="仿宋_GB2312" w:hAnsi="仿宋_GB2312" w:eastAsia="仿宋_GB2312" w:cs="仿宋_GB2312"/>
                <w:color w:val="000000"/>
                <w:sz w:val="24"/>
              </w:rPr>
              <w:t>万元</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 xml:space="preserve">                      　</w:t>
            </w:r>
          </w:p>
          <w:p w14:paraId="646F0283">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3：村级运转经费</w:t>
            </w:r>
            <w:r>
              <w:rPr>
                <w:rFonts w:hint="eastAsia" w:ascii="仿宋_GB2312" w:hAnsi="仿宋_GB2312" w:eastAsia="仿宋_GB2312" w:cs="仿宋_GB2312"/>
                <w:color w:val="000000"/>
                <w:sz w:val="24"/>
                <w:lang w:val="en-US" w:eastAsia="zh-CN"/>
              </w:rPr>
              <w:t>458</w:t>
            </w:r>
            <w:r>
              <w:rPr>
                <w:rFonts w:hint="eastAsia" w:ascii="仿宋_GB2312" w:hAnsi="仿宋_GB2312" w:eastAsia="仿宋_GB2312" w:cs="仿宋_GB2312"/>
                <w:color w:val="000000"/>
                <w:sz w:val="24"/>
              </w:rPr>
              <w:t xml:space="preserve">万元 </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　　　　　　　　　　　　　　　  　　　</w:t>
            </w:r>
          </w:p>
          <w:p w14:paraId="46926F60">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4：</w:t>
            </w:r>
            <w:r>
              <w:rPr>
                <w:rFonts w:hint="eastAsia" w:ascii="仿宋_GB2312" w:hAnsi="仿宋_GB2312" w:eastAsia="仿宋_GB2312" w:cs="仿宋_GB2312"/>
                <w:color w:val="000000"/>
                <w:sz w:val="24"/>
              </w:rPr>
              <w:t>退休津贴100万元。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 xml:space="preserve">5：环卫经费100万。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6：铁山水资源保护100万。</w:t>
            </w:r>
          </w:p>
        </w:tc>
      </w:tr>
      <w:tr w14:paraId="0B9F1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643479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5090D6D">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月田镇人民政府</w:t>
            </w:r>
            <w:r>
              <w:rPr>
                <w:rFonts w:hint="eastAsia" w:ascii="仿宋_GB2312" w:hAnsi="仿宋_GB2312" w:eastAsia="仿宋_GB2312" w:cs="仿宋_GB2312"/>
                <w:color w:val="000000"/>
                <w:sz w:val="24"/>
                <w:lang w:eastAsia="zh-CN"/>
              </w:rPr>
              <w:t>2023</w:t>
            </w:r>
            <w:r>
              <w:rPr>
                <w:rFonts w:hint="eastAsia" w:ascii="仿宋_GB2312" w:hAnsi="仿宋_GB2312" w:eastAsia="仿宋_GB2312" w:cs="仿宋_GB2312"/>
                <w:color w:val="000000"/>
                <w:sz w:val="24"/>
              </w:rPr>
              <w:t xml:space="preserve">年度收入支出决算总体情况说明： </w:t>
            </w:r>
            <w:r>
              <w:rPr>
                <w:rFonts w:hint="eastAsia" w:ascii="仿宋_GB2312" w:hAnsi="仿宋_GB2312" w:eastAsia="仿宋_GB2312" w:cs="仿宋_GB2312"/>
                <w:color w:val="000000"/>
                <w:sz w:val="24"/>
                <w:lang w:eastAsia="zh-CN"/>
              </w:rPr>
              <w:t>2023</w:t>
            </w:r>
            <w:r>
              <w:rPr>
                <w:rFonts w:hint="eastAsia" w:ascii="仿宋_GB2312" w:hAnsi="仿宋_GB2312" w:eastAsia="仿宋_GB2312" w:cs="仿宋_GB2312"/>
                <w:color w:val="000000"/>
                <w:sz w:val="24"/>
              </w:rPr>
              <w:t>年镇财政决算收支总计</w:t>
            </w:r>
            <w:r>
              <w:rPr>
                <w:rFonts w:hint="eastAsia" w:ascii="仿宋_GB2312" w:hAnsi="仿宋_GB2312" w:eastAsia="仿宋_GB2312" w:cs="仿宋_GB2312"/>
                <w:color w:val="000000"/>
                <w:sz w:val="24"/>
                <w:lang w:val="en-US" w:eastAsia="zh-CN"/>
              </w:rPr>
              <w:t>9386.3</w:t>
            </w:r>
            <w:r>
              <w:rPr>
                <w:rFonts w:hint="eastAsia" w:ascii="仿宋_GB2312" w:hAnsi="仿宋_GB2312" w:eastAsia="仿宋_GB2312" w:cs="仿宋_GB2312"/>
                <w:color w:val="000000"/>
                <w:sz w:val="24"/>
              </w:rPr>
              <w:t>万元</w:t>
            </w:r>
            <w:r>
              <w:rPr>
                <w:rFonts w:hint="eastAsia" w:ascii="仿宋_GB2312" w:hAnsi="仿宋_GB2312" w:eastAsia="仿宋_GB2312" w:cs="仿宋_GB2312"/>
                <w:color w:val="000000"/>
                <w:sz w:val="24"/>
                <w:lang w:eastAsia="zh-CN"/>
              </w:rPr>
              <w:t>。</w:t>
            </w:r>
          </w:p>
        </w:tc>
      </w:tr>
      <w:tr w14:paraId="5A4EE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9BFD24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14:paraId="5ACF92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C8BE74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14:paraId="5331D5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D46AEE7">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C4B12A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C10EFA3">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39A75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70192AA">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46E6A5AC">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03470E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CD7210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14:paraId="52B26A4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84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AC7BD6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6DB0E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F6249C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14:paraId="77C169A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14:paraId="633DD6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6E7EBE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机关及</w:t>
            </w:r>
            <w:r>
              <w:rPr>
                <w:rFonts w:hint="eastAsia" w:ascii="仿宋_GB2312" w:hAnsi="仿宋_GB2312" w:eastAsia="仿宋_GB2312" w:cs="仿宋_GB2312"/>
                <w:color w:val="000000"/>
                <w:sz w:val="24"/>
                <w:lang w:eastAsia="zh-CN"/>
              </w:rPr>
              <w:t>部门</w:t>
            </w:r>
            <w:r>
              <w:rPr>
                <w:rFonts w:hint="eastAsia" w:ascii="仿宋_GB2312" w:hAnsi="仿宋_GB2312" w:eastAsia="仿宋_GB2312" w:cs="仿宋_GB2312"/>
                <w:color w:val="000000"/>
                <w:sz w:val="24"/>
              </w:rPr>
              <w:t>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08B57C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9386.3</w:t>
            </w: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2B38D96">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951.6</w:t>
            </w: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FCCF461">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3057.7</w:t>
            </w:r>
          </w:p>
        </w:tc>
        <w:tc>
          <w:tcPr>
            <w:tcW w:w="184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4CC8617">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36.36</w:t>
            </w:r>
          </w:p>
        </w:tc>
        <w:tc>
          <w:tcPr>
            <w:tcW w:w="18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32ADD4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488.64</w:t>
            </w:r>
          </w:p>
        </w:tc>
        <w:tc>
          <w:tcPr>
            <w:tcW w:w="108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12952E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4852</w:t>
            </w:r>
          </w:p>
        </w:tc>
      </w:tr>
      <w:tr w14:paraId="50C3B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6BD99A2">
            <w:pPr>
              <w:keepNext w:val="0"/>
              <w:keepLines w:val="0"/>
              <w:suppressLineNumbers w:val="0"/>
              <w:spacing w:before="0" w:beforeAutospacing="0" w:after="0" w:afterAutospacing="0" w:line="320" w:lineRule="exact"/>
              <w:ind w:left="0" w:right="0"/>
              <w:rPr>
                <w:rFonts w:hint="default"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12A2130E">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9386.3</w:t>
            </w: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002F732">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951.6</w:t>
            </w: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641D4FB">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3057.7</w:t>
            </w:r>
          </w:p>
        </w:tc>
        <w:tc>
          <w:tcPr>
            <w:tcW w:w="184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9C99D4A">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36.36</w:t>
            </w:r>
          </w:p>
        </w:tc>
        <w:tc>
          <w:tcPr>
            <w:tcW w:w="18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E165761">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488.64</w:t>
            </w:r>
          </w:p>
        </w:tc>
        <w:tc>
          <w:tcPr>
            <w:tcW w:w="108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4FB9221">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4852</w:t>
            </w:r>
          </w:p>
        </w:tc>
      </w:tr>
      <w:tr w14:paraId="71496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F7D9245">
            <w:pPr>
              <w:keepNext w:val="0"/>
              <w:keepLines w:val="0"/>
              <w:suppressLineNumbers w:val="0"/>
              <w:spacing w:before="0" w:beforeAutospacing="0" w:after="0" w:afterAutospacing="0" w:line="320" w:lineRule="exact"/>
              <w:ind w:left="0" w:right="0"/>
              <w:rPr>
                <w:rFonts w:hint="default"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BC59C16">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BE70D91">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FB7132B">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184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6C24E0">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18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74996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08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5AC2DC5">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r>
      <w:tr w14:paraId="566E4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2AB4077">
            <w:pPr>
              <w:keepNext w:val="0"/>
              <w:keepLines w:val="0"/>
              <w:suppressLineNumbers w:val="0"/>
              <w:spacing w:before="0" w:beforeAutospacing="0" w:after="0" w:afterAutospacing="0" w:line="320" w:lineRule="exact"/>
              <w:ind w:left="0" w:right="0"/>
              <w:rPr>
                <w:rFonts w:hint="default"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1D475961">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3480D82">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A29CEFB">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184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ED95E94">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18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6B5BE3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08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18F94B2">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r>
      <w:tr w14:paraId="702ACA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14CCA4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14:paraId="142F9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DD9B8E0">
            <w:pPr>
              <w:keepNext w:val="0"/>
              <w:keepLines w:val="0"/>
              <w:suppressLineNumbers w:val="0"/>
              <w:snapToGrid w:val="0"/>
              <w:spacing w:before="0" w:beforeAutospacing="0" w:after="0" w:afterAutospacing="0" w:line="32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D073BC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8"/>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14:paraId="0B748FA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5"/>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14:paraId="2F0FB8A6">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14:paraId="4F8FD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F9760BA">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6525F68E">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342"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328DB4B">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53" w:type="dxa"/>
            <w:gridSpan w:val="5"/>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4C3085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8165FB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4"/>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14:paraId="6F4BB19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8F6CEB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14:paraId="2E1135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8C90301">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2DB0C774">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342" w:type="dxa"/>
            <w:gridSpan w:val="2"/>
            <w:vMerge w:val="continue"/>
            <w:tcBorders>
              <w:top w:val="single" w:color="auto" w:sz="4" w:space="0"/>
              <w:left w:val="single" w:color="auto" w:sz="4" w:space="0"/>
              <w:bottom w:val="single" w:color="000000" w:sz="4" w:space="0"/>
              <w:right w:val="single" w:color="000000" w:sz="4" w:space="0"/>
            </w:tcBorders>
            <w:vAlign w:val="center"/>
          </w:tcPr>
          <w:p w14:paraId="1BD581E0">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C041566">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6C0CA6">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top w:val="single" w:color="auto" w:sz="4" w:space="0"/>
              <w:left w:val="single" w:color="000000" w:sz="4" w:space="0"/>
              <w:bottom w:val="single" w:color="000000" w:sz="4" w:space="0"/>
              <w:right w:val="single" w:color="auto" w:sz="4" w:space="0"/>
            </w:tcBorders>
            <w:vAlign w:val="center"/>
          </w:tcPr>
          <w:p w14:paraId="576986C6">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720" w:type="dxa"/>
            <w:gridSpan w:val="4"/>
            <w:vMerge w:val="continue"/>
            <w:tcBorders>
              <w:top w:val="single" w:color="auto" w:sz="4" w:space="0"/>
              <w:left w:val="single" w:color="auto" w:sz="4" w:space="0"/>
              <w:bottom w:val="single" w:color="000000" w:sz="4" w:space="0"/>
              <w:right w:val="single" w:color="auto" w:sz="4" w:space="0"/>
            </w:tcBorders>
            <w:vAlign w:val="center"/>
          </w:tcPr>
          <w:p w14:paraId="5F1BDB10">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625" w:type="dxa"/>
            <w:vMerge w:val="continue"/>
            <w:tcBorders>
              <w:top w:val="single" w:color="auto" w:sz="4" w:space="0"/>
              <w:left w:val="single" w:color="auto" w:sz="4" w:space="0"/>
              <w:bottom w:val="single" w:color="000000" w:sz="4" w:space="0"/>
              <w:right w:val="single" w:color="000000" w:sz="4" w:space="0"/>
            </w:tcBorders>
            <w:vAlign w:val="center"/>
          </w:tcPr>
          <w:p w14:paraId="154C1C5D">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r>
      <w:tr w14:paraId="5C9E11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EE720C1">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w:t>
            </w:r>
            <w:r>
              <w:rPr>
                <w:rFonts w:hint="eastAsia" w:ascii="仿宋_GB2312" w:hAnsi="仿宋_GB2312" w:eastAsia="仿宋_GB2312" w:cs="仿宋_GB2312"/>
                <w:color w:val="000000"/>
                <w:sz w:val="24"/>
                <w:lang w:eastAsia="zh-CN"/>
              </w:rPr>
              <w:t>部门</w:t>
            </w:r>
            <w:r>
              <w:rPr>
                <w:rFonts w:hint="eastAsia" w:ascii="仿宋_GB2312" w:hAnsi="仿宋_GB2312" w:eastAsia="仿宋_GB2312" w:cs="仿宋_GB2312"/>
                <w:color w:val="000000"/>
                <w:sz w:val="24"/>
              </w:rPr>
              <w:t>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641A137">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9386.3</w:t>
            </w: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52DF3E5">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7260.6</w:t>
            </w: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4CA38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2009.8</w:t>
            </w: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7C4131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5250.8</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994EEC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1264.7</w:t>
            </w:r>
          </w:p>
        </w:tc>
        <w:tc>
          <w:tcPr>
            <w:tcW w:w="720" w:type="dxa"/>
            <w:gridSpan w:val="4"/>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3AF87E7">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861</w:t>
            </w: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36707FC9">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14:paraId="6B16D7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1E0646A">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color w:val="000000"/>
                <w:sz w:val="24"/>
              </w:rPr>
            </w:pPr>
            <w:r>
              <w:rPr>
                <w:rFonts w:hint="eastAsia" w:ascii="仿宋_GB2312" w:hAnsi="仿宋_GB2312" w:eastAsia="仿宋_GB2312" w:cs="仿宋_GB2312"/>
                <w:sz w:val="24"/>
              </w:rPr>
              <w:t>1、机关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D34B4E7">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9386.3</w:t>
            </w: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A4D65D2">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7260.6</w:t>
            </w: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AB5BC51">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2009.8</w:t>
            </w: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7A34CCF">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5250.8</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CD82B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1264.7</w:t>
            </w:r>
          </w:p>
        </w:tc>
        <w:tc>
          <w:tcPr>
            <w:tcW w:w="720" w:type="dxa"/>
            <w:gridSpan w:val="4"/>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4389B9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861</w:t>
            </w: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8788EB2">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0</w:t>
            </w:r>
          </w:p>
        </w:tc>
      </w:tr>
      <w:tr w14:paraId="3DA892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4AEEE6">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color w:val="000000"/>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0AE019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00E4E1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49E807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38EB07B">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25A93C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720" w:type="dxa"/>
            <w:gridSpan w:val="4"/>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F93292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2CD1A3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5F4AA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C843E0D">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color w:val="000000"/>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13E9D73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3D3042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90E29F3">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476D9C2">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EC6AF7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720" w:type="dxa"/>
            <w:gridSpan w:val="4"/>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AA784A1">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BEE49C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5BB2E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843F9F">
            <w:pPr>
              <w:keepNext w:val="0"/>
              <w:keepLines w:val="0"/>
              <w:suppressLineNumbers w:val="0"/>
              <w:spacing w:before="0" w:beforeAutospacing="0" w:after="0" w:afterAutospacing="0" w:line="32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11E45332">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14:paraId="1FE39241">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01A8B4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739D7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EFA2744">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52B04D6F">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220F2F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CE9B5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A0584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B016C72">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14:paraId="09858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97E40A">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w:t>
            </w:r>
            <w:r>
              <w:rPr>
                <w:rFonts w:hint="eastAsia" w:ascii="仿宋_GB2312" w:hAnsi="仿宋_GB2312" w:eastAsia="仿宋_GB2312" w:cs="仿宋_GB2312"/>
                <w:color w:val="000000"/>
                <w:sz w:val="24"/>
                <w:lang w:eastAsia="zh-CN"/>
              </w:rPr>
              <w:t>部门</w:t>
            </w:r>
            <w:r>
              <w:rPr>
                <w:rFonts w:hint="eastAsia" w:ascii="仿宋_GB2312" w:hAnsi="仿宋_GB2312" w:eastAsia="仿宋_GB2312" w:cs="仿宋_GB2312"/>
                <w:color w:val="000000"/>
                <w:sz w:val="24"/>
              </w:rPr>
              <w:t>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7DF655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3.3</w:t>
            </w: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9CBF672">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3.3</w:t>
            </w: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AA92A22">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3E36B88">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425"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8308DDD">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14:paraId="76AD6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809B30D">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sz w:val="24"/>
              </w:rPr>
            </w:pPr>
            <w:r>
              <w:rPr>
                <w:rFonts w:hint="eastAsia" w:ascii="仿宋_GB2312" w:hAnsi="仿宋_GB2312" w:eastAsia="仿宋_GB2312" w:cs="仿宋_GB2312"/>
                <w:sz w:val="24"/>
              </w:rPr>
              <w:t>1、机关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3322643">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3.3</w:t>
            </w: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3ADEE49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3.3</w:t>
            </w: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C8A8EF3">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0</w:t>
            </w: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58B779">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0</w:t>
            </w:r>
          </w:p>
        </w:tc>
        <w:tc>
          <w:tcPr>
            <w:tcW w:w="2425"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383830">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0</w:t>
            </w:r>
          </w:p>
        </w:tc>
      </w:tr>
      <w:tr w14:paraId="4969B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E2B9F9F">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2DCD406">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EE0D56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ED051C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FFDA59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2425"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E235B3B">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76E406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B3C82D3">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7E32AE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342"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480DAE3">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95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57D705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2302"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D7EFA86">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2425"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74FBC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2B0EA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4D04E75">
            <w:pPr>
              <w:keepNext w:val="0"/>
              <w:keepLines w:val="0"/>
              <w:suppressLineNumbers w:val="0"/>
              <w:spacing w:before="0" w:beforeAutospacing="0" w:after="0" w:afterAutospacing="0" w:line="32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9BEE786">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14:paraId="3334B3D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0"/>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14:paraId="28ED483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3"/>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F74E472">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14:paraId="3912A7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8036299">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30D9C6D3">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2293"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D149A7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786" w:type="dxa"/>
            <w:gridSpan w:val="6"/>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C94C39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3"/>
            <w:vMerge w:val="continue"/>
            <w:tcBorders>
              <w:top w:val="single" w:color="000000" w:sz="4" w:space="0"/>
              <w:left w:val="single" w:color="auto" w:sz="4" w:space="0"/>
              <w:bottom w:val="single" w:color="000000" w:sz="4" w:space="0"/>
              <w:right w:val="single" w:color="000000" w:sz="4" w:space="0"/>
            </w:tcBorders>
            <w:vAlign w:val="center"/>
          </w:tcPr>
          <w:p w14:paraId="68883CCA">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r>
      <w:tr w14:paraId="041A4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BA63CDD">
            <w:pPr>
              <w:keepNext w:val="0"/>
              <w:keepLines w:val="0"/>
              <w:suppressLineNumbers w:val="0"/>
              <w:spacing w:before="0" w:beforeAutospacing="0" w:after="0" w:afterAutospacing="0" w:line="320" w:lineRule="exact"/>
              <w:ind w:left="0" w:leftChars="0" w:right="0" w:rightChars="0"/>
              <w:jc w:val="left"/>
              <w:rPr>
                <w:rFonts w:hint="default" w:ascii="仿宋_GB2312" w:hAnsi="仿宋_GB2312" w:eastAsia="仿宋_GB2312" w:cs="仿宋_GB2312"/>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w:t>
            </w:r>
            <w:r>
              <w:rPr>
                <w:rFonts w:hint="eastAsia" w:ascii="仿宋_GB2312" w:hAnsi="仿宋_GB2312" w:eastAsia="仿宋_GB2312" w:cs="仿宋_GB2312"/>
                <w:color w:val="000000"/>
                <w:sz w:val="24"/>
                <w:lang w:eastAsia="zh-CN"/>
              </w:rPr>
              <w:t>部门</w:t>
            </w:r>
            <w:r>
              <w:rPr>
                <w:rFonts w:hint="eastAsia" w:ascii="仿宋_GB2312" w:hAnsi="仿宋_GB2312" w:eastAsia="仿宋_GB2312" w:cs="仿宋_GB2312"/>
                <w:color w:val="000000"/>
                <w:sz w:val="24"/>
              </w:rPr>
              <w:t>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7F0C9B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566.9</w:t>
            </w:r>
          </w:p>
        </w:tc>
        <w:tc>
          <w:tcPr>
            <w:tcW w:w="2293"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3844BFB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566.9</w:t>
            </w:r>
          </w:p>
        </w:tc>
        <w:tc>
          <w:tcPr>
            <w:tcW w:w="378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789B90">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941"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38477D9">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14:paraId="77E33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5AC8756">
            <w:pPr>
              <w:keepNext w:val="0"/>
              <w:keepLines w:val="0"/>
              <w:suppressLineNumbers w:val="0"/>
              <w:spacing w:before="0" w:beforeAutospacing="0" w:after="0" w:afterAutospacing="0" w:line="320" w:lineRule="exact"/>
              <w:ind w:left="0" w:leftChars="0" w:right="0" w:rightChars="0"/>
              <w:jc w:val="left"/>
              <w:rPr>
                <w:rFonts w:hint="default" w:ascii="仿宋_GB2312" w:hAnsi="仿宋_GB2312" w:eastAsia="仿宋_GB2312" w:cs="仿宋_GB2312"/>
                <w:sz w:val="24"/>
              </w:rPr>
            </w:pPr>
            <w:r>
              <w:rPr>
                <w:rFonts w:hint="eastAsia" w:ascii="仿宋_GB2312" w:hAnsi="仿宋_GB2312" w:eastAsia="仿宋_GB2312" w:cs="仿宋_GB2312"/>
                <w:sz w:val="24"/>
              </w:rPr>
              <w:t>1、机关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AD04758">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566.9</w:t>
            </w:r>
          </w:p>
        </w:tc>
        <w:tc>
          <w:tcPr>
            <w:tcW w:w="2293"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EC12E66">
            <w:pPr>
              <w:keepNext w:val="0"/>
              <w:keepLines w:val="0"/>
              <w:suppressLineNumbers w:val="0"/>
              <w:autoSpaceDN w:val="0"/>
              <w:spacing w:before="0" w:beforeAutospacing="0" w:after="0" w:afterAutospacing="0" w:line="320" w:lineRule="exact"/>
              <w:ind w:left="0" w:leftChars="0" w:right="0" w:rightChars="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566.9</w:t>
            </w:r>
          </w:p>
        </w:tc>
        <w:tc>
          <w:tcPr>
            <w:tcW w:w="378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A41D9B">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941"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820888A">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14:paraId="223BF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05346EC">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87952A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2293"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0D38041">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378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149B47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941"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9E84FD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5F9230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2BBC9D5">
            <w:pPr>
              <w:keepNext w:val="0"/>
              <w:keepLines w:val="0"/>
              <w:suppressLineNumbers w:val="0"/>
              <w:spacing w:before="0" w:beforeAutospacing="0" w:after="0" w:afterAutospacing="0" w:line="320" w:lineRule="exact"/>
              <w:ind w:left="0" w:right="0"/>
              <w:jc w:val="left"/>
              <w:rPr>
                <w:rFonts w:hint="default"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23379F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2293"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BD7652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378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E4CDA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941"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EBBE2B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0459E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8112A2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14:paraId="76A75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5708253">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632"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BC8024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727"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DDD2D6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14:paraId="30A60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895645E">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3632"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2AD155F">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000000"/>
                <w:sz w:val="24"/>
                <w:lang w:eastAsia="zh-CN"/>
              </w:rPr>
              <w:t>保障</w:t>
            </w:r>
            <w:r>
              <w:rPr>
                <w:rFonts w:hint="eastAsia" w:ascii="仿宋_GB2312" w:hAnsi="仿宋_GB2312" w:eastAsia="仿宋_GB2312" w:cs="仿宋_GB2312"/>
                <w:color w:val="000000"/>
                <w:sz w:val="24"/>
                <w:lang w:val="en-US" w:eastAsia="zh-CN"/>
              </w:rPr>
              <w:t>86人人</w:t>
            </w:r>
            <w:r>
              <w:rPr>
                <w:rFonts w:hint="eastAsia" w:ascii="仿宋_GB2312" w:hAnsi="仿宋_GB2312" w:eastAsia="仿宋_GB2312" w:cs="仿宋_GB2312"/>
                <w:color w:val="000000"/>
                <w:sz w:val="24"/>
              </w:rPr>
              <w:t>员经费，工资津贴，</w:t>
            </w:r>
            <w:r>
              <w:rPr>
                <w:rFonts w:hint="eastAsia" w:ascii="仿宋_GB2312" w:hAnsi="仿宋_GB2312" w:eastAsia="仿宋_GB2312" w:cs="仿宋_GB2312"/>
                <w:color w:val="000000"/>
                <w:sz w:val="24"/>
                <w:lang w:eastAsia="zh-CN"/>
              </w:rPr>
              <w:t>干部基金，住房公积金</w:t>
            </w:r>
            <w:r>
              <w:rPr>
                <w:rFonts w:hint="eastAsia" w:ascii="仿宋_GB2312" w:hAnsi="仿宋_GB2312" w:eastAsia="仿宋_GB2312" w:cs="仿宋_GB2312"/>
                <w:color w:val="000000"/>
                <w:sz w:val="24"/>
                <w:lang w:val="en-US" w:eastAsia="zh-CN"/>
              </w:rPr>
              <w:t>，</w:t>
            </w:r>
            <w:r>
              <w:rPr>
                <w:rFonts w:hint="eastAsia" w:ascii="仿宋_GB2312" w:hAnsi="仿宋_GB2312" w:eastAsia="仿宋_GB2312" w:cs="仿宋_GB2312"/>
                <w:color w:val="000000"/>
                <w:sz w:val="24"/>
                <w:lang w:eastAsia="zh-CN"/>
              </w:rPr>
              <w:t>16人遗属生活费安排</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公用经费</w:t>
            </w:r>
            <w:r>
              <w:rPr>
                <w:rFonts w:hint="eastAsia" w:ascii="仿宋_GB2312" w:hAnsi="仿宋_GB2312" w:eastAsia="仿宋_GB2312" w:cs="仿宋_GB2312"/>
                <w:color w:val="000000"/>
                <w:sz w:val="24"/>
                <w:lang w:val="en-US" w:eastAsia="zh-CN"/>
              </w:rPr>
              <w:t>86人</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val="en-US" w:eastAsia="zh-CN"/>
              </w:rPr>
              <w:t>72.8</w:t>
            </w:r>
            <w:r>
              <w:rPr>
                <w:rFonts w:hint="eastAsia" w:ascii="仿宋_GB2312" w:hAnsi="仿宋_GB2312" w:eastAsia="仿宋_GB2312" w:cs="仿宋_GB2312"/>
                <w:color w:val="000000"/>
                <w:sz w:val="24"/>
              </w:rPr>
              <w:t>万元</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 xml:space="preserve">                      　</w:t>
            </w:r>
          </w:p>
          <w:p w14:paraId="5311708A">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3：村级运转经费</w:t>
            </w:r>
            <w:r>
              <w:rPr>
                <w:rFonts w:hint="eastAsia" w:ascii="仿宋_GB2312" w:hAnsi="仿宋_GB2312" w:eastAsia="仿宋_GB2312" w:cs="仿宋_GB2312"/>
                <w:color w:val="000000"/>
                <w:sz w:val="24"/>
                <w:lang w:val="en-US" w:eastAsia="zh-CN"/>
              </w:rPr>
              <w:t>458</w:t>
            </w:r>
            <w:r>
              <w:rPr>
                <w:rFonts w:hint="eastAsia" w:ascii="仿宋_GB2312" w:hAnsi="仿宋_GB2312" w:eastAsia="仿宋_GB2312" w:cs="仿宋_GB2312"/>
                <w:color w:val="000000"/>
                <w:sz w:val="24"/>
              </w:rPr>
              <w:t xml:space="preserve">万元 </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　　　　　　　　　　　　　　　  　　　</w:t>
            </w:r>
          </w:p>
          <w:p w14:paraId="698D041C">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4：</w:t>
            </w:r>
            <w:r>
              <w:rPr>
                <w:rFonts w:hint="eastAsia" w:ascii="仿宋_GB2312" w:hAnsi="仿宋_GB2312" w:eastAsia="仿宋_GB2312" w:cs="仿宋_GB2312"/>
                <w:color w:val="000000"/>
                <w:sz w:val="24"/>
              </w:rPr>
              <w:t>退休津贴100万元。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 xml:space="preserve">5：环卫经费100万。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6：铁山水资源保护100万。</w:t>
            </w:r>
          </w:p>
        </w:tc>
        <w:tc>
          <w:tcPr>
            <w:tcW w:w="4727"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8AB43C9">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000000"/>
                <w:sz w:val="24"/>
                <w:lang w:eastAsia="zh-CN"/>
              </w:rPr>
              <w:t>保障</w:t>
            </w:r>
            <w:r>
              <w:rPr>
                <w:rFonts w:hint="eastAsia" w:ascii="仿宋_GB2312" w:hAnsi="仿宋_GB2312" w:eastAsia="仿宋_GB2312" w:cs="仿宋_GB2312"/>
                <w:color w:val="000000"/>
                <w:sz w:val="24"/>
                <w:lang w:val="en-US" w:eastAsia="zh-CN"/>
              </w:rPr>
              <w:t>86人人</w:t>
            </w:r>
            <w:r>
              <w:rPr>
                <w:rFonts w:hint="eastAsia" w:ascii="仿宋_GB2312" w:hAnsi="仿宋_GB2312" w:eastAsia="仿宋_GB2312" w:cs="仿宋_GB2312"/>
                <w:color w:val="000000"/>
                <w:sz w:val="24"/>
              </w:rPr>
              <w:t>员经费，工资津贴，</w:t>
            </w:r>
            <w:r>
              <w:rPr>
                <w:rFonts w:hint="eastAsia" w:ascii="仿宋_GB2312" w:hAnsi="仿宋_GB2312" w:eastAsia="仿宋_GB2312" w:cs="仿宋_GB2312"/>
                <w:color w:val="000000"/>
                <w:sz w:val="24"/>
                <w:lang w:eastAsia="zh-CN"/>
              </w:rPr>
              <w:t>干部基金，住房公积金</w:t>
            </w:r>
            <w:r>
              <w:rPr>
                <w:rFonts w:hint="eastAsia" w:ascii="仿宋_GB2312" w:hAnsi="仿宋_GB2312" w:eastAsia="仿宋_GB2312" w:cs="仿宋_GB2312"/>
                <w:color w:val="000000"/>
                <w:sz w:val="24"/>
                <w:lang w:val="en-US" w:eastAsia="zh-CN"/>
              </w:rPr>
              <w:t>，</w:t>
            </w:r>
            <w:r>
              <w:rPr>
                <w:rFonts w:hint="eastAsia" w:ascii="仿宋_GB2312" w:hAnsi="仿宋_GB2312" w:eastAsia="仿宋_GB2312" w:cs="仿宋_GB2312"/>
                <w:color w:val="000000"/>
                <w:sz w:val="24"/>
                <w:lang w:eastAsia="zh-CN"/>
              </w:rPr>
              <w:t>16人遗属生活费安排</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公用经费</w:t>
            </w:r>
            <w:r>
              <w:rPr>
                <w:rFonts w:hint="eastAsia" w:ascii="仿宋_GB2312" w:hAnsi="仿宋_GB2312" w:eastAsia="仿宋_GB2312" w:cs="仿宋_GB2312"/>
                <w:color w:val="000000"/>
                <w:sz w:val="24"/>
                <w:lang w:val="en-US" w:eastAsia="zh-CN"/>
              </w:rPr>
              <w:t>86人</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val="en-US" w:eastAsia="zh-CN"/>
              </w:rPr>
              <w:t>72.8</w:t>
            </w:r>
            <w:r>
              <w:rPr>
                <w:rFonts w:hint="eastAsia" w:ascii="仿宋_GB2312" w:hAnsi="仿宋_GB2312" w:eastAsia="仿宋_GB2312" w:cs="仿宋_GB2312"/>
                <w:color w:val="000000"/>
                <w:sz w:val="24"/>
              </w:rPr>
              <w:t>万元</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 xml:space="preserve">                      　</w:t>
            </w:r>
          </w:p>
          <w:p w14:paraId="57E9F9A6">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3：村级运转经费</w:t>
            </w:r>
            <w:r>
              <w:rPr>
                <w:rFonts w:hint="eastAsia" w:ascii="仿宋_GB2312" w:hAnsi="仿宋_GB2312" w:eastAsia="仿宋_GB2312" w:cs="仿宋_GB2312"/>
                <w:color w:val="000000"/>
                <w:sz w:val="24"/>
                <w:lang w:val="en-US" w:eastAsia="zh-CN"/>
              </w:rPr>
              <w:t>458</w:t>
            </w:r>
            <w:r>
              <w:rPr>
                <w:rFonts w:hint="eastAsia" w:ascii="仿宋_GB2312" w:hAnsi="仿宋_GB2312" w:eastAsia="仿宋_GB2312" w:cs="仿宋_GB2312"/>
                <w:color w:val="000000"/>
                <w:sz w:val="24"/>
              </w:rPr>
              <w:t xml:space="preserve">万元 </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　　　　　　　　　　　　　　　  　　　</w:t>
            </w:r>
          </w:p>
          <w:p w14:paraId="2B757F3A">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4：</w:t>
            </w:r>
            <w:r>
              <w:rPr>
                <w:rFonts w:hint="eastAsia" w:ascii="仿宋_GB2312" w:hAnsi="仿宋_GB2312" w:eastAsia="仿宋_GB2312" w:cs="仿宋_GB2312"/>
                <w:color w:val="000000"/>
                <w:sz w:val="24"/>
              </w:rPr>
              <w:t>退休津贴100万元。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 xml:space="preserve">5：环卫经费100万。                                                 　　　　　　　　　　　　　　　　　　　　　　　　  　  　　　　　      </w:t>
            </w: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rPr>
              <w:t>6：铁山水资源保护100万。</w:t>
            </w:r>
          </w:p>
        </w:tc>
      </w:tr>
      <w:tr w14:paraId="4D0576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969365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14:paraId="20C6C74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9C2BD2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ED6961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7CD230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14:paraId="7AEAD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646DCEE">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4F7A41">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14:paraId="562A7F4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8A106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376C8D5">
            <w:pPr>
              <w:keepNext w:val="0"/>
              <w:keepLines w:val="0"/>
              <w:widowControl/>
              <w:suppressLineNumbers w:val="0"/>
              <w:spacing w:before="0" w:beforeAutospacing="0" w:after="0" w:afterAutospacing="0"/>
              <w:ind w:left="0" w:right="0"/>
              <w:jc w:val="left"/>
              <w:textAlignment w:val="center"/>
              <w:rPr>
                <w:rFonts w:hint="default" w:ascii="仿宋_GB2312" w:hAnsi="仿宋_GB2312" w:eastAsia="仿宋_GB2312" w:cs="仿宋_GB2312"/>
                <w:color w:val="000000"/>
                <w:sz w:val="24"/>
              </w:rPr>
            </w:pPr>
            <w:r>
              <w:rPr>
                <w:rFonts w:hint="eastAsia" w:ascii="仿宋" w:hAnsi="仿宋" w:eastAsia="仿宋" w:cs="仿宋"/>
                <w:i w:val="0"/>
                <w:iCs w:val="0"/>
                <w:color w:val="000000"/>
                <w:kern w:val="0"/>
                <w:sz w:val="24"/>
                <w:szCs w:val="24"/>
                <w:u w:val="none"/>
                <w:lang w:val="en-US" w:eastAsia="zh-CN" w:bidi="ar"/>
              </w:rPr>
              <w:t>指标1：政府采购执行率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873312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6462F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1FFC74ED">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163FA9AF">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DEE3CFD">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2A63738">
            <w:pPr>
              <w:keepNext w:val="0"/>
              <w:keepLines w:val="0"/>
              <w:widowControl/>
              <w:suppressLineNumbers w:val="0"/>
              <w:spacing w:before="0" w:beforeAutospacing="0" w:after="0" w:afterAutospacing="0"/>
              <w:ind w:left="0" w:right="0"/>
              <w:jc w:val="left"/>
              <w:textAlignment w:val="center"/>
              <w:rPr>
                <w:rFonts w:hint="default" w:ascii="仿宋_GB2312" w:hAnsi="仿宋_GB2312" w:eastAsia="仿宋_GB2312" w:cs="仿宋_GB2312"/>
                <w:color w:val="000000"/>
                <w:sz w:val="24"/>
              </w:rPr>
            </w:pPr>
            <w:r>
              <w:rPr>
                <w:rFonts w:hint="eastAsia" w:ascii="仿宋" w:hAnsi="仿宋" w:eastAsia="仿宋" w:cs="仿宋"/>
                <w:i w:val="0"/>
                <w:iCs w:val="0"/>
                <w:color w:val="000000"/>
                <w:kern w:val="0"/>
                <w:sz w:val="24"/>
                <w:szCs w:val="24"/>
                <w:u w:val="none"/>
                <w:lang w:val="en-US" w:eastAsia="zh-CN" w:bidi="ar"/>
              </w:rPr>
              <w:t>指标2：公务卡刷卡率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E36927E">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0</w:t>
            </w:r>
          </w:p>
        </w:tc>
      </w:tr>
      <w:tr w14:paraId="5492DB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DCA6D13">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64FC7932">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17D9547">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0D4E0FC">
            <w:pPr>
              <w:keepNext w:val="0"/>
              <w:keepLines w:val="0"/>
              <w:widowControl/>
              <w:suppressLineNumbers w:val="0"/>
              <w:spacing w:before="0" w:beforeAutospacing="0" w:after="0" w:afterAutospacing="0"/>
              <w:ind w:left="0" w:right="0"/>
              <w:jc w:val="left"/>
              <w:textAlignment w:val="center"/>
              <w:rPr>
                <w:rFonts w:hint="default" w:ascii="仿宋_GB2312" w:hAnsi="仿宋_GB2312" w:eastAsia="仿宋_GB2312" w:cs="仿宋_GB2312"/>
                <w:color w:val="000000"/>
                <w:sz w:val="24"/>
              </w:rPr>
            </w:pPr>
            <w:r>
              <w:rPr>
                <w:rFonts w:hint="eastAsia" w:ascii="仿宋" w:hAnsi="仿宋" w:eastAsia="仿宋" w:cs="仿宋"/>
                <w:i w:val="0"/>
                <w:iCs w:val="0"/>
                <w:color w:val="000000"/>
                <w:kern w:val="0"/>
                <w:sz w:val="24"/>
                <w:szCs w:val="24"/>
                <w:u w:val="none"/>
                <w:lang w:val="en-US" w:eastAsia="zh-CN" w:bidi="ar"/>
              </w:rPr>
              <w:t>指标3：固定资产利用率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27DCA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5AD7D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C2B9652">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37208D16">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718208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45F7C16">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指标1：</w:t>
            </w:r>
            <w:r>
              <w:rPr>
                <w:rFonts w:hint="eastAsia" w:ascii="仿宋" w:hAnsi="仿宋" w:eastAsia="仿宋" w:cs="仿宋"/>
                <w:i w:val="0"/>
                <w:iCs w:val="0"/>
                <w:color w:val="000000"/>
                <w:kern w:val="0"/>
                <w:sz w:val="24"/>
                <w:szCs w:val="24"/>
                <w:u w:val="none"/>
                <w:lang w:val="en-US" w:eastAsia="zh-CN" w:bidi="ar"/>
              </w:rPr>
              <w:t>人员经费1557万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330D40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628A7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6F8AC4D">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528D4C3C">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FABCBBA">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71A750F">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指标2：</w:t>
            </w:r>
            <w:r>
              <w:rPr>
                <w:rFonts w:hint="eastAsia" w:ascii="仿宋" w:hAnsi="仿宋" w:eastAsia="仿宋" w:cs="仿宋"/>
                <w:i w:val="0"/>
                <w:iCs w:val="0"/>
                <w:color w:val="000000"/>
                <w:kern w:val="0"/>
                <w:sz w:val="24"/>
                <w:szCs w:val="24"/>
                <w:u w:val="none"/>
                <w:lang w:val="en-US" w:eastAsia="zh-CN" w:bidi="ar"/>
              </w:rPr>
              <w:t>公用经费72.8万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6CC865B">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5ADEFE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9CC6942">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58F97CD2">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363EE67">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E879DA5">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 w:hAnsi="仿宋" w:eastAsia="仿宋" w:cs="仿宋"/>
                <w:i w:val="0"/>
                <w:iCs w:val="0"/>
                <w:color w:val="000000"/>
                <w:kern w:val="0"/>
                <w:sz w:val="24"/>
                <w:szCs w:val="24"/>
                <w:u w:val="none"/>
                <w:lang w:val="en-US" w:eastAsia="zh-CN" w:bidi="ar"/>
              </w:rPr>
              <w:t>指标3：村级运转经费458万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96F8F1">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393E3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71562CCD">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48A3BD50">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27795F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87A7F63">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lang w:val="en-US"/>
              </w:rPr>
            </w:pPr>
            <w:r>
              <w:rPr>
                <w:rFonts w:hint="eastAsia" w:ascii="仿宋_GB2312" w:hAnsi="仿宋_GB2312" w:eastAsia="仿宋_GB2312" w:cs="仿宋_GB2312"/>
                <w:color w:val="000000"/>
                <w:sz w:val="24"/>
              </w:rPr>
              <w:t>指标1：</w:t>
            </w:r>
            <w:r>
              <w:rPr>
                <w:rFonts w:hint="eastAsia" w:ascii="仿宋" w:hAnsi="仿宋" w:eastAsia="仿宋" w:cs="仿宋"/>
                <w:i w:val="0"/>
                <w:iCs w:val="0"/>
                <w:color w:val="000000"/>
                <w:kern w:val="0"/>
                <w:sz w:val="24"/>
                <w:szCs w:val="24"/>
                <w:u w:val="none"/>
                <w:lang w:val="en-US" w:eastAsia="zh-CN" w:bidi="ar"/>
              </w:rPr>
              <w:t>人员经费按月支付</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C6240A2">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0F60E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15F3F07A">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32CB5A16">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8252C15">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EAF3B80">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lang w:val="en-US"/>
              </w:rPr>
            </w:pPr>
            <w:r>
              <w:rPr>
                <w:rFonts w:hint="eastAsia" w:ascii="仿宋_GB2312" w:hAnsi="仿宋_GB2312" w:eastAsia="仿宋_GB2312" w:cs="仿宋_GB2312"/>
                <w:color w:val="000000"/>
                <w:sz w:val="24"/>
              </w:rPr>
              <w:t>指标2：</w:t>
            </w:r>
            <w:r>
              <w:rPr>
                <w:rFonts w:hint="eastAsia" w:ascii="仿宋" w:hAnsi="仿宋" w:eastAsia="仿宋" w:cs="仿宋"/>
                <w:i w:val="0"/>
                <w:iCs w:val="0"/>
                <w:color w:val="000000"/>
                <w:kern w:val="0"/>
                <w:sz w:val="24"/>
                <w:szCs w:val="24"/>
                <w:u w:val="none"/>
                <w:lang w:val="en-US" w:eastAsia="zh-CN" w:bidi="ar"/>
              </w:rPr>
              <w:t>公用经费按月支付</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A5B7EF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52080D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0F817EE">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254E511B">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26B0AA1">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6E36B58">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lang w:val="en-US"/>
              </w:rPr>
            </w:pPr>
            <w:r>
              <w:rPr>
                <w:rFonts w:hint="eastAsia" w:ascii="仿宋" w:hAnsi="仿宋" w:eastAsia="仿宋" w:cs="仿宋"/>
                <w:i w:val="0"/>
                <w:iCs w:val="0"/>
                <w:color w:val="000000"/>
                <w:kern w:val="0"/>
                <w:sz w:val="24"/>
                <w:szCs w:val="24"/>
                <w:u w:val="none"/>
                <w:lang w:val="en-US" w:eastAsia="zh-CN" w:bidi="ar"/>
              </w:rPr>
              <w:t>指标3：村级运转经费按季度支付</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4651DD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19C65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78285D57">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1E083976">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5AD2A4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DD3D64B">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机关食堂后勤保障小于</w:t>
            </w:r>
            <w:r>
              <w:rPr>
                <w:rFonts w:hint="eastAsia" w:ascii="仿宋_GB2312" w:hAnsi="仿宋_GB2312" w:eastAsia="仿宋_GB2312" w:cs="仿宋_GB2312"/>
                <w:color w:val="000000"/>
                <w:sz w:val="24"/>
                <w:lang w:val="en-US" w:eastAsia="zh-CN"/>
              </w:rPr>
              <w:t>100万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AF62E3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48015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70E17CBD">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5BC5166B">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6CA410E">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AF01DD5">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指标2：</w:t>
            </w:r>
            <w:r>
              <w:rPr>
                <w:rFonts w:hint="eastAsia" w:ascii="仿宋_GB2312" w:hAnsi="仿宋_GB2312" w:eastAsia="仿宋_GB2312" w:cs="仿宋_GB2312"/>
                <w:color w:val="000000"/>
                <w:sz w:val="24"/>
                <w:lang w:eastAsia="zh-CN"/>
              </w:rPr>
              <w:t>公务接待小于</w:t>
            </w:r>
            <w:r>
              <w:rPr>
                <w:rFonts w:hint="eastAsia" w:ascii="仿宋_GB2312" w:hAnsi="仿宋_GB2312" w:eastAsia="仿宋_GB2312" w:cs="仿宋_GB2312"/>
                <w:color w:val="000000"/>
                <w:sz w:val="24"/>
                <w:lang w:val="en-US" w:eastAsia="zh-CN"/>
              </w:rPr>
              <w:t>8万</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341FF8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72E52F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EBA174F">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30B7E49E">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D7B6DE0">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31945E">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4CF414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rPr>
            </w:pPr>
          </w:p>
        </w:tc>
      </w:tr>
      <w:tr w14:paraId="615E7F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017FB50">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54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415760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14:paraId="6844201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02C222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981C24B">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通过项目实施，确保镇党委、政府为村、居民群众办实事、做好事、解难事等需要支出，保障道路交通安全、街道整洁，</w:t>
            </w:r>
            <w:r>
              <w:rPr>
                <w:rFonts w:hint="eastAsia" w:ascii="仿宋_GB2312" w:hAnsi="仿宋_GB2312" w:eastAsia="仿宋_GB2312" w:cs="仿宋_GB2312"/>
                <w:color w:val="000000"/>
                <w:sz w:val="24"/>
                <w:lang w:eastAsia="zh-CN"/>
              </w:rPr>
              <w:t>降低贫困人口发生率，提高公共事业利用率，</w:t>
            </w:r>
            <w:r>
              <w:rPr>
                <w:rFonts w:hint="eastAsia" w:ascii="仿宋_GB2312" w:hAnsi="仿宋_GB2312" w:eastAsia="仿宋_GB2312" w:cs="仿宋_GB2312"/>
                <w:color w:val="000000"/>
                <w:sz w:val="24"/>
              </w:rPr>
              <w:t>确保资金使用效益。</w:t>
            </w:r>
          </w:p>
          <w:p w14:paraId="11518E69">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A2B85D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660DBC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700" w:type="dxa"/>
            <w:gridSpan w:val="3"/>
            <w:vMerge w:val="restart"/>
            <w:tcBorders>
              <w:top w:val="single" w:color="000000" w:sz="4" w:space="0"/>
              <w:left w:val="single" w:color="000000" w:sz="4" w:space="0"/>
              <w:right w:val="single" w:color="000000" w:sz="4" w:space="0"/>
            </w:tcBorders>
            <w:vAlign w:val="center"/>
          </w:tcPr>
          <w:p w14:paraId="3E11CFCC">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290" w:type="dxa"/>
            <w:gridSpan w:val="2"/>
            <w:vMerge w:val="restart"/>
            <w:tcBorders>
              <w:top w:val="single" w:color="000000" w:sz="4" w:space="0"/>
              <w:left w:val="single" w:color="000000" w:sz="4" w:space="0"/>
              <w:right w:val="single" w:color="000000" w:sz="4" w:space="0"/>
            </w:tcBorders>
            <w:vAlign w:val="center"/>
          </w:tcPr>
          <w:p w14:paraId="68F1A8F4">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C859A8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B3FFE4C">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通过项目实施，为全镇人均收入增加2000元以上</w:t>
            </w:r>
          </w:p>
          <w:p w14:paraId="472BEF4C">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BED6553">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95%</w:t>
            </w:r>
          </w:p>
        </w:tc>
      </w:tr>
      <w:tr w14:paraId="4BA5F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02637C6">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015519">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2AEE05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7895B5A">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通过项目实施，促进全镇各项事业的建设，全面开展美丽乡村建设，切实改善农村人居环境。</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80778C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100%</w:t>
            </w:r>
          </w:p>
        </w:tc>
      </w:tr>
      <w:tr w14:paraId="2562BF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B2BABBC">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7DD922">
            <w:pPr>
              <w:keepNext w:val="0"/>
              <w:keepLines w:val="0"/>
              <w:widowControl/>
              <w:suppressLineNumbers w:val="0"/>
              <w:spacing w:before="0" w:beforeAutospacing="0" w:after="0" w:afterAutospacing="0"/>
              <w:ind w:left="0" w:right="0"/>
              <w:jc w:val="left"/>
              <w:rPr>
                <w:rFonts w:hint="default"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636997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465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BD230E1">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通过项目实施，力争让全镇村居民对项目实施的满意度过到90%以上。</w:t>
            </w:r>
          </w:p>
        </w:tc>
        <w:tc>
          <w:tcPr>
            <w:tcW w:w="73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BA4228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95%</w:t>
            </w:r>
          </w:p>
        </w:tc>
      </w:tr>
      <w:tr w14:paraId="30FFD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1CFD3F2">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355CB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95.5</w:t>
            </w:r>
          </w:p>
        </w:tc>
      </w:tr>
      <w:tr w14:paraId="5F9FC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0B58B3D">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60564A2">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优秀</w:t>
            </w:r>
          </w:p>
        </w:tc>
      </w:tr>
      <w:tr w14:paraId="6EDA4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6596F7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14:paraId="3551AC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08D6F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41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06283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162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B271C9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3E6DDF">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14:paraId="14E00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F39A5E4">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周庆星</w:t>
            </w:r>
          </w:p>
        </w:tc>
        <w:tc>
          <w:tcPr>
            <w:tcW w:w="341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F71CB20">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财政所所长</w:t>
            </w:r>
          </w:p>
        </w:tc>
        <w:tc>
          <w:tcPr>
            <w:tcW w:w="162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591D42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月田镇财政所</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BA70654">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635F1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EA5AAF">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乔细华</w:t>
            </w:r>
          </w:p>
        </w:tc>
        <w:tc>
          <w:tcPr>
            <w:tcW w:w="341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0F05DE3">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财政所副所长</w:t>
            </w:r>
          </w:p>
        </w:tc>
        <w:tc>
          <w:tcPr>
            <w:tcW w:w="162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09E6D8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月田镇财政所</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0905810">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28DDB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C43CDA5">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341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61D5819">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62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6EBDF9E">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3F102B">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57A34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6B9AEC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341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2A6FD78">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162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7F68DC">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2E14D6A">
            <w:pPr>
              <w:keepNext w:val="0"/>
              <w:keepLines w:val="0"/>
              <w:suppressLineNumbers w:val="0"/>
              <w:autoSpaceDN w:val="0"/>
              <w:spacing w:before="0" w:beforeAutospacing="0" w:after="0" w:afterAutospacing="0" w:line="320" w:lineRule="exact"/>
              <w:ind w:left="0" w:right="0"/>
              <w:jc w:val="center"/>
              <w:textAlignment w:val="center"/>
              <w:rPr>
                <w:rFonts w:hint="default" w:ascii="仿宋_GB2312" w:hAnsi="仿宋_GB2312" w:eastAsia="仿宋_GB2312" w:cs="仿宋_GB2312"/>
                <w:color w:val="000000"/>
                <w:sz w:val="24"/>
              </w:rPr>
            </w:pPr>
          </w:p>
        </w:tc>
      </w:tr>
      <w:tr w14:paraId="673D3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BAF361B">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14:paraId="6122C2AF">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7E0AC583">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4B74D880">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346CB4EC">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17759879">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7EC12A85">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43338A61">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14:paraId="4FED0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54C5622">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14:paraId="038A6FC3">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39572224">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6F11193A">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p>
          <w:p w14:paraId="3ADE8F73">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14:paraId="43293079">
            <w:pPr>
              <w:keepNext w:val="0"/>
              <w:keepLines w:val="0"/>
              <w:suppressLineNumbers w:val="0"/>
              <w:autoSpaceDN w:val="0"/>
              <w:spacing w:before="0" w:beforeAutospacing="0" w:after="0" w:afterAutospacing="0" w:line="320" w:lineRule="exact"/>
              <w:ind w:left="0" w:right="0"/>
              <w:jc w:val="left"/>
              <w:textAlignment w:val="center"/>
              <w:rPr>
                <w:rFonts w:hint="default"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bl>
    <w:p w14:paraId="370EB126">
      <w:pPr>
        <w:rPr>
          <w:rFonts w:hint="default" w:eastAsia="仿宋_GB2312" w:cs="仿宋_GB2312"/>
          <w:bCs/>
          <w:sz w:val="28"/>
          <w:szCs w:val="28"/>
          <w:lang w:val="en-US"/>
        </w:rPr>
      </w:pPr>
      <w:r>
        <w:rPr>
          <w:rFonts w:hint="eastAsia" w:eastAsia="仿宋_GB2312" w:cs="仿宋_GB2312"/>
          <w:bCs/>
          <w:sz w:val="28"/>
          <w:szCs w:val="28"/>
        </w:rPr>
        <w:t>填报人（签名）：</w:t>
      </w:r>
      <w:r>
        <w:rPr>
          <w:rFonts w:hint="eastAsia" w:eastAsia="仿宋_GB2312" w:cs="仿宋_GB2312"/>
          <w:bCs/>
          <w:sz w:val="28"/>
          <w:szCs w:val="28"/>
          <w:lang w:eastAsia="zh-CN"/>
        </w:rPr>
        <w:t>乔细华</w:t>
      </w:r>
      <w:r>
        <w:rPr>
          <w:rFonts w:hint="eastAsia" w:eastAsia="仿宋_GB2312" w:cs="仿宋_GB2312"/>
          <w:bCs/>
          <w:sz w:val="28"/>
          <w:szCs w:val="28"/>
          <w:lang w:val="en-US" w:eastAsia="zh-CN"/>
        </w:rPr>
        <w:t xml:space="preserve">                   </w:t>
      </w:r>
      <w:r>
        <w:rPr>
          <w:rFonts w:hint="eastAsia" w:eastAsia="仿宋_GB2312" w:cs="仿宋_GB2312"/>
          <w:bCs/>
          <w:sz w:val="28"/>
          <w:szCs w:val="28"/>
        </w:rPr>
        <w:t>联系电话：</w:t>
      </w:r>
      <w:r>
        <w:rPr>
          <w:rFonts w:hint="eastAsia" w:ascii="仿宋_GB2312" w:hAnsi="仿宋_GB2312" w:eastAsia="仿宋_GB2312" w:cs="仿宋_GB2312"/>
          <w:color w:val="000000"/>
          <w:sz w:val="24"/>
          <w:lang w:val="en-US" w:eastAsia="zh-CN"/>
        </w:rPr>
        <w:t>15274078750</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14:paraId="3F972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14:paraId="7E43BB80">
            <w:pPr>
              <w:keepNext w:val="0"/>
              <w:keepLines w:val="0"/>
              <w:suppressLineNumbers w:val="0"/>
              <w:spacing w:before="0" w:beforeAutospacing="0" w:after="0" w:afterAutospacing="0"/>
              <w:ind w:left="0" w:right="0"/>
              <w:jc w:val="center"/>
              <w:rPr>
                <w:rFonts w:hint="default" w:ascii="黑体" w:hAnsi="黑体" w:eastAsia="黑体" w:cs="黑体"/>
                <w:bCs/>
                <w:sz w:val="28"/>
                <w:szCs w:val="28"/>
              </w:rPr>
            </w:pPr>
            <w:r>
              <w:rPr>
                <w:rFonts w:hint="eastAsia" w:ascii="黑体" w:hAnsi="黑体" w:eastAsia="黑体" w:cs="黑体"/>
                <w:bCs/>
                <w:sz w:val="28"/>
                <w:szCs w:val="28"/>
              </w:rPr>
              <w:t>五、评价报告综述（文字部分）</w:t>
            </w:r>
          </w:p>
          <w:p w14:paraId="07A5FC0A">
            <w:pPr>
              <w:keepNext w:val="0"/>
              <w:keepLines w:val="0"/>
              <w:suppressLineNumbers w:val="0"/>
              <w:spacing w:before="0" w:beforeAutospacing="0" w:after="0" w:afterAutospacing="0" w:line="440" w:lineRule="exact"/>
              <w:ind w:left="0" w:right="0" w:firstLine="640" w:firstLineChars="200"/>
              <w:rPr>
                <w:rFonts w:hint="default" w:eastAsia="仿宋_GB2312"/>
                <w:sz w:val="32"/>
                <w:szCs w:val="32"/>
                <w:lang w:val="en-US" w:eastAsia="zh-CN"/>
              </w:rPr>
            </w:pPr>
            <w:r>
              <w:rPr>
                <w:rFonts w:hint="eastAsia" w:eastAsia="仿宋_GB2312"/>
                <w:sz w:val="32"/>
                <w:szCs w:val="32"/>
                <w:lang w:val="en-US" w:eastAsia="zh-CN"/>
              </w:rPr>
              <w:t>一、部门概况</w:t>
            </w:r>
          </w:p>
          <w:p w14:paraId="46EE683D">
            <w:pPr>
              <w:keepNext w:val="0"/>
              <w:keepLines w:val="0"/>
              <w:widowControl/>
              <w:suppressLineNumbers w:val="0"/>
              <w:shd w:val="clear" w:fill="FFFFFF"/>
              <w:spacing w:before="150" w:beforeAutospacing="0" w:after="150" w:afterAutospacing="0" w:line="560" w:lineRule="atLeast"/>
              <w:ind w:left="0" w:right="0" w:firstLine="480"/>
              <w:jc w:val="left"/>
              <w:rPr>
                <w:rFonts w:hint="eastAsia" w:ascii="仿宋_GB2312" w:hAnsi="宋体" w:eastAsia="仿宋_GB2312" w:cs="宋体"/>
                <w:color w:val="333333"/>
                <w:kern w:val="0"/>
                <w:sz w:val="32"/>
                <w:szCs w:val="32"/>
                <w:shd w:val="clear" w:fill="FFFFFF"/>
                <w:lang w:val="en-US" w:eastAsia="zh-CN" w:bidi="ar"/>
              </w:rPr>
            </w:pPr>
            <w:r>
              <w:rPr>
                <w:rFonts w:hint="eastAsia" w:ascii="仿宋_GB2312" w:hAnsi="宋体" w:eastAsia="仿宋_GB2312" w:cs="宋体"/>
                <w:color w:val="333333"/>
                <w:kern w:val="0"/>
                <w:sz w:val="32"/>
                <w:szCs w:val="32"/>
                <w:shd w:val="clear" w:fill="FFFFFF"/>
                <w:lang w:val="en-US" w:eastAsia="zh-CN" w:bidi="ar"/>
              </w:rPr>
              <w:t>（一）部门基本情况 ：</w:t>
            </w:r>
          </w:p>
          <w:p w14:paraId="39221273">
            <w:pPr>
              <w:keepNext w:val="0"/>
              <w:keepLines w:val="0"/>
              <w:widowControl/>
              <w:suppressLineNumbers w:val="0"/>
              <w:shd w:val="clear" w:fill="FFFFFF"/>
              <w:spacing w:before="150" w:beforeAutospacing="0" w:after="150" w:afterAutospacing="0" w:line="560" w:lineRule="atLeast"/>
              <w:ind w:left="0" w:right="0" w:firstLine="1049" w:firstLineChars="328"/>
              <w:jc w:val="left"/>
              <w:rPr>
                <w:rFonts w:hint="eastAsia" w:ascii="仿宋_GB2312" w:hAnsi="宋体" w:eastAsia="仿宋_GB2312" w:cs="宋体"/>
                <w:color w:val="333333"/>
                <w:kern w:val="0"/>
                <w:sz w:val="32"/>
                <w:szCs w:val="32"/>
                <w:shd w:val="clear" w:fill="FFFFFF"/>
                <w:lang w:val="en-US" w:eastAsia="zh-CN" w:bidi="ar"/>
              </w:rPr>
            </w:pPr>
            <w:r>
              <w:rPr>
                <w:rFonts w:hint="eastAsia" w:ascii="仿宋_GB2312" w:hAnsi="宋体" w:eastAsia="仿宋_GB2312" w:cs="宋体"/>
                <w:color w:val="333333"/>
                <w:kern w:val="0"/>
                <w:sz w:val="32"/>
                <w:szCs w:val="32"/>
                <w:shd w:val="clear" w:fill="FFFFFF"/>
                <w:lang w:val="en-US" w:eastAsia="zh-CN" w:bidi="ar"/>
              </w:rPr>
              <w:t>我单位包含政府机关及5个二级机构。全部为财政全额拨款单位，执行行政单位会计制度，在职干部86人、退休56人。由政府机关、卫生和计划生育服务办、公共文化和社会事业发展中心、劳动就业和社会保障服务中心、农技推广服务中心、水务工作站构成。 </w:t>
            </w:r>
          </w:p>
          <w:p w14:paraId="452B05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 w:hAnsi="仿宋" w:eastAsia="仿宋" w:cs="仿宋"/>
                <w:sz w:val="32"/>
                <w:szCs w:val="32"/>
                <w:lang w:val="en-US" w:eastAsia="zh-CN"/>
              </w:rPr>
            </w:pPr>
          </w:p>
          <w:p w14:paraId="47E36793">
            <w:pPr>
              <w:keepNext w:val="0"/>
              <w:keepLines w:val="0"/>
              <w:numPr>
                <w:ilvl w:val="0"/>
                <w:numId w:val="1"/>
              </w:numPr>
              <w:suppressLineNumbers w:val="0"/>
              <w:spacing w:before="0" w:beforeAutospacing="0" w:after="0" w:afterAutospacing="0" w:line="560" w:lineRule="exact"/>
              <w:ind w:left="0" w:right="0" w:firstLine="560" w:firstLineChars="200"/>
              <w:rPr>
                <w:rFonts w:hint="eastAsia" w:ascii="黑体" w:hAnsi="黑体" w:eastAsia="黑体" w:cs="黑体"/>
                <w:bCs/>
                <w:sz w:val="28"/>
                <w:szCs w:val="28"/>
              </w:rPr>
            </w:pPr>
            <w:r>
              <w:rPr>
                <w:rFonts w:hint="eastAsia" w:ascii="黑体" w:hAnsi="黑体" w:eastAsia="黑体" w:cs="黑体"/>
                <w:bCs/>
                <w:sz w:val="28"/>
                <w:szCs w:val="28"/>
              </w:rPr>
              <w:t>部门（单位）整体支出管理及使用情况</w:t>
            </w:r>
          </w:p>
          <w:p w14:paraId="37B375B9">
            <w:pPr>
              <w:keepNext w:val="0"/>
              <w:keepLines w:val="0"/>
              <w:numPr>
                <w:ilvl w:val="0"/>
                <w:numId w:val="2"/>
              </w:numPr>
              <w:suppressLineNumbers w:val="0"/>
              <w:spacing w:before="0" w:beforeAutospacing="0" w:after="0" w:afterAutospacing="0" w:line="560" w:lineRule="exact"/>
              <w:ind w:left="1120" w:leftChars="0" w:right="0" w:firstLine="0" w:firstLineChars="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rPr>
              <w:t>基本支出</w:t>
            </w:r>
            <w:r>
              <w:rPr>
                <w:rFonts w:hint="eastAsia" w:ascii="仿宋_GB2312" w:hAnsi="仿宋_GB2312" w:eastAsia="仿宋_GB2312" w:cs="仿宋_GB2312"/>
                <w:bCs/>
                <w:sz w:val="28"/>
                <w:szCs w:val="28"/>
                <w:lang w:val="en-US" w:eastAsia="zh-CN"/>
              </w:rPr>
              <w:t xml:space="preserve">  </w:t>
            </w:r>
          </w:p>
          <w:p w14:paraId="6715BFC9">
            <w:pPr>
              <w:keepNext w:val="0"/>
              <w:keepLines w:val="0"/>
              <w:widowControl/>
              <w:suppressLineNumbers w:val="0"/>
              <w:shd w:val="clear" w:fill="FFFFFF"/>
              <w:spacing w:before="150" w:beforeAutospacing="0" w:after="150" w:afterAutospacing="0" w:line="560" w:lineRule="atLeast"/>
              <w:ind w:left="0" w:right="0" w:firstLine="480"/>
              <w:jc w:val="left"/>
              <w:rPr>
                <w:rFonts w:hint="eastAsia" w:ascii="仿宋_GB2312" w:hAnsi="宋体" w:eastAsia="仿宋_GB2312" w:cs="宋体"/>
                <w:color w:val="333333"/>
                <w:kern w:val="0"/>
                <w:sz w:val="32"/>
                <w:szCs w:val="32"/>
                <w:shd w:val="clear" w:fill="FFFFFF"/>
                <w:lang w:val="en-US" w:eastAsia="zh-CN" w:bidi="ar"/>
              </w:rPr>
            </w:pPr>
            <w:r>
              <w:rPr>
                <w:rFonts w:hint="eastAsia" w:ascii="仿宋_GB2312" w:hAnsi="宋体" w:eastAsia="仿宋_GB2312" w:cs="宋体"/>
                <w:color w:val="333333"/>
                <w:kern w:val="0"/>
                <w:sz w:val="32"/>
                <w:szCs w:val="32"/>
                <w:shd w:val="clear" w:fill="FFFFFF"/>
                <w:lang w:val="en-US" w:eastAsia="zh-CN" w:bidi="ar"/>
              </w:rPr>
              <w:t>月田镇人民政府2023年度基本支出决算情况： 2023年镇财政基本支出总计9386.3万元较上年决算增加831.3万元。增长原因是财政补助增加。</w:t>
            </w:r>
          </w:p>
          <w:p w14:paraId="3570FD58">
            <w:pPr>
              <w:keepNext w:val="0"/>
              <w:keepLines w:val="0"/>
              <w:widowControl/>
              <w:suppressLineNumbers w:val="0"/>
              <w:shd w:val="clear" w:fill="FFFFFF"/>
              <w:spacing w:before="150" w:beforeAutospacing="0" w:after="150" w:afterAutospacing="0" w:line="560" w:lineRule="atLeast"/>
              <w:ind w:left="0" w:right="0" w:firstLine="480"/>
              <w:jc w:val="left"/>
              <w:rPr>
                <w:rFonts w:hint="default" w:ascii="仿宋_GB2312" w:hAnsi="宋体" w:eastAsia="仿宋_GB2312" w:cs="宋体"/>
                <w:color w:val="333333"/>
                <w:kern w:val="0"/>
                <w:sz w:val="32"/>
                <w:szCs w:val="32"/>
                <w:shd w:val="clear" w:fill="FFFFFF"/>
                <w:lang w:val="en-US" w:eastAsia="zh-CN" w:bidi="ar"/>
              </w:rPr>
            </w:pPr>
            <w:r>
              <w:rPr>
                <w:rFonts w:hint="eastAsia" w:ascii="仿宋_GB2312" w:hAnsi="宋体" w:eastAsia="仿宋_GB2312" w:cs="宋体"/>
                <w:color w:val="333333"/>
                <w:kern w:val="0"/>
                <w:sz w:val="32"/>
                <w:szCs w:val="32"/>
                <w:shd w:val="clear" w:fill="FFFFFF"/>
                <w:lang w:val="en-US" w:eastAsia="zh-CN" w:bidi="ar"/>
              </w:rPr>
              <w:t>2023年全年财政基本支出8525.2</w:t>
            </w:r>
            <w:bookmarkStart w:id="0" w:name="_GoBack"/>
            <w:bookmarkEnd w:id="0"/>
            <w:r>
              <w:rPr>
                <w:rFonts w:hint="eastAsia" w:ascii="仿宋_GB2312" w:hAnsi="宋体" w:eastAsia="仿宋_GB2312" w:cs="宋体"/>
                <w:color w:val="333333"/>
                <w:kern w:val="0"/>
                <w:sz w:val="32"/>
                <w:szCs w:val="32"/>
                <w:shd w:val="clear" w:fill="FFFFFF"/>
                <w:lang w:val="en-US" w:eastAsia="zh-CN" w:bidi="ar"/>
              </w:rPr>
              <w:t>万元；其中：一般公共服务支出2098.5万元，社会保障和就业支出支出134.1万元，农林水支出1176.7万元，其他支出4942.6万元.</w:t>
            </w:r>
          </w:p>
          <w:p w14:paraId="261EA24D">
            <w:pPr>
              <w:keepNext w:val="0"/>
              <w:keepLines w:val="0"/>
              <w:widowControl/>
              <w:suppressLineNumbers w:val="0"/>
              <w:shd w:val="clear" w:fill="FFFFFF"/>
              <w:spacing w:before="150" w:beforeAutospacing="0" w:after="150" w:afterAutospacing="0" w:line="560" w:lineRule="atLeast"/>
              <w:ind w:left="0" w:right="0" w:firstLine="480"/>
              <w:jc w:val="left"/>
              <w:rPr>
                <w:rFonts w:hint="eastAsia" w:ascii="仿宋_GB2312" w:hAnsi="宋体" w:eastAsia="仿宋_GB2312" w:cs="宋体"/>
                <w:color w:val="333333"/>
                <w:kern w:val="0"/>
                <w:sz w:val="32"/>
                <w:szCs w:val="32"/>
                <w:shd w:val="clear" w:fill="FFFFFF"/>
                <w:lang w:val="en-US" w:eastAsia="zh-CN" w:bidi="ar"/>
              </w:rPr>
            </w:pPr>
            <w:r>
              <w:rPr>
                <w:rFonts w:hint="eastAsia" w:ascii="仿宋_GB2312" w:hAnsi="宋体" w:eastAsia="仿宋_GB2312" w:cs="宋体"/>
                <w:color w:val="333333"/>
                <w:kern w:val="0"/>
                <w:sz w:val="32"/>
                <w:szCs w:val="32"/>
                <w:shd w:val="clear" w:fill="FFFFFF"/>
                <w:lang w:val="en-US" w:eastAsia="zh-CN" w:bidi="ar"/>
              </w:rPr>
              <w:t>月田镇人民政府2023年度一般公共预算财政拨款“三公”经费支出，2023年因公出国(境)费0元，公务用车购置及维护费0元，公务接待费3.3万元，因为镇政府严控非生产性开支，来客严格按公务消费制度执行，与年初预算持平。</w:t>
            </w:r>
          </w:p>
          <w:p w14:paraId="6985B114">
            <w:pPr>
              <w:keepNext w:val="0"/>
              <w:keepLines w:val="0"/>
              <w:numPr>
                <w:ilvl w:val="0"/>
                <w:numId w:val="1"/>
              </w:numPr>
              <w:suppressLineNumbers w:val="0"/>
              <w:spacing w:before="0" w:beforeAutospacing="0" w:after="0" w:afterAutospacing="0" w:line="560" w:lineRule="exact"/>
              <w:ind w:left="0" w:leftChars="0" w:right="0" w:firstLine="560" w:firstLineChars="200"/>
              <w:rPr>
                <w:rFonts w:hint="eastAsia" w:ascii="黑体" w:hAnsi="黑体" w:eastAsia="黑体" w:cs="黑体"/>
                <w:bCs/>
                <w:sz w:val="28"/>
                <w:szCs w:val="28"/>
              </w:rPr>
            </w:pPr>
            <w:r>
              <w:rPr>
                <w:rFonts w:hint="eastAsia" w:ascii="黑体" w:hAnsi="黑体" w:eastAsia="黑体" w:cs="黑体"/>
                <w:bCs/>
                <w:sz w:val="28"/>
                <w:szCs w:val="28"/>
              </w:rPr>
              <w:t>部门（单位）整体支出绩效情况</w:t>
            </w:r>
          </w:p>
          <w:p w14:paraId="3EE61476">
            <w:pPr>
              <w:keepNext w:val="0"/>
              <w:keepLines w:val="0"/>
              <w:suppressLineNumbers w:val="0"/>
              <w:spacing w:before="0" w:beforeAutospacing="0" w:after="0" w:afterAutospacing="0"/>
              <w:ind w:left="0" w:right="0" w:firstLine="960" w:firstLineChars="300"/>
              <w:rPr>
                <w:rFonts w:hint="eastAsia" w:ascii="黑体" w:hAnsi="黑体" w:eastAsia="黑体" w:cs="黑体"/>
                <w:sz w:val="32"/>
                <w:szCs w:val="32"/>
              </w:rPr>
            </w:pPr>
            <w:r>
              <w:rPr>
                <w:rFonts w:hint="eastAsia" w:ascii="黑体" w:hAnsi="黑体" w:eastAsia="黑体" w:cs="黑体"/>
                <w:sz w:val="32"/>
                <w:szCs w:val="32"/>
                <w:lang w:val="en-US" w:eastAsia="zh-CN"/>
              </w:rPr>
              <w:t>2023年主要完成以下工作</w:t>
            </w:r>
          </w:p>
          <w:p w14:paraId="6D55147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left="0" w:right="0" w:firstLine="640" w:firstLineChars="200"/>
              <w:textAlignment w:val="auto"/>
              <w:rPr>
                <w:rStyle w:val="5"/>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auto"/>
                <w:spacing w:val="0"/>
                <w:kern w:val="2"/>
                <w:sz w:val="32"/>
                <w:szCs w:val="32"/>
                <w:shd w:val="clear" w:color="auto" w:fill="FFFFFF"/>
                <w:lang w:val="en-US" w:eastAsia="zh-CN" w:bidi="ar-SA"/>
              </w:rPr>
              <w:t>（一）</w:t>
            </w:r>
            <w:r>
              <w:rPr>
                <w:rFonts w:hint="eastAsia" w:ascii="楷体_GB2312" w:hAnsi="楷体_GB2312" w:eastAsia="楷体_GB2312" w:cs="楷体_GB2312"/>
                <w:b/>
                <w:bCs/>
                <w:color w:val="auto"/>
                <w:sz w:val="32"/>
                <w:szCs w:val="32"/>
                <w:lang w:val="en-US" w:eastAsia="zh-CN"/>
              </w:rPr>
              <w:t>抓关键、守底线，乡村振兴持续推进。</w:t>
            </w:r>
            <w:r>
              <w:rPr>
                <w:rFonts w:hint="eastAsia" w:ascii="仿宋_GB2312" w:hAnsi="仿宋_GB2312" w:eastAsia="仿宋_GB2312" w:cs="仿宋_GB2312"/>
                <w:color w:val="000000"/>
                <w:sz w:val="32"/>
                <w:szCs w:val="32"/>
              </w:rPr>
              <w:t>围绕建设铁山库区绿色生态农业示范区，突出抓好茶叶和竹笋产业，由村集体流转集中土地建基地，壮大集体经济。</w:t>
            </w:r>
            <w:r>
              <w:rPr>
                <w:rFonts w:hint="eastAsia" w:ascii="仿宋_GB2312" w:hAnsi="仿宋_GB2312" w:eastAsia="仿宋_GB2312" w:cs="仿宋_GB2312"/>
                <w:color w:val="000000"/>
                <w:sz w:val="32"/>
                <w:szCs w:val="32"/>
                <w:lang w:val="en-US" w:eastAsia="zh-CN"/>
              </w:rPr>
              <w:t>今年</w:t>
            </w:r>
            <w:r>
              <w:rPr>
                <w:rFonts w:hint="eastAsia" w:ascii="仿宋_GB2312" w:hAnsi="仿宋_GB2312" w:eastAsia="仿宋_GB2312" w:cs="仿宋_GB2312"/>
                <w:color w:val="000000"/>
                <w:sz w:val="32"/>
                <w:szCs w:val="32"/>
              </w:rPr>
              <w:t>新建茶叶基地350亩</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三年全镇实现新建茶叶基地700多亩</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lang w:val="en-US" w:eastAsia="zh-CN"/>
              </w:rPr>
              <w:t>严格落实“四个不摘”要求，健全防止返贫动态监测帮扶机制，对全镇农户开展入户核查，新增监测户2户8人，消除监测对象风险3户10人，切实防止返贫致贫。</w:t>
            </w:r>
            <w:r>
              <w:rPr>
                <w:rStyle w:val="5"/>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按照“负责干部包村、联村干部包片、村干部包丘块”的原则，压实责任链条，全面完成县下达我镇早稻生产任务。采取责任到人、挂图作战的形式，细化耕地恢复任务，明确完成整改时限和标准，压实工作责任，已完成耕地恢复400余亩。</w:t>
            </w:r>
          </w:p>
          <w:p w14:paraId="55C8E54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left="0" w:right="0" w:firstLine="643" w:firstLineChars="200"/>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（二）优环境、美生态，城乡面貌焕然一新。</w:t>
            </w:r>
            <w:r>
              <w:rPr>
                <w:rFonts w:hint="eastAsia" w:ascii="仿宋_GB2312" w:hAnsi="仿宋_GB2312" w:eastAsia="仿宋_GB2312" w:cs="仿宋_GB2312"/>
                <w:color w:val="auto"/>
                <w:sz w:val="32"/>
                <w:szCs w:val="32"/>
                <w:lang w:val="en-US" w:eastAsia="zh-CN"/>
              </w:rPr>
              <w:t>牢固树立“绿水青山就是金山银山”的理念，全力打造“生态宜居美丽月田”。持续推进人居环境整治提升行动，深入开展村庄治污治乱工作，完成农村户厕改建、新建415座，任务数415座，完成率</w:t>
            </w:r>
            <w:r>
              <w:rPr>
                <w:rFonts w:hint="default"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lang w:val="en-US" w:eastAsia="zh-CN"/>
              </w:rPr>
              <w:t>。深入推进环境污染防治，积极开展饮用水水源地保护，持续深入打好蓝天、碧水、净土保卫战。积极推进机制砂石整治，规范建设居全县前列。持续推进“河长制”，严格落实“林长制”，巡林覆盖率达到100%。深入推进森林防灭火、秸秆禁烧等工作。</w:t>
            </w:r>
          </w:p>
          <w:p w14:paraId="72D900A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left="0" w:right="0" w:firstLine="643" w:firstLineChars="200"/>
              <w:textAlignment w:val="baseline"/>
              <w:rPr>
                <w:rFonts w:hint="default" w:ascii="仿宋_GB2312" w:hAnsi="仿宋_GB2312" w:eastAsia="仿宋_GB2312" w:cs="仿宋_GB2312"/>
                <w:color w:val="000000"/>
                <w:sz w:val="32"/>
                <w:szCs w:val="32"/>
                <w:lang w:val="en-US" w:eastAsia="zh-CN"/>
              </w:rPr>
            </w:pPr>
            <w:r>
              <w:rPr>
                <w:rFonts w:hint="eastAsia" w:ascii="楷体_GB2312" w:hAnsi="楷体_GB2312" w:eastAsia="楷体_GB2312" w:cs="楷体_GB2312"/>
                <w:b/>
                <w:bCs/>
                <w:color w:val="auto"/>
                <w:sz w:val="32"/>
                <w:szCs w:val="32"/>
                <w:lang w:val="en-US" w:eastAsia="zh-CN"/>
              </w:rPr>
              <w:t>（三）强保障、惠民生，群众生活更加殷实。</w:t>
            </w:r>
            <w:r>
              <w:rPr>
                <w:rFonts w:hint="eastAsia" w:ascii="仿宋_GB2312" w:hAnsi="仿宋_GB2312" w:eastAsia="仿宋_GB2312" w:cs="仿宋_GB2312"/>
                <w:color w:val="auto"/>
                <w:sz w:val="32"/>
                <w:szCs w:val="32"/>
                <w:lang w:val="en-US" w:eastAsia="zh-CN"/>
              </w:rPr>
              <w:t>目前我镇已修建防火隔离带15.5公里、防火道1公里和森林消防蓄水池400立方米。完成了金尤水库除险、月田污水处理厂提质改造、新墙河三期月田段等一批民生项目，群众生活得到改善。加大弱势群体的最低生活保障和社会救助力度，新纳入低保99人，高龄补贴117人。办理群众医疗救助34人，发放医疗救助资金58万余元。教育卫生事业全面发展，</w:t>
            </w:r>
            <w:r>
              <w:rPr>
                <w:rFonts w:hint="eastAsia" w:ascii="仿宋_GB2312" w:hAnsi="仿宋_GB2312" w:eastAsia="仿宋_GB2312" w:cs="仿宋_GB2312"/>
                <w:color w:val="000000"/>
                <w:sz w:val="32"/>
                <w:szCs w:val="32"/>
                <w:lang w:val="en-US" w:eastAsia="zh-CN"/>
              </w:rPr>
              <w:t>如期成立岳阳县教育基金会月田镇分会，筹款1100多万元。在全镇范围内形成了重教、支教、助教、兴教的热潮。新建学生公寓一栋，对学校用电设施全面升级改造，解决了用电安全隐患。</w:t>
            </w:r>
          </w:p>
          <w:p w14:paraId="21B9E8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6" w:lineRule="exact"/>
              <w:ind w:left="0" w:right="0" w:firstLine="643" w:firstLineChars="200"/>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（四）抓治理，保安全，治理能力不断提升。</w:t>
            </w:r>
            <w:r>
              <w:rPr>
                <w:rFonts w:hint="eastAsia" w:ascii="仿宋_GB2312" w:hAnsi="仿宋_GB2312" w:eastAsia="仿宋_GB2312" w:cs="仿宋_GB2312"/>
                <w:color w:val="auto"/>
                <w:sz w:val="32"/>
                <w:szCs w:val="32"/>
                <w:lang w:val="en-US" w:eastAsia="zh-CN"/>
              </w:rPr>
              <w:t>围绕创建“平安月田”这条主线，不断深化月田镇矛盾纠纷调节机制，群众的幸福感、安全感显著增强。采用“群英断是非”工作法</w:t>
            </w:r>
            <w:r>
              <w:rPr>
                <w:rFonts w:hint="eastAsia" w:ascii="仿宋_GB2312" w:hAnsi="仿宋_GB2312" w:eastAsia="仿宋_GB2312" w:cs="仿宋_GB2312"/>
                <w:b w:val="0"/>
                <w:bCs w:val="0"/>
                <w:color w:val="000000"/>
                <w:sz w:val="32"/>
                <w:szCs w:val="32"/>
                <w:lang w:eastAsia="zh-CN"/>
              </w:rPr>
              <w:t>，有效化解信访大难题，无进京、越级集体上访现象。</w:t>
            </w:r>
            <w:r>
              <w:rPr>
                <w:rFonts w:hint="eastAsia" w:ascii="仿宋_GB2312" w:hAnsi="仿宋_GB2312" w:eastAsia="仿宋_GB2312" w:cs="仿宋_GB2312"/>
                <w:sz w:val="32"/>
                <w:szCs w:val="32"/>
              </w:rPr>
              <w:t>今年共收到信访件</w:t>
            </w:r>
            <w:r>
              <w:rPr>
                <w:rFonts w:hint="eastAsia" w:ascii="仿宋_GB2312" w:hAnsi="仿宋_GB2312" w:cs="仿宋_GB2312"/>
                <w:sz w:val="32"/>
                <w:szCs w:val="32"/>
                <w:lang w:val="en-US" w:eastAsia="zh-CN"/>
              </w:rPr>
              <w:t>75</w:t>
            </w:r>
            <w:r>
              <w:rPr>
                <w:rFonts w:hint="eastAsia" w:ascii="仿宋_GB2312" w:hAnsi="仿宋_GB2312" w:eastAsia="仿宋_GB2312" w:cs="仿宋_GB2312"/>
                <w:sz w:val="32"/>
                <w:szCs w:val="32"/>
              </w:rPr>
              <w:t>件，接待</w:t>
            </w:r>
            <w:r>
              <w:rPr>
                <w:rFonts w:hint="eastAsia" w:ascii="仿宋_GB2312" w:hAnsi="仿宋_GB2312" w:cs="仿宋_GB2312"/>
                <w:sz w:val="32"/>
                <w:szCs w:val="32"/>
                <w:lang w:eastAsia="zh-CN"/>
              </w:rPr>
              <w:t>线下</w:t>
            </w:r>
            <w:r>
              <w:rPr>
                <w:rFonts w:hint="eastAsia" w:ascii="仿宋_GB2312" w:hAnsi="仿宋_GB2312" w:eastAsia="仿宋_GB2312" w:cs="仿宋_GB2312"/>
                <w:sz w:val="32"/>
                <w:szCs w:val="32"/>
              </w:rPr>
              <w:t>群众</w:t>
            </w:r>
            <w:r>
              <w:rPr>
                <w:rFonts w:hint="eastAsia" w:ascii="仿宋_GB2312" w:hAnsi="仿宋_GB2312" w:cs="仿宋_GB2312"/>
                <w:sz w:val="32"/>
                <w:szCs w:val="32"/>
                <w:lang w:val="en-US" w:eastAsia="zh-CN"/>
              </w:rPr>
              <w:t>97</w:t>
            </w:r>
            <w:r>
              <w:rPr>
                <w:rFonts w:hint="eastAsia" w:ascii="仿宋_GB2312" w:hAnsi="仿宋_GB2312" w:eastAsia="仿宋_GB2312" w:cs="仿宋_GB2312"/>
                <w:sz w:val="32"/>
                <w:szCs w:val="32"/>
              </w:rPr>
              <w:t>人次，妥善解决信访群众合理诉求，做到</w:t>
            </w:r>
            <w:r>
              <w:rPr>
                <w:rFonts w:hint="eastAsia" w:ascii="仿宋_GB2312" w:hAnsi="仿宋_GB2312" w:eastAsia="仿宋_GB2312" w:cs="仿宋_GB2312"/>
                <w:sz w:val="32"/>
                <w:szCs w:val="32"/>
                <w:lang w:eastAsia="zh-CN"/>
              </w:rPr>
              <w:t>参评</w:t>
            </w:r>
            <w:r>
              <w:rPr>
                <w:rFonts w:hint="eastAsia" w:ascii="仿宋_GB2312" w:hAnsi="仿宋_GB2312" w:eastAsia="仿宋_GB2312" w:cs="仿宋_GB2312"/>
                <w:sz w:val="32"/>
                <w:szCs w:val="32"/>
              </w:rPr>
              <w:t>率达100%、满意率100%。</w:t>
            </w:r>
            <w:r>
              <w:rPr>
                <w:rFonts w:hint="eastAsia" w:ascii="仿宋_GB2312" w:hAnsi="仿宋_GB2312" w:eastAsia="仿宋_GB2312" w:cs="仿宋_GB2312"/>
                <w:sz w:val="32"/>
                <w:szCs w:val="32"/>
                <w:lang w:val="en-US" w:eastAsia="zh-CN"/>
              </w:rPr>
              <w:t>始终</w:t>
            </w:r>
            <w:r>
              <w:rPr>
                <w:rFonts w:hint="eastAsia" w:ascii="仿宋_GB2312" w:hAnsi="仿宋_GB2312" w:eastAsia="仿宋_GB2312" w:cs="仿宋_GB2312"/>
                <w:color w:val="auto"/>
                <w:sz w:val="32"/>
                <w:szCs w:val="32"/>
                <w:lang w:val="en-US" w:eastAsia="zh-CN"/>
              </w:rPr>
              <w:t>坚持人民至上理念，扎实开展安全生产专项整治行动，针对加油站、液化气站、KTV、酒店等重点场所组织开展各类安全大排查12次，排查整改隐患40余处。大力开展防溺水系列宣传活动，发放防溺水宣传单页5000余份，组织防溺水宣传主题教育8次。</w:t>
            </w:r>
          </w:p>
          <w:p w14:paraId="4B4B0286">
            <w:pPr>
              <w:keepNext w:val="0"/>
              <w:keepLines w:val="0"/>
              <w:numPr>
                <w:ilvl w:val="0"/>
                <w:numId w:val="3"/>
              </w:numPr>
              <w:suppressLineNumbers w:val="0"/>
              <w:spacing w:before="0" w:beforeAutospacing="0" w:after="0" w:afterAutospacing="0"/>
              <w:ind w:left="0" w:right="0" w:firstLine="640"/>
              <w:rPr>
                <w:rFonts w:hint="eastAsia" w:ascii="黑体" w:hAnsi="黑体" w:eastAsia="黑体" w:cs="黑体"/>
                <w:sz w:val="32"/>
                <w:szCs w:val="32"/>
                <w:lang w:eastAsia="zh-CN"/>
              </w:rPr>
            </w:pPr>
            <w:r>
              <w:rPr>
                <w:rFonts w:hint="eastAsia" w:ascii="黑体" w:hAnsi="黑体" w:eastAsia="黑体" w:cs="黑体"/>
                <w:sz w:val="32"/>
                <w:szCs w:val="32"/>
                <w:lang w:eastAsia="zh-CN"/>
              </w:rPr>
              <w:t>存在的问题</w:t>
            </w:r>
          </w:p>
          <w:p w14:paraId="6114EA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1" w:firstLineChars="200"/>
              <w:textAlignment w:val="auto"/>
              <w:rPr>
                <w:rFonts w:hint="eastAsia" w:ascii="仿宋" w:hAnsi="仿宋" w:eastAsia="仿宋" w:cs="仿宋"/>
                <w:sz w:val="32"/>
                <w:szCs w:val="32"/>
                <w:lang w:val="en-US" w:eastAsia="zh-CN"/>
              </w:rPr>
            </w:pPr>
            <w:r>
              <w:rPr>
                <w:rFonts w:hint="eastAsia" w:ascii="华文楷体" w:hAnsi="华文楷体" w:eastAsia="华文楷体" w:cs="华文楷体"/>
                <w:b/>
                <w:bCs/>
                <w:sz w:val="32"/>
                <w:szCs w:val="32"/>
                <w:lang w:val="en-US" w:eastAsia="zh-CN"/>
              </w:rPr>
              <w:t>（一）医保征缴压力巨大。</w:t>
            </w:r>
            <w:r>
              <w:rPr>
                <w:rFonts w:hint="eastAsia" w:ascii="仿宋" w:hAnsi="仿宋" w:eastAsia="仿宋" w:cs="仿宋"/>
                <w:sz w:val="32"/>
                <w:szCs w:val="32"/>
                <w:lang w:val="en-US" w:eastAsia="zh-CN"/>
              </w:rPr>
              <w:t>上级要求100%完成医保参保任务，但医保费用逐年上涨，加之群众自觉缴纳的积极性低。为完成上级任务，政府在每年投入大量人力物力财力催缴之外，还需垫付一两百万医保费用。大量资金用于医保垫付，致使镇财力紧张，严重影响了民生项目的支出。</w:t>
            </w:r>
          </w:p>
          <w:p w14:paraId="3CB887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1" w:firstLineChars="200"/>
              <w:textAlignment w:val="auto"/>
              <w:rPr>
                <w:rFonts w:hint="eastAsia" w:ascii="仿宋" w:hAnsi="仿宋" w:eastAsia="仿宋" w:cs="仿宋"/>
                <w:sz w:val="32"/>
                <w:szCs w:val="32"/>
                <w:lang w:val="en-US" w:eastAsia="zh-CN"/>
              </w:rPr>
            </w:pPr>
            <w:r>
              <w:rPr>
                <w:rFonts w:hint="eastAsia" w:ascii="华文楷体" w:hAnsi="华文楷体" w:eastAsia="华文楷体" w:cs="华文楷体"/>
                <w:b/>
                <w:bCs/>
                <w:sz w:val="32"/>
                <w:szCs w:val="32"/>
                <w:lang w:val="en-US" w:eastAsia="zh-CN"/>
              </w:rPr>
              <w:t>（二）</w:t>
            </w:r>
            <w:r>
              <w:rPr>
                <w:rFonts w:hint="eastAsia" w:ascii="华文楷体" w:hAnsi="华文楷体" w:eastAsia="华文楷体" w:cs="华文楷体"/>
                <w:b/>
                <w:bCs/>
                <w:sz w:val="32"/>
                <w:szCs w:val="32"/>
                <w:lang w:eastAsia="zh-CN"/>
              </w:rPr>
              <w:t>民生</w:t>
            </w:r>
            <w:r>
              <w:rPr>
                <w:rFonts w:hint="eastAsia" w:ascii="华文楷体" w:hAnsi="华文楷体" w:eastAsia="华文楷体" w:cs="华文楷体"/>
                <w:b/>
                <w:bCs/>
                <w:sz w:val="32"/>
                <w:szCs w:val="32"/>
                <w:lang w:val="en-US" w:eastAsia="zh-CN"/>
              </w:rPr>
              <w:t>水保</w:t>
            </w:r>
            <w:r>
              <w:rPr>
                <w:rFonts w:hint="eastAsia" w:ascii="华文楷体" w:hAnsi="华文楷体" w:eastAsia="华文楷体" w:cs="华文楷体"/>
                <w:b/>
                <w:bCs/>
                <w:sz w:val="32"/>
                <w:szCs w:val="32"/>
                <w:lang w:eastAsia="zh-CN"/>
              </w:rPr>
              <w:t>矛盾突出。</w:t>
            </w:r>
            <w:r>
              <w:rPr>
                <w:rFonts w:hint="eastAsia" w:ascii="仿宋" w:hAnsi="仿宋" w:eastAsia="仿宋" w:cs="仿宋"/>
                <w:sz w:val="32"/>
                <w:szCs w:val="32"/>
                <w:lang w:eastAsia="zh-CN"/>
              </w:rPr>
              <w:t>因铁山水资源保护需要及“六控一治”要求，月田镇在产业发展、民生建房、项目建设方面受到极大制约，群众经济极为窘迫，政府财源枯竭，收入全靠上级保障，民生与水保矛盾尖锐，迫切需要实现水保与民生发展的双向奔赴。</w:t>
            </w:r>
          </w:p>
          <w:p w14:paraId="2FAD909F">
            <w:pPr>
              <w:keepNext w:val="0"/>
              <w:keepLines w:val="0"/>
              <w:widowControl/>
              <w:suppressLineNumbers w:val="0"/>
              <w:shd w:val="clear" w:fill="FFFFFF"/>
              <w:spacing w:before="150" w:beforeAutospacing="0" w:after="150" w:afterAutospacing="0" w:line="560" w:lineRule="atLeast"/>
              <w:ind w:left="0" w:right="0" w:firstLine="480"/>
              <w:jc w:val="left"/>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（三）安全稳定形势严峻。</w:t>
            </w:r>
            <w:r>
              <w:rPr>
                <w:rFonts w:hint="eastAsia" w:ascii="仿宋" w:hAnsi="仿宋" w:eastAsia="仿宋" w:cs="仿宋"/>
                <w:sz w:val="32"/>
                <w:szCs w:val="32"/>
                <w:lang w:val="en-US" w:eastAsia="zh-CN"/>
              </w:rPr>
              <w:t>山区、库区、林区的叠加，放大了道路（水上）交通事故、森林防灭火、以及未成年人、老年人保障难度。交通顽瘴痼疾多、森林防火周期长，留守儿童防意外事故、老年人养老服务难保障等问题突出，防事故保稳定形势较为严峻。</w:t>
            </w:r>
          </w:p>
          <w:p w14:paraId="11954217">
            <w:pPr>
              <w:keepNext w:val="0"/>
              <w:keepLines w:val="0"/>
              <w:widowControl/>
              <w:suppressLineNumbers w:val="0"/>
              <w:shd w:val="clear" w:fill="FFFFFF"/>
              <w:spacing w:before="150" w:beforeAutospacing="0" w:after="150" w:afterAutospacing="0" w:line="560" w:lineRule="atLeast"/>
              <w:ind w:left="0" w:right="0" w:firstLine="480"/>
              <w:jc w:val="left"/>
              <w:rPr>
                <w:rFonts w:hint="eastAsia" w:ascii="仿宋_GB2312" w:hAnsi="宋体" w:eastAsia="仿宋_GB2312" w:cs="宋体"/>
                <w:color w:val="333333"/>
                <w:kern w:val="0"/>
                <w:sz w:val="32"/>
                <w:szCs w:val="32"/>
                <w:shd w:val="clear" w:fill="FFFFFF"/>
                <w:lang w:val="en-US"/>
              </w:rPr>
            </w:pPr>
            <w:r>
              <w:rPr>
                <w:rFonts w:hint="eastAsia" w:ascii="仿宋_GB2312" w:hAnsi="宋体" w:eastAsia="仿宋_GB2312" w:cs="宋体"/>
                <w:color w:val="333333"/>
                <w:kern w:val="0"/>
                <w:sz w:val="32"/>
                <w:szCs w:val="32"/>
                <w:shd w:val="clear" w:fill="FFFFFF"/>
                <w:lang w:val="en-US" w:eastAsia="zh-CN" w:bidi="ar"/>
              </w:rPr>
              <w:t>为确保年度预算编制更加科学、精确、完善，依照“统筹兼顾、厉行节约、保障重点、注重绩效”的原则，结合当年重点工作需要，规范编制部门预算，切实提高预算编制质量。一是夯实预算编制基础。加强与干部人事、行政后勤等部门的沟通配合，认真核实机关人员编制、办公面积，准确掌握要关实有在职、离退休人员人数及各职级情况，机关办公面积，据此测算出2023年度人员经费、公用经费、公务车辆运行及维护费以及物业管理费的需求量。二是切实做好预算编制工作。一方面做好基本支出预算编制，确保人员经费和日常公用经费编制科学准确。另一方面认真梳理、筛选、汇总本机关重点工作及项目经费需求，根据工作轻重缓急填报项目库。对于新增项目要求承办部门提供相关依据和经费预算明细，完善相关资金申报手续。根据2023年预算控制数，我们对预算责任、指标、费用、定额等进行细化分解，明确绩效目标。三是做好绩效目标管理工作。从时间要求、质量、规模等方面加强目标绩效管理，绩效目标指向明确，符合国家政策法规和职能要求，从数量、质量、成本、时效、效益等方面细化量化绩效目标，在一定期限内如期实现。四是完善预算编制后续工作。预算编制完成后，按照财政厅规定的时间节点逐级送审，确保预算编制质量，杜绝工作疏漏。并将预算编制结果报送各部门。</w:t>
            </w:r>
          </w:p>
          <w:p w14:paraId="35FFBAE1">
            <w:pPr>
              <w:keepNext w:val="0"/>
              <w:keepLines w:val="0"/>
              <w:widowControl/>
              <w:numPr>
                <w:ilvl w:val="0"/>
                <w:numId w:val="0"/>
              </w:numPr>
              <w:suppressLineNumbers w:val="0"/>
              <w:shd w:val="clear" w:fill="FFFFFF"/>
              <w:spacing w:before="150" w:beforeAutospacing="0" w:after="150" w:afterAutospacing="0" w:line="560" w:lineRule="atLeast"/>
              <w:ind w:left="0" w:right="0" w:rightChars="0" w:firstLine="640" w:firstLineChars="200"/>
              <w:jc w:val="left"/>
              <w:rPr>
                <w:rFonts w:hint="eastAsia" w:ascii="仿宋_GB2312" w:hAnsi="宋体" w:eastAsia="仿宋_GB2312" w:cs="宋体"/>
                <w:color w:val="333333"/>
                <w:kern w:val="0"/>
                <w:sz w:val="32"/>
                <w:szCs w:val="32"/>
                <w:shd w:val="clear" w:fill="FFFFFF"/>
                <w:lang w:val="en-US"/>
              </w:rPr>
            </w:pPr>
            <w:r>
              <w:rPr>
                <w:rFonts w:hint="eastAsia" w:ascii="仿宋_GB2312" w:hAnsi="宋体" w:eastAsia="仿宋_GB2312" w:cs="宋体"/>
                <w:color w:val="333333"/>
                <w:kern w:val="0"/>
                <w:sz w:val="32"/>
                <w:szCs w:val="32"/>
                <w:shd w:val="clear" w:fill="FFFFFF"/>
                <w:lang w:val="en-US" w:eastAsia="zh-CN" w:bidi="ar"/>
              </w:rPr>
              <w:t>通过绩效评价，我们认为，2023年度部门决算具有明确的用途和目标，根据执行计划实施精准，资金到位及时并严格按照财政有关规定使用。预算决策、管理、执行等日益规范，能较好地满足工作需要，取得了良好经济效益和社会效益。</w:t>
            </w:r>
          </w:p>
          <w:p w14:paraId="203F9969">
            <w:pPr>
              <w:keepNext w:val="0"/>
              <w:keepLines w:val="0"/>
              <w:widowControl/>
              <w:numPr>
                <w:ilvl w:val="0"/>
                <w:numId w:val="1"/>
              </w:numPr>
              <w:suppressLineNumbers w:val="0"/>
              <w:shd w:val="clear" w:fill="FFFFFF"/>
              <w:spacing w:before="150" w:beforeAutospacing="0" w:after="150" w:afterAutospacing="0" w:line="560" w:lineRule="atLeast"/>
              <w:ind w:left="0" w:leftChars="0" w:right="0" w:firstLine="560" w:firstLineChars="200"/>
              <w:jc w:val="left"/>
              <w:rPr>
                <w:rFonts w:hint="eastAsia" w:ascii="黑体" w:hAnsi="黑体" w:eastAsia="黑体" w:cs="黑体"/>
                <w:bCs/>
                <w:sz w:val="28"/>
                <w:szCs w:val="28"/>
              </w:rPr>
            </w:pPr>
            <w:r>
              <w:rPr>
                <w:rFonts w:hint="eastAsia" w:ascii="黑体" w:hAnsi="黑体" w:eastAsia="黑体" w:cs="黑体"/>
                <w:bCs/>
                <w:sz w:val="28"/>
                <w:szCs w:val="28"/>
              </w:rPr>
              <w:t>存在的主要问题</w:t>
            </w:r>
          </w:p>
          <w:p w14:paraId="28AFB926">
            <w:pPr>
              <w:keepNext w:val="0"/>
              <w:keepLines w:val="0"/>
              <w:widowControl/>
              <w:suppressLineNumbers w:val="0"/>
              <w:shd w:val="clear" w:fill="FFFFFF"/>
              <w:spacing w:before="150" w:beforeAutospacing="0" w:after="150" w:afterAutospacing="0" w:line="560" w:lineRule="atLeast"/>
              <w:ind w:left="0" w:right="0" w:firstLine="480"/>
              <w:jc w:val="left"/>
              <w:rPr>
                <w:rFonts w:hint="eastAsia" w:ascii="仿宋_GB2312" w:hAnsi="宋体" w:eastAsia="仿宋_GB2312" w:cs="宋体"/>
                <w:color w:val="333333"/>
                <w:kern w:val="0"/>
                <w:sz w:val="32"/>
                <w:szCs w:val="32"/>
                <w:shd w:val="clear" w:fill="FFFFFF"/>
                <w:lang w:val="en-US"/>
              </w:rPr>
            </w:pPr>
            <w:r>
              <w:rPr>
                <w:rFonts w:hint="eastAsia" w:ascii="仿宋_GB2312" w:hAnsi="宋体" w:eastAsia="仿宋_GB2312" w:cs="宋体"/>
                <w:color w:val="333333"/>
                <w:kern w:val="0"/>
                <w:sz w:val="32"/>
                <w:szCs w:val="32"/>
                <w:shd w:val="clear" w:fill="FFFFFF"/>
                <w:lang w:val="en-US" w:eastAsia="zh-CN" w:bidi="ar"/>
              </w:rPr>
              <w:t>一是由于工作安排的原因，存在部门预算执行进度不均衡，项目资金使用“前松后紧”现象;二是受评价指标所限，部分项目效果无法量化，评价结果参差不齐。</w:t>
            </w:r>
          </w:p>
          <w:p w14:paraId="15441942">
            <w:pPr>
              <w:keepNext w:val="0"/>
              <w:keepLines w:val="0"/>
              <w:suppressLineNumbers w:val="0"/>
              <w:spacing w:before="0" w:beforeAutospacing="0" w:after="0" w:afterAutospacing="0" w:line="560" w:lineRule="exact"/>
              <w:ind w:left="0" w:right="0" w:firstLine="560" w:firstLineChars="200"/>
              <w:rPr>
                <w:rFonts w:hint="default" w:ascii="黑体" w:hAnsi="黑体" w:eastAsia="黑体" w:cs="黑体"/>
                <w:bCs/>
                <w:sz w:val="28"/>
                <w:szCs w:val="28"/>
              </w:rPr>
            </w:pPr>
            <w:r>
              <w:rPr>
                <w:rFonts w:hint="eastAsia" w:ascii="黑体" w:hAnsi="黑体" w:eastAsia="黑体" w:cs="黑体"/>
                <w:bCs/>
                <w:sz w:val="28"/>
                <w:szCs w:val="28"/>
                <w:lang w:eastAsia="zh-CN"/>
              </w:rPr>
              <w:t>五</w:t>
            </w:r>
            <w:r>
              <w:rPr>
                <w:rFonts w:hint="eastAsia" w:ascii="黑体" w:hAnsi="黑体" w:eastAsia="黑体" w:cs="黑体"/>
                <w:bCs/>
                <w:sz w:val="28"/>
                <w:szCs w:val="28"/>
              </w:rPr>
              <w:t>、改进措施和有关建议</w:t>
            </w:r>
          </w:p>
          <w:p w14:paraId="6BF8328F">
            <w:pPr>
              <w:keepNext w:val="0"/>
              <w:keepLines w:val="0"/>
              <w:widowControl/>
              <w:suppressLineNumbers w:val="0"/>
              <w:shd w:val="clear" w:fill="FFFFFF"/>
              <w:spacing w:before="150" w:beforeAutospacing="0" w:after="150" w:afterAutospacing="0" w:line="560" w:lineRule="atLeast"/>
              <w:ind w:left="0" w:right="0" w:firstLine="480"/>
              <w:jc w:val="left"/>
              <w:rPr>
                <w:rFonts w:hint="default" w:ascii="仿宋_GB2312" w:hAnsi="宋体" w:eastAsia="仿宋_GB2312" w:cs="宋体"/>
                <w:color w:val="333333"/>
                <w:kern w:val="0"/>
                <w:sz w:val="32"/>
                <w:szCs w:val="32"/>
                <w:shd w:val="clear" w:fill="FFFFFF"/>
                <w:lang w:val="en-US"/>
              </w:rPr>
            </w:pPr>
            <w:r>
              <w:rPr>
                <w:rFonts w:hint="eastAsia" w:ascii="仿宋_GB2312" w:hAnsi="宋体" w:eastAsia="仿宋_GB2312" w:cs="宋体"/>
                <w:color w:val="333333"/>
                <w:kern w:val="0"/>
                <w:sz w:val="32"/>
                <w:szCs w:val="32"/>
                <w:shd w:val="clear" w:fill="FFFFFF"/>
                <w:lang w:val="en-US" w:eastAsia="zh-CN" w:bidi="ar"/>
              </w:rPr>
              <w:t>一方面，提高绩效评价工作人员的业务素质的提高，另一方面加大对财政资金支出绩效评价工作的培训力度，进一步提高参评人员的业务素质，切实提升资金支出绩效评价工作水平。</w:t>
            </w:r>
          </w:p>
          <w:p w14:paraId="6F296DCC">
            <w:pPr>
              <w:keepNext w:val="0"/>
              <w:keepLines w:val="0"/>
              <w:widowControl w:val="0"/>
              <w:suppressLineNumbers w:val="0"/>
              <w:spacing w:before="0" w:beforeAutospacing="0" w:after="0" w:afterAutospacing="0"/>
              <w:ind w:left="0" w:right="0"/>
              <w:jc w:val="both"/>
              <w:rPr>
                <w:rFonts w:hint="default"/>
                <w:lang w:val="en-US"/>
              </w:rPr>
            </w:pPr>
          </w:p>
          <w:p w14:paraId="44D89131">
            <w:pPr>
              <w:keepNext w:val="0"/>
              <w:keepLines w:val="0"/>
              <w:suppressLineNumbers w:val="0"/>
              <w:spacing w:before="0" w:beforeAutospacing="0" w:after="0" w:afterAutospacing="0" w:line="560" w:lineRule="exact"/>
              <w:ind w:left="0" w:right="0" w:firstLine="560" w:firstLineChars="200"/>
              <w:rPr>
                <w:rFonts w:hint="default" w:ascii="黑体" w:hAnsi="黑体" w:eastAsia="黑体" w:cs="黑体"/>
                <w:bCs/>
                <w:sz w:val="28"/>
                <w:szCs w:val="28"/>
              </w:rPr>
            </w:pPr>
          </w:p>
          <w:p w14:paraId="2DB2375A">
            <w:pPr>
              <w:keepNext w:val="0"/>
              <w:keepLines w:val="0"/>
              <w:suppressLineNumbers w:val="0"/>
              <w:spacing w:before="0" w:beforeAutospacing="0" w:after="0" w:afterAutospacing="0"/>
              <w:ind w:left="0" w:right="0"/>
              <w:rPr>
                <w:rFonts w:hint="default" w:eastAsia="楷体_GB2312"/>
                <w:bCs/>
                <w:sz w:val="28"/>
                <w:szCs w:val="28"/>
              </w:rPr>
            </w:pPr>
          </w:p>
        </w:tc>
      </w:tr>
    </w:tbl>
    <w:p w14:paraId="602C3B44">
      <w:pPr>
        <w:spacing w:line="348" w:lineRule="auto"/>
        <w:rPr>
          <w:rFonts w:eastAsia="楷体_GB2312"/>
          <w:bCs/>
          <w:sz w:val="28"/>
          <w:szCs w:val="28"/>
        </w:rPr>
      </w:pPr>
    </w:p>
    <w:p w14:paraId="704D372E">
      <w:pPr>
        <w:spacing w:beforeLines="100" w:afterLines="100"/>
        <w:jc w:val="center"/>
        <w:rPr>
          <w:rFonts w:ascii="方正小标宋简体" w:eastAsia="方正小标宋简体"/>
          <w:sz w:val="38"/>
          <w:szCs w:val="38"/>
        </w:rPr>
      </w:pPr>
      <w:r>
        <w:rPr>
          <w:rFonts w:eastAsia="楷体_GB2312"/>
          <w:bCs/>
          <w:sz w:val="28"/>
          <w:szCs w:val="28"/>
        </w:rPr>
        <w:br w:type="page"/>
      </w:r>
      <w:r>
        <w:rPr>
          <w:rFonts w:hint="eastAsia" w:ascii="方正小标宋简体" w:eastAsia="方正小标宋简体"/>
          <w:sz w:val="38"/>
          <w:szCs w:val="38"/>
        </w:rPr>
        <w:t>部门整体支出绩效评价评分表</w:t>
      </w:r>
    </w:p>
    <w:tbl>
      <w:tblPr>
        <w:tblStyle w:val="3"/>
        <w:tblW w:w="0" w:type="auto"/>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14:paraId="1E9D447F">
        <w:tblPrEx>
          <w:tblCellMar>
            <w:top w:w="0" w:type="dxa"/>
            <w:left w:w="108" w:type="dxa"/>
            <w:bottom w:w="0" w:type="dxa"/>
            <w:right w:w="108" w:type="dxa"/>
          </w:tblCellMar>
        </w:tblPrEx>
        <w:trPr>
          <w:trHeight w:val="525" w:hRule="atLeast"/>
          <w:jc w:val="center"/>
        </w:trPr>
        <w:tc>
          <w:tcPr>
            <w:tcW w:w="976" w:type="dxa"/>
            <w:tcBorders>
              <w:top w:val="single" w:color="auto" w:sz="4" w:space="0"/>
              <w:left w:val="single" w:color="auto" w:sz="4" w:space="0"/>
              <w:bottom w:val="single" w:color="auto" w:sz="4" w:space="0"/>
              <w:right w:val="single" w:color="auto" w:sz="4" w:space="0"/>
            </w:tcBorders>
            <w:vAlign w:val="center"/>
          </w:tcPr>
          <w:p w14:paraId="301AC4A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nil"/>
              <w:bottom w:val="single" w:color="auto" w:sz="4" w:space="0"/>
              <w:right w:val="single" w:color="auto" w:sz="4" w:space="0"/>
            </w:tcBorders>
            <w:vAlign w:val="center"/>
          </w:tcPr>
          <w:p w14:paraId="7F69BD28">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vAlign w:val="center"/>
          </w:tcPr>
          <w:p w14:paraId="652F6445">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vAlign w:val="center"/>
          </w:tcPr>
          <w:p w14:paraId="4AA56384">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vAlign w:val="center"/>
          </w:tcPr>
          <w:p w14:paraId="48C5E726">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14:paraId="09B75A05">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3FCB433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14:paraId="0F466405">
        <w:tblPrEx>
          <w:tblCellMar>
            <w:top w:w="0" w:type="dxa"/>
            <w:left w:w="108" w:type="dxa"/>
            <w:bottom w:w="0" w:type="dxa"/>
            <w:right w:w="108" w:type="dxa"/>
          </w:tblCellMar>
        </w:tblPrEx>
        <w:trPr>
          <w:trHeight w:val="559"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6944BC06">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投  入</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939" w:type="dxa"/>
            <w:vMerge w:val="restart"/>
            <w:tcBorders>
              <w:top w:val="nil"/>
              <w:left w:val="single" w:color="auto" w:sz="4" w:space="0"/>
              <w:bottom w:val="single" w:color="auto" w:sz="4" w:space="0"/>
              <w:right w:val="single" w:color="auto" w:sz="4" w:space="0"/>
            </w:tcBorders>
            <w:vAlign w:val="center"/>
          </w:tcPr>
          <w:p w14:paraId="6B2B039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预算配置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14:paraId="6E17B226">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14:paraId="637F1B0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14:paraId="4AAD6BE4">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以100%为标准。在职人员控制率</w:t>
            </w:r>
            <w:r>
              <w:rPr>
                <w:rFonts w:hint="eastAsia" w:ascii="宋体" w:hAnsi="宋体" w:cs="宋体"/>
                <w:kern w:val="0"/>
                <w:sz w:val="18"/>
                <w:szCs w:val="18"/>
              </w:rPr>
              <w:t>≦</w:t>
            </w:r>
            <w:r>
              <w:rPr>
                <w:rFonts w:hint="eastAsia" w:ascii="仿宋_GB2312" w:hAnsi="宋体" w:eastAsia="仿宋_GB2312" w:cs="宋体"/>
                <w:kern w:val="0"/>
                <w:sz w:val="18"/>
                <w:szCs w:val="18"/>
              </w:rPr>
              <w:t>100%，计5分；每超过一个百分点扣0.5分，扣完为止。</w:t>
            </w:r>
          </w:p>
        </w:tc>
        <w:tc>
          <w:tcPr>
            <w:tcW w:w="619" w:type="dxa"/>
            <w:tcBorders>
              <w:top w:val="nil"/>
              <w:left w:val="nil"/>
              <w:bottom w:val="single" w:color="auto" w:sz="4" w:space="0"/>
              <w:right w:val="single" w:color="auto" w:sz="4" w:space="0"/>
            </w:tcBorders>
            <w:vAlign w:val="center"/>
          </w:tcPr>
          <w:p w14:paraId="76623EA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0014E189">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14:paraId="57629C47">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color w:val="000000"/>
                <w:kern w:val="0"/>
                <w:sz w:val="18"/>
                <w:szCs w:val="18"/>
              </w:rPr>
            </w:pPr>
          </w:p>
        </w:tc>
      </w:tr>
      <w:tr w14:paraId="59002019">
        <w:tblPrEx>
          <w:tblCellMar>
            <w:top w:w="0" w:type="dxa"/>
            <w:left w:w="108" w:type="dxa"/>
            <w:bottom w:w="0" w:type="dxa"/>
            <w:right w:w="108" w:type="dxa"/>
          </w:tblCellMar>
        </w:tblPrEx>
        <w:trPr>
          <w:trHeight w:val="78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406B1677">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248D3350">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C942953">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变动率</w:t>
            </w:r>
          </w:p>
        </w:tc>
        <w:tc>
          <w:tcPr>
            <w:tcW w:w="4171" w:type="dxa"/>
            <w:tcBorders>
              <w:top w:val="nil"/>
              <w:left w:val="nil"/>
              <w:bottom w:val="single" w:color="auto" w:sz="4" w:space="0"/>
              <w:right w:val="single" w:color="auto" w:sz="4" w:space="0"/>
            </w:tcBorders>
            <w:vAlign w:val="center"/>
          </w:tcPr>
          <w:p w14:paraId="51E2FE8B">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hint="eastAsia" w:ascii="仿宋_GB2312" w:hAnsi="宋体" w:eastAsia="仿宋_GB2312" w:cs="宋体"/>
                <w:kern w:val="0"/>
                <w:sz w:val="18"/>
                <w:szCs w:val="18"/>
              </w:rPr>
              <w:t>0,计5分；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“三公经费”＞0，每超过一个百分点扣0.5分，扣完为止。</w:t>
            </w:r>
          </w:p>
        </w:tc>
        <w:tc>
          <w:tcPr>
            <w:tcW w:w="619" w:type="dxa"/>
            <w:tcBorders>
              <w:top w:val="nil"/>
              <w:left w:val="nil"/>
              <w:bottom w:val="single" w:color="auto" w:sz="4" w:space="0"/>
              <w:right w:val="single" w:color="auto" w:sz="4" w:space="0"/>
            </w:tcBorders>
            <w:vAlign w:val="center"/>
          </w:tcPr>
          <w:p w14:paraId="15079A4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44D16DB0">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14:paraId="1E84AA24">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color w:val="000000"/>
                <w:kern w:val="0"/>
                <w:sz w:val="18"/>
                <w:szCs w:val="18"/>
              </w:rPr>
            </w:pPr>
          </w:p>
        </w:tc>
      </w:tr>
      <w:tr w14:paraId="6E1CF72A">
        <w:tblPrEx>
          <w:tblCellMar>
            <w:top w:w="0" w:type="dxa"/>
            <w:left w:w="108" w:type="dxa"/>
            <w:bottom w:w="0" w:type="dxa"/>
            <w:right w:w="108" w:type="dxa"/>
          </w:tblCellMar>
        </w:tblPrEx>
        <w:trPr>
          <w:trHeight w:val="737"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3FACF610">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66126A7D">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6844780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重点支出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安排率</w:t>
            </w:r>
          </w:p>
        </w:tc>
        <w:tc>
          <w:tcPr>
            <w:tcW w:w="4171" w:type="dxa"/>
            <w:tcBorders>
              <w:top w:val="nil"/>
              <w:left w:val="nil"/>
              <w:bottom w:val="single" w:color="auto" w:sz="4" w:space="0"/>
              <w:right w:val="single" w:color="auto" w:sz="4" w:space="0"/>
            </w:tcBorders>
            <w:vAlign w:val="center"/>
          </w:tcPr>
          <w:p w14:paraId="5A820ADC">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重点支出安排率≥90%，计5分；80%（含）-90%，计4分；70%（含）-80%，计3分；60%（含）-70%，计2分；低于60%不得分。</w:t>
            </w:r>
          </w:p>
        </w:tc>
        <w:tc>
          <w:tcPr>
            <w:tcW w:w="619" w:type="dxa"/>
            <w:tcBorders>
              <w:top w:val="nil"/>
              <w:left w:val="nil"/>
              <w:bottom w:val="single" w:color="auto" w:sz="4" w:space="0"/>
              <w:right w:val="single" w:color="auto" w:sz="4" w:space="0"/>
            </w:tcBorders>
            <w:vAlign w:val="center"/>
          </w:tcPr>
          <w:p w14:paraId="34D354DE">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3CE1F15F">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4.5</w:t>
            </w:r>
          </w:p>
        </w:tc>
        <w:tc>
          <w:tcPr>
            <w:tcW w:w="1080" w:type="dxa"/>
            <w:tcBorders>
              <w:top w:val="nil"/>
              <w:left w:val="nil"/>
              <w:bottom w:val="single" w:color="auto" w:sz="4" w:space="0"/>
              <w:right w:val="single" w:color="auto" w:sz="4" w:space="0"/>
            </w:tcBorders>
            <w:vAlign w:val="center"/>
          </w:tcPr>
          <w:p w14:paraId="1944F593">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color w:val="000000"/>
                <w:kern w:val="0"/>
                <w:sz w:val="18"/>
                <w:szCs w:val="18"/>
              </w:rPr>
            </w:pPr>
          </w:p>
        </w:tc>
      </w:tr>
      <w:tr w14:paraId="7F9380A6">
        <w:tblPrEx>
          <w:tblCellMar>
            <w:top w:w="0" w:type="dxa"/>
            <w:left w:w="108" w:type="dxa"/>
            <w:bottom w:w="0" w:type="dxa"/>
            <w:right w:w="108" w:type="dxa"/>
          </w:tblCellMar>
        </w:tblPrEx>
        <w:trPr>
          <w:trHeight w:val="776"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3BE1BAE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过  程</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（40分）</w:t>
            </w:r>
          </w:p>
        </w:tc>
        <w:tc>
          <w:tcPr>
            <w:tcW w:w="939" w:type="dxa"/>
            <w:vMerge w:val="restart"/>
            <w:tcBorders>
              <w:top w:val="nil"/>
              <w:left w:val="single" w:color="auto" w:sz="4" w:space="0"/>
              <w:bottom w:val="single" w:color="auto" w:sz="4" w:space="0"/>
              <w:right w:val="single" w:color="auto" w:sz="4" w:space="0"/>
            </w:tcBorders>
            <w:vAlign w:val="center"/>
          </w:tcPr>
          <w:p w14:paraId="7D3B513A">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预算执行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14:paraId="1B809266">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4171" w:type="dxa"/>
            <w:tcBorders>
              <w:top w:val="nil"/>
              <w:left w:val="nil"/>
              <w:bottom w:val="single" w:color="auto" w:sz="4" w:space="0"/>
              <w:right w:val="single" w:color="auto" w:sz="4" w:space="0"/>
            </w:tcBorders>
            <w:vAlign w:val="center"/>
          </w:tcPr>
          <w:p w14:paraId="21876D60">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预算调整率=0，计3分；0-10%（含），计2分；10-20%（含），计1分；20-30%（含），计0.5分；大于30%不得分。</w:t>
            </w:r>
          </w:p>
        </w:tc>
        <w:tc>
          <w:tcPr>
            <w:tcW w:w="619" w:type="dxa"/>
            <w:tcBorders>
              <w:top w:val="nil"/>
              <w:left w:val="nil"/>
              <w:bottom w:val="single" w:color="auto" w:sz="4" w:space="0"/>
              <w:right w:val="single" w:color="auto" w:sz="4" w:space="0"/>
            </w:tcBorders>
            <w:vAlign w:val="center"/>
          </w:tcPr>
          <w:p w14:paraId="5A57F2EE">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4387077B">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7035633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color w:val="000000"/>
                <w:kern w:val="0"/>
                <w:sz w:val="18"/>
                <w:szCs w:val="18"/>
              </w:rPr>
            </w:pPr>
          </w:p>
        </w:tc>
      </w:tr>
      <w:tr w14:paraId="540B7033">
        <w:tblPrEx>
          <w:tblCellMar>
            <w:top w:w="0" w:type="dxa"/>
            <w:left w:w="108" w:type="dxa"/>
            <w:bottom w:w="0" w:type="dxa"/>
            <w:right w:w="108" w:type="dxa"/>
          </w:tblCellMar>
        </w:tblPrEx>
        <w:trPr>
          <w:trHeight w:val="1039"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5E848F3C">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1C21ECF9">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E14FBC7">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4171" w:type="dxa"/>
            <w:tcBorders>
              <w:top w:val="nil"/>
              <w:left w:val="nil"/>
              <w:bottom w:val="single" w:color="auto" w:sz="4" w:space="0"/>
              <w:right w:val="single" w:color="auto" w:sz="4" w:space="0"/>
            </w:tcBorders>
            <w:vAlign w:val="center"/>
          </w:tcPr>
          <w:p w14:paraId="2FFD5ED3">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春节前下达全部专项资金的50%；6月底前所有专项资金指标全部下达完。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每出现一个专项未按进度完成资金下达扣0.5分，扣完为止。</w:t>
            </w:r>
          </w:p>
        </w:tc>
        <w:tc>
          <w:tcPr>
            <w:tcW w:w="619" w:type="dxa"/>
            <w:tcBorders>
              <w:top w:val="nil"/>
              <w:left w:val="nil"/>
              <w:bottom w:val="single" w:color="auto" w:sz="4" w:space="0"/>
              <w:right w:val="single" w:color="auto" w:sz="4" w:space="0"/>
            </w:tcBorders>
            <w:vAlign w:val="center"/>
          </w:tcPr>
          <w:p w14:paraId="12C68535">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68D3EAAC">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162AAAC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color w:val="000000"/>
                <w:kern w:val="0"/>
                <w:sz w:val="18"/>
                <w:szCs w:val="18"/>
              </w:rPr>
            </w:pPr>
          </w:p>
        </w:tc>
      </w:tr>
      <w:tr w14:paraId="51C8F60B">
        <w:tblPrEx>
          <w:tblCellMar>
            <w:top w:w="0" w:type="dxa"/>
            <w:left w:w="108" w:type="dxa"/>
            <w:bottom w:w="0" w:type="dxa"/>
            <w:right w:w="108" w:type="dxa"/>
          </w:tblCellMar>
        </w:tblPrEx>
        <w:trPr>
          <w:trHeight w:val="619"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76552B73">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2F3AE255">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0378AF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4171" w:type="dxa"/>
            <w:tcBorders>
              <w:top w:val="nil"/>
              <w:left w:val="nil"/>
              <w:bottom w:val="single" w:color="auto" w:sz="4" w:space="0"/>
              <w:right w:val="single" w:color="auto" w:sz="4" w:space="0"/>
            </w:tcBorders>
            <w:vAlign w:val="center"/>
          </w:tcPr>
          <w:p w14:paraId="237D5ABF">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无结余，3分；有结余，但不超过上年结转，2分；结余超过上年结转，不得分。</w:t>
            </w:r>
          </w:p>
        </w:tc>
        <w:tc>
          <w:tcPr>
            <w:tcW w:w="619" w:type="dxa"/>
            <w:tcBorders>
              <w:top w:val="nil"/>
              <w:left w:val="nil"/>
              <w:bottom w:val="single" w:color="auto" w:sz="4" w:space="0"/>
              <w:right w:val="single" w:color="auto" w:sz="4" w:space="0"/>
            </w:tcBorders>
            <w:vAlign w:val="center"/>
          </w:tcPr>
          <w:p w14:paraId="62E7CFF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6CBEE0F3">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3991D3CB">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color w:val="000000"/>
                <w:kern w:val="0"/>
                <w:sz w:val="18"/>
                <w:szCs w:val="18"/>
              </w:rPr>
            </w:pPr>
          </w:p>
        </w:tc>
      </w:tr>
      <w:tr w14:paraId="03004F87">
        <w:tblPrEx>
          <w:tblCellMar>
            <w:top w:w="0" w:type="dxa"/>
            <w:left w:w="108" w:type="dxa"/>
            <w:bottom w:w="0" w:type="dxa"/>
            <w:right w:w="108" w:type="dxa"/>
          </w:tblCellMar>
        </w:tblPrEx>
        <w:trPr>
          <w:trHeight w:val="495"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0A14C593">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4357A03">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53D8372E">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14:paraId="07C511BC">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以100%为标准。三公经费控制率</w:t>
            </w:r>
            <w:r>
              <w:rPr>
                <w:rFonts w:hint="eastAsia" w:ascii="宋体" w:hAnsi="宋体" w:cs="宋体"/>
                <w:kern w:val="0"/>
                <w:sz w:val="18"/>
                <w:szCs w:val="18"/>
              </w:rPr>
              <w:t>≦</w:t>
            </w:r>
            <w:r>
              <w:rPr>
                <w:rFonts w:hint="eastAsia" w:ascii="仿宋_GB2312" w:hAnsi="宋体" w:eastAsia="仿宋_GB2312" w:cs="宋体"/>
                <w:kern w:val="0"/>
                <w:sz w:val="18"/>
                <w:szCs w:val="18"/>
              </w:rPr>
              <w:t>100%，计6分；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每超过一个百分点扣1分，扣完为止。</w:t>
            </w:r>
          </w:p>
        </w:tc>
        <w:tc>
          <w:tcPr>
            <w:tcW w:w="619" w:type="dxa"/>
            <w:tcBorders>
              <w:top w:val="nil"/>
              <w:left w:val="nil"/>
              <w:bottom w:val="single" w:color="auto" w:sz="4" w:space="0"/>
              <w:right w:val="single" w:color="auto" w:sz="4" w:space="0"/>
            </w:tcBorders>
            <w:vAlign w:val="center"/>
          </w:tcPr>
          <w:p w14:paraId="2E45249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6</w:t>
            </w:r>
          </w:p>
        </w:tc>
        <w:tc>
          <w:tcPr>
            <w:tcW w:w="720" w:type="dxa"/>
            <w:tcBorders>
              <w:top w:val="nil"/>
              <w:left w:val="nil"/>
              <w:bottom w:val="single" w:color="auto" w:sz="4" w:space="0"/>
              <w:right w:val="single" w:color="auto" w:sz="4" w:space="0"/>
            </w:tcBorders>
            <w:vAlign w:val="center"/>
          </w:tcPr>
          <w:p w14:paraId="53E87047">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6</w:t>
            </w:r>
          </w:p>
        </w:tc>
        <w:tc>
          <w:tcPr>
            <w:tcW w:w="1080" w:type="dxa"/>
            <w:tcBorders>
              <w:top w:val="nil"/>
              <w:left w:val="nil"/>
              <w:bottom w:val="single" w:color="auto" w:sz="4" w:space="0"/>
              <w:right w:val="single" w:color="auto" w:sz="4" w:space="0"/>
            </w:tcBorders>
            <w:vAlign w:val="center"/>
          </w:tcPr>
          <w:p w14:paraId="399ACE34">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color w:val="000000"/>
                <w:kern w:val="0"/>
                <w:sz w:val="18"/>
                <w:szCs w:val="18"/>
              </w:rPr>
            </w:pPr>
          </w:p>
        </w:tc>
      </w:tr>
      <w:tr w14:paraId="664CA033">
        <w:tblPrEx>
          <w:tblCellMar>
            <w:top w:w="0" w:type="dxa"/>
            <w:left w:w="108" w:type="dxa"/>
            <w:bottom w:w="0" w:type="dxa"/>
            <w:right w:w="108" w:type="dxa"/>
          </w:tblCellMar>
        </w:tblPrEx>
        <w:trPr>
          <w:trHeight w:val="915"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35D22F19">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14:paraId="7F4A7F6A">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预算管理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14:paraId="010DC8F5">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14:paraId="59E12FB9">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①已制定或具有预算资金管理办法，内部财务管理制度、会计核算制度等管理制度，1分；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②相关管理制度合法、合规、完整，1分；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③相关管理制度得到有效执行，1分。</w:t>
            </w:r>
          </w:p>
        </w:tc>
        <w:tc>
          <w:tcPr>
            <w:tcW w:w="619" w:type="dxa"/>
            <w:tcBorders>
              <w:top w:val="nil"/>
              <w:left w:val="nil"/>
              <w:bottom w:val="single" w:color="auto" w:sz="4" w:space="0"/>
              <w:right w:val="single" w:color="auto" w:sz="4" w:space="0"/>
            </w:tcBorders>
            <w:vAlign w:val="center"/>
          </w:tcPr>
          <w:p w14:paraId="357CE88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1C996498">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699BC2D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color w:val="000000"/>
                <w:kern w:val="0"/>
                <w:sz w:val="18"/>
                <w:szCs w:val="18"/>
              </w:rPr>
            </w:pPr>
          </w:p>
        </w:tc>
      </w:tr>
      <w:tr w14:paraId="05C95135">
        <w:tblPrEx>
          <w:tblCellMar>
            <w:top w:w="0" w:type="dxa"/>
            <w:left w:w="108" w:type="dxa"/>
            <w:bottom w:w="0" w:type="dxa"/>
            <w:right w:w="108" w:type="dxa"/>
          </w:tblCellMar>
        </w:tblPrEx>
        <w:trPr>
          <w:trHeight w:val="1802"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26616F2A">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5C8DAD3F">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71589AF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资金使用</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合规性</w:t>
            </w:r>
          </w:p>
        </w:tc>
        <w:tc>
          <w:tcPr>
            <w:tcW w:w="4171" w:type="dxa"/>
            <w:tcBorders>
              <w:top w:val="nil"/>
              <w:left w:val="nil"/>
              <w:bottom w:val="single" w:color="auto" w:sz="4" w:space="0"/>
              <w:right w:val="single" w:color="auto" w:sz="4" w:space="0"/>
            </w:tcBorders>
            <w:vAlign w:val="center"/>
          </w:tcPr>
          <w:p w14:paraId="3B94AFCC">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①支出符合国家财经法规和财务管理制度规定以及有关专项资金管理办法的规定；</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②资金拨付有完整的审批程序和手续；</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③项目支出按规定经过评估论证；</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④支出符合部门预算批复的用途；</w:t>
            </w:r>
            <w:r>
              <w:rPr>
                <w:rFonts w:hint="eastAsia" w:ascii="仿宋_GB2312" w:hAnsi="宋体" w:eastAsia="仿宋_GB2312" w:cs="宋体"/>
                <w:kern w:val="0"/>
                <w:sz w:val="18"/>
                <w:szCs w:val="18"/>
              </w:rPr>
              <w:br w:type="textWrapping"/>
            </w:r>
            <w:r>
              <w:rPr>
                <w:rFonts w:hint="eastAsia" w:ascii="仿宋_GB2312" w:hAnsi="宋体" w:eastAsia="仿宋_GB2312" w:cs="宋体"/>
                <w:spacing w:val="-6"/>
                <w:kern w:val="0"/>
                <w:sz w:val="18"/>
                <w:szCs w:val="18"/>
              </w:rPr>
              <w:t>⑤资金使用无截留、挤占、挪用、虚列支出等情况。</w:t>
            </w:r>
            <w:r>
              <w:rPr>
                <w:rFonts w:hint="eastAsia" w:ascii="仿宋_GB2312" w:hAnsi="宋体" w:eastAsia="仿宋_GB2312" w:cs="宋体"/>
                <w:spacing w:val="-6"/>
                <w:kern w:val="0"/>
                <w:sz w:val="18"/>
                <w:szCs w:val="18"/>
              </w:rPr>
              <w:br w:type="textWrapping"/>
            </w:r>
            <w:r>
              <w:rPr>
                <w:rFonts w:hint="eastAsia" w:ascii="仿宋_GB2312" w:hAnsi="宋体" w:eastAsia="仿宋_GB2312" w:cs="宋体"/>
                <w:spacing w:val="-6"/>
                <w:kern w:val="0"/>
                <w:sz w:val="18"/>
                <w:szCs w:val="18"/>
              </w:rPr>
              <w:t>以上情况每出现一例不符合要求的扣1分，扣完为止。</w:t>
            </w:r>
          </w:p>
        </w:tc>
        <w:tc>
          <w:tcPr>
            <w:tcW w:w="619" w:type="dxa"/>
            <w:tcBorders>
              <w:top w:val="nil"/>
              <w:left w:val="nil"/>
              <w:bottom w:val="single" w:color="auto" w:sz="4" w:space="0"/>
              <w:right w:val="single" w:color="auto" w:sz="4" w:space="0"/>
            </w:tcBorders>
            <w:vAlign w:val="center"/>
          </w:tcPr>
          <w:p w14:paraId="12765B18">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6FBC55BB">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18D4EE6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color w:val="000000"/>
                <w:kern w:val="0"/>
                <w:sz w:val="18"/>
                <w:szCs w:val="18"/>
              </w:rPr>
            </w:pPr>
          </w:p>
        </w:tc>
      </w:tr>
      <w:tr w14:paraId="44CE535E">
        <w:tblPrEx>
          <w:tblCellMar>
            <w:top w:w="0" w:type="dxa"/>
            <w:left w:w="108" w:type="dxa"/>
            <w:bottom w:w="0" w:type="dxa"/>
            <w:right w:w="108" w:type="dxa"/>
          </w:tblCellMar>
        </w:tblPrEx>
        <w:trPr>
          <w:trHeight w:val="45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4A355126">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69C7CF0C">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07DA9BFC">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4171" w:type="dxa"/>
            <w:tcBorders>
              <w:top w:val="nil"/>
              <w:left w:val="nil"/>
              <w:bottom w:val="single" w:color="auto" w:sz="4" w:space="0"/>
              <w:right w:val="single" w:color="auto" w:sz="4" w:space="0"/>
            </w:tcBorders>
            <w:vAlign w:val="center"/>
          </w:tcPr>
          <w:p w14:paraId="2734A3C2">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①按规定内容公开预决算信息，1分；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②按规定时限公开预决算信息，0.5分；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③基础数据信息和会计信息资料真实，0.5分；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④基础数据信息和会计信息资料完整，0.5分；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⑤基础数据信息和汇集信息资料准确，0.5分。                                            </w:t>
            </w:r>
          </w:p>
        </w:tc>
        <w:tc>
          <w:tcPr>
            <w:tcW w:w="619" w:type="dxa"/>
            <w:tcBorders>
              <w:top w:val="nil"/>
              <w:left w:val="nil"/>
              <w:bottom w:val="single" w:color="auto" w:sz="4" w:space="0"/>
              <w:right w:val="single" w:color="auto" w:sz="4" w:space="0"/>
            </w:tcBorders>
            <w:vAlign w:val="center"/>
          </w:tcPr>
          <w:p w14:paraId="7FAF1F6B">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46627FC1">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14:paraId="2DC22577">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6E807BA8">
        <w:tblPrEx>
          <w:tblCellMar>
            <w:top w:w="0" w:type="dxa"/>
            <w:left w:w="108" w:type="dxa"/>
            <w:bottom w:w="0" w:type="dxa"/>
            <w:right w:w="108" w:type="dxa"/>
          </w:tblCellMar>
        </w:tblPrEx>
        <w:trPr>
          <w:trHeight w:val="57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6CD67923">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14:paraId="249A8F2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389" w:type="dxa"/>
            <w:tcBorders>
              <w:top w:val="nil"/>
              <w:left w:val="nil"/>
              <w:bottom w:val="single" w:color="auto" w:sz="4" w:space="0"/>
              <w:right w:val="single" w:color="auto" w:sz="4" w:space="0"/>
            </w:tcBorders>
            <w:vAlign w:val="center"/>
          </w:tcPr>
          <w:p w14:paraId="3FDA312C">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政府采购</w:t>
            </w:r>
          </w:p>
          <w:p w14:paraId="7CCA4438">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4171" w:type="dxa"/>
            <w:tcBorders>
              <w:top w:val="nil"/>
              <w:left w:val="nil"/>
              <w:bottom w:val="single" w:color="auto" w:sz="4" w:space="0"/>
              <w:right w:val="single" w:color="auto" w:sz="4" w:space="0"/>
            </w:tcBorders>
            <w:vAlign w:val="center"/>
          </w:tcPr>
          <w:p w14:paraId="29D7FBDD">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政府采购执行率等于100%的，得3分；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每减少一个百分点，扣0.2分，扣完为止。</w:t>
            </w:r>
          </w:p>
        </w:tc>
        <w:tc>
          <w:tcPr>
            <w:tcW w:w="619" w:type="dxa"/>
            <w:tcBorders>
              <w:top w:val="nil"/>
              <w:left w:val="nil"/>
              <w:bottom w:val="single" w:color="auto" w:sz="4" w:space="0"/>
              <w:right w:val="single" w:color="auto" w:sz="4" w:space="0"/>
            </w:tcBorders>
            <w:vAlign w:val="center"/>
          </w:tcPr>
          <w:p w14:paraId="5C962AC3">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4CA1293C">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14:paraId="73E06A4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290ACC60">
        <w:tblPrEx>
          <w:tblCellMar>
            <w:top w:w="0" w:type="dxa"/>
            <w:left w:w="108" w:type="dxa"/>
            <w:bottom w:w="0" w:type="dxa"/>
            <w:right w:w="108" w:type="dxa"/>
          </w:tblCellMar>
        </w:tblPrEx>
        <w:trPr>
          <w:trHeight w:val="63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3C5C7510">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062EFF5C">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15CF12D6">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4171" w:type="dxa"/>
            <w:tcBorders>
              <w:top w:val="nil"/>
              <w:left w:val="nil"/>
              <w:bottom w:val="single" w:color="auto" w:sz="4" w:space="0"/>
              <w:right w:val="single" w:color="auto" w:sz="4" w:space="0"/>
            </w:tcBorders>
            <w:vAlign w:val="center"/>
          </w:tcPr>
          <w:p w14:paraId="53D8583D">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公务卡刷卡率达50％以上的，得3分。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每减少一个百分点，扣0.2分，扣完为止。                                            </w:t>
            </w:r>
          </w:p>
        </w:tc>
        <w:tc>
          <w:tcPr>
            <w:tcW w:w="619" w:type="dxa"/>
            <w:tcBorders>
              <w:top w:val="nil"/>
              <w:left w:val="nil"/>
              <w:bottom w:val="single" w:color="auto" w:sz="4" w:space="0"/>
              <w:right w:val="single" w:color="auto" w:sz="4" w:space="0"/>
            </w:tcBorders>
            <w:vAlign w:val="center"/>
          </w:tcPr>
          <w:p w14:paraId="268A7E8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7F6F5145">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14:paraId="66A89023">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1178A241">
        <w:tblPrEx>
          <w:tblCellMar>
            <w:top w:w="0" w:type="dxa"/>
            <w:left w:w="108" w:type="dxa"/>
            <w:bottom w:w="0" w:type="dxa"/>
            <w:right w:w="108" w:type="dxa"/>
          </w:tblCellMar>
        </w:tblPrEx>
        <w:trPr>
          <w:trHeight w:val="735"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5B10D89C">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tcBorders>
              <w:top w:val="nil"/>
              <w:left w:val="single" w:color="auto" w:sz="4" w:space="0"/>
              <w:bottom w:val="single" w:color="auto" w:sz="4" w:space="0"/>
              <w:right w:val="single" w:color="auto" w:sz="4" w:space="0"/>
            </w:tcBorders>
            <w:vAlign w:val="center"/>
          </w:tcPr>
          <w:p w14:paraId="06B9CCFE">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nil"/>
              <w:left w:val="nil"/>
              <w:bottom w:val="single" w:color="auto" w:sz="4" w:space="0"/>
              <w:right w:val="single" w:color="auto" w:sz="4" w:space="0"/>
            </w:tcBorders>
            <w:vAlign w:val="center"/>
          </w:tcPr>
          <w:p w14:paraId="4C1F18C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14:paraId="157B1421">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①已制定或具有资产管理制度，且相关资产管理制度合法、合规、完整，2分；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②相关资产管理制度得到有效执行，1分。                                           </w:t>
            </w:r>
          </w:p>
        </w:tc>
        <w:tc>
          <w:tcPr>
            <w:tcW w:w="619" w:type="dxa"/>
            <w:tcBorders>
              <w:top w:val="nil"/>
              <w:left w:val="nil"/>
              <w:bottom w:val="single" w:color="auto" w:sz="4" w:space="0"/>
              <w:right w:val="single" w:color="auto" w:sz="4" w:space="0"/>
            </w:tcBorders>
            <w:vAlign w:val="center"/>
          </w:tcPr>
          <w:p w14:paraId="3B09FB0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5FF25E43">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14:paraId="49D7C07A">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bl>
    <w:p w14:paraId="4677DCEE"/>
    <w:tbl>
      <w:tblPr>
        <w:tblStyle w:val="3"/>
        <w:tblW w:w="0" w:type="auto"/>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14:paraId="46153A42">
        <w:tblPrEx>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vAlign w:val="center"/>
          </w:tcPr>
          <w:p w14:paraId="3A20606F">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single" w:color="auto" w:sz="4" w:space="0"/>
              <w:bottom w:val="single" w:color="auto" w:sz="4" w:space="0"/>
              <w:right w:val="single" w:color="auto" w:sz="4" w:space="0"/>
            </w:tcBorders>
            <w:vAlign w:val="center"/>
          </w:tcPr>
          <w:p w14:paraId="0CE56224">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vAlign w:val="center"/>
          </w:tcPr>
          <w:p w14:paraId="0BA0E098">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vAlign w:val="center"/>
          </w:tcPr>
          <w:p w14:paraId="2CD0495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vAlign w:val="center"/>
          </w:tcPr>
          <w:p w14:paraId="2F49FFD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14:paraId="2C2D84EB">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2997E65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14:paraId="74FBD64D">
        <w:tblPrEx>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vAlign w:val="center"/>
          </w:tcPr>
          <w:p w14:paraId="6F481CE7">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过  程</w:t>
            </w:r>
          </w:p>
          <w:p w14:paraId="6887211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single" w:color="auto" w:sz="4" w:space="0"/>
              <w:left w:val="single" w:color="auto" w:sz="4" w:space="0"/>
              <w:bottom w:val="single" w:color="auto" w:sz="4" w:space="0"/>
              <w:right w:val="single" w:color="auto" w:sz="4" w:space="0"/>
            </w:tcBorders>
            <w:vAlign w:val="center"/>
          </w:tcPr>
          <w:p w14:paraId="6C74168B">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single" w:color="auto" w:sz="4" w:space="0"/>
              <w:left w:val="nil"/>
              <w:bottom w:val="single" w:color="auto" w:sz="4" w:space="0"/>
              <w:right w:val="single" w:color="auto" w:sz="4" w:space="0"/>
            </w:tcBorders>
            <w:vAlign w:val="center"/>
          </w:tcPr>
          <w:p w14:paraId="471894D3">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vAlign w:val="center"/>
          </w:tcPr>
          <w:p w14:paraId="106D0218">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①资产保存完整；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②资产配置合理；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③资产处置规范； </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④资产账务管理合规，帐实相符；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⑤资产有偿使用及处置收入及时足额上缴；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以上情况每出现一例不符合有关要求的扣1分，扣完为止。</w:t>
            </w:r>
          </w:p>
        </w:tc>
        <w:tc>
          <w:tcPr>
            <w:tcW w:w="619" w:type="dxa"/>
            <w:tcBorders>
              <w:top w:val="single" w:color="auto" w:sz="4" w:space="0"/>
              <w:left w:val="nil"/>
              <w:bottom w:val="single" w:color="auto" w:sz="4" w:space="0"/>
              <w:right w:val="single" w:color="auto" w:sz="4" w:space="0"/>
            </w:tcBorders>
            <w:vAlign w:val="center"/>
          </w:tcPr>
          <w:p w14:paraId="16FDDB4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vAlign w:val="center"/>
          </w:tcPr>
          <w:p w14:paraId="0BFCADDF">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3.5</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50B73188">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012FF9A6">
        <w:tblPrEx>
          <w:tblCellMar>
            <w:top w:w="0" w:type="dxa"/>
            <w:left w:w="108" w:type="dxa"/>
            <w:bottom w:w="0" w:type="dxa"/>
            <w:right w:w="108" w:type="dxa"/>
          </w:tblCellMar>
        </w:tblPrEx>
        <w:trPr>
          <w:trHeight w:val="774" w:hRule="atLeast"/>
          <w:jc w:val="center"/>
        </w:trPr>
        <w:tc>
          <w:tcPr>
            <w:tcW w:w="976" w:type="dxa"/>
            <w:vMerge w:val="continue"/>
            <w:tcBorders>
              <w:top w:val="single" w:color="auto" w:sz="4" w:space="0"/>
              <w:left w:val="single" w:color="auto" w:sz="4" w:space="0"/>
              <w:bottom w:val="single" w:color="auto" w:sz="4" w:space="0"/>
              <w:right w:val="single" w:color="auto" w:sz="4" w:space="0"/>
            </w:tcBorders>
            <w:vAlign w:val="center"/>
          </w:tcPr>
          <w:p w14:paraId="46E608DB">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single" w:color="auto" w:sz="4" w:space="0"/>
              <w:left w:val="single" w:color="auto" w:sz="4" w:space="0"/>
              <w:bottom w:val="single" w:color="auto" w:sz="4" w:space="0"/>
              <w:right w:val="single" w:color="auto" w:sz="4" w:space="0"/>
            </w:tcBorders>
            <w:vAlign w:val="center"/>
          </w:tcPr>
          <w:p w14:paraId="526A9B35">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56D864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固定资产</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vAlign w:val="center"/>
          </w:tcPr>
          <w:p w14:paraId="7547283F">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每低于100%一个百分点扣0.1分，扣完为止。</w:t>
            </w:r>
          </w:p>
        </w:tc>
        <w:tc>
          <w:tcPr>
            <w:tcW w:w="619" w:type="dxa"/>
            <w:tcBorders>
              <w:top w:val="nil"/>
              <w:left w:val="nil"/>
              <w:bottom w:val="single" w:color="auto" w:sz="4" w:space="0"/>
              <w:right w:val="single" w:color="auto" w:sz="4" w:space="0"/>
            </w:tcBorders>
            <w:vAlign w:val="center"/>
          </w:tcPr>
          <w:p w14:paraId="4FE704E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10A68167">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14:paraId="269DA445">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1A500BF8">
        <w:tblPrEx>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2208F0E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产  出（25分）</w:t>
            </w:r>
          </w:p>
        </w:tc>
        <w:tc>
          <w:tcPr>
            <w:tcW w:w="939" w:type="dxa"/>
            <w:vMerge w:val="restart"/>
            <w:tcBorders>
              <w:top w:val="nil"/>
              <w:left w:val="single" w:color="auto" w:sz="4" w:space="0"/>
              <w:bottom w:val="single" w:color="auto" w:sz="4" w:space="0"/>
              <w:right w:val="single" w:color="auto" w:sz="4" w:space="0"/>
            </w:tcBorders>
            <w:vAlign w:val="center"/>
          </w:tcPr>
          <w:p w14:paraId="7E75C137">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职责履行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（25分）</w:t>
            </w:r>
          </w:p>
        </w:tc>
        <w:tc>
          <w:tcPr>
            <w:tcW w:w="1389" w:type="dxa"/>
            <w:tcBorders>
              <w:top w:val="nil"/>
              <w:left w:val="nil"/>
              <w:bottom w:val="single" w:color="auto" w:sz="4" w:space="0"/>
              <w:right w:val="single" w:color="auto" w:sz="4" w:space="0"/>
            </w:tcBorders>
            <w:vAlign w:val="center"/>
          </w:tcPr>
          <w:p w14:paraId="1A3AEA3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推进高质量发展目标完成情况</w:t>
            </w:r>
          </w:p>
        </w:tc>
        <w:tc>
          <w:tcPr>
            <w:tcW w:w="4171" w:type="dxa"/>
            <w:vMerge w:val="restart"/>
            <w:tcBorders>
              <w:top w:val="nil"/>
              <w:left w:val="single" w:color="auto" w:sz="4" w:space="0"/>
              <w:bottom w:val="single" w:color="auto" w:sz="4" w:space="0"/>
              <w:right w:val="single" w:color="auto" w:sz="4" w:space="0"/>
            </w:tcBorders>
            <w:vAlign w:val="center"/>
          </w:tcPr>
          <w:p w14:paraId="204AD775">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根据县考办法【</w:t>
            </w:r>
            <w:r>
              <w:rPr>
                <w:rFonts w:hint="eastAsia" w:ascii="仿宋_GB2312" w:hAnsi="宋体" w:eastAsia="仿宋_GB2312" w:cs="宋体"/>
                <w:kern w:val="0"/>
                <w:sz w:val="18"/>
                <w:szCs w:val="18"/>
                <w:lang w:eastAsia="zh-CN"/>
              </w:rPr>
              <w:t>2023</w:t>
            </w:r>
            <w:r>
              <w:rPr>
                <w:rFonts w:hint="eastAsia" w:ascii="仿宋_GB2312" w:hAnsi="宋体" w:eastAsia="仿宋_GB2312" w:cs="宋体"/>
                <w:kern w:val="0"/>
                <w:sz w:val="18"/>
                <w:szCs w:val="18"/>
              </w:rPr>
              <w:t>】2号中共岳阳县委考核工作领导小组办公室《</w:t>
            </w:r>
            <w:r>
              <w:rPr>
                <w:rFonts w:hint="eastAsia" w:ascii="仿宋_GB2312" w:hAnsi="宋体" w:eastAsia="仿宋_GB2312" w:cs="宋体"/>
                <w:kern w:val="0"/>
                <w:sz w:val="18"/>
                <w:szCs w:val="18"/>
                <w:lang w:eastAsia="zh-CN"/>
              </w:rPr>
              <w:t>2023</w:t>
            </w:r>
            <w:r>
              <w:rPr>
                <w:rFonts w:hint="eastAsia" w:ascii="仿宋_GB2312" w:hAnsi="宋体" w:eastAsia="仿宋_GB2312" w:cs="宋体"/>
                <w:kern w:val="0"/>
                <w:sz w:val="18"/>
                <w:szCs w:val="18"/>
              </w:rPr>
              <w:t>年度县直单位绩效考核实施细则》的通知考核折算</w:t>
            </w:r>
          </w:p>
          <w:p w14:paraId="563DCCA2">
            <w:pPr>
              <w:keepNext w:val="0"/>
              <w:keepLines w:val="0"/>
              <w:suppressLineNumbers w:val="0"/>
              <w:spacing w:before="0" w:beforeAutospacing="0" w:after="0" w:afterAutospacing="0"/>
              <w:ind w:left="0" w:right="0"/>
              <w:rPr>
                <w:rFonts w:hint="default" w:ascii="仿宋_GB2312" w:hAnsi="宋体" w:eastAsia="仿宋_GB2312" w:cs="宋体"/>
                <w:sz w:val="18"/>
                <w:szCs w:val="18"/>
              </w:rPr>
            </w:pPr>
          </w:p>
          <w:p w14:paraId="56DF2A5B">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color w:val="000000" w:themeColor="text1"/>
                <w:kern w:val="0"/>
                <w:sz w:val="18"/>
                <w:szCs w:val="18"/>
                <w14:textFill>
                  <w14:solidFill>
                    <w14:schemeClr w14:val="tx1"/>
                  </w14:solidFill>
                </w14:textFill>
              </w:rPr>
            </w:pPr>
          </w:p>
        </w:tc>
        <w:tc>
          <w:tcPr>
            <w:tcW w:w="619" w:type="dxa"/>
            <w:tcBorders>
              <w:top w:val="nil"/>
              <w:left w:val="nil"/>
              <w:bottom w:val="single" w:color="auto" w:sz="4" w:space="0"/>
              <w:right w:val="single" w:color="auto" w:sz="4" w:space="0"/>
            </w:tcBorders>
            <w:vAlign w:val="center"/>
          </w:tcPr>
          <w:p w14:paraId="6B050FAE">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14:paraId="4362DDEE">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4.5</w:t>
            </w:r>
          </w:p>
        </w:tc>
        <w:tc>
          <w:tcPr>
            <w:tcW w:w="1080" w:type="dxa"/>
            <w:tcBorders>
              <w:top w:val="nil"/>
              <w:left w:val="nil"/>
              <w:bottom w:val="single" w:color="auto" w:sz="4" w:space="0"/>
              <w:right w:val="single" w:color="auto" w:sz="4" w:space="0"/>
            </w:tcBorders>
            <w:shd w:val="clear" w:color="auto" w:fill="FFFFFF"/>
            <w:vAlign w:val="center"/>
          </w:tcPr>
          <w:p w14:paraId="22FFBB1F">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4BB34D0A">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75E5E7E3">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2DA38D63">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521137A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default" w:ascii="仿宋_GB2312" w:hAnsi="宋体" w:eastAsia="仿宋_GB2312" w:cs="宋体"/>
                <w:kern w:val="0"/>
                <w:sz w:val="18"/>
                <w:szCs w:val="18"/>
              </w:rPr>
              <w:t>“</w:t>
            </w:r>
            <w:r>
              <w:rPr>
                <w:rFonts w:hint="eastAsia" w:ascii="仿宋_GB2312" w:hAnsi="宋体" w:eastAsia="仿宋_GB2312" w:cs="宋体"/>
                <w:kern w:val="0"/>
                <w:sz w:val="18"/>
                <w:szCs w:val="18"/>
              </w:rPr>
              <w:t>四区</w:t>
            </w:r>
            <w:r>
              <w:rPr>
                <w:rFonts w:hint="default" w:ascii="仿宋_GB2312" w:hAnsi="宋体" w:eastAsia="仿宋_GB2312" w:cs="宋体"/>
                <w:kern w:val="0"/>
                <w:sz w:val="18"/>
                <w:szCs w:val="18"/>
              </w:rPr>
              <w:t>”</w:t>
            </w:r>
            <w:r>
              <w:rPr>
                <w:rFonts w:hint="eastAsia" w:ascii="仿宋_GB2312" w:hAnsi="宋体" w:eastAsia="仿宋_GB2312" w:cs="宋体"/>
                <w:kern w:val="0"/>
                <w:sz w:val="18"/>
                <w:szCs w:val="18"/>
              </w:rPr>
              <w:t>建设目标任务完成情况</w:t>
            </w:r>
          </w:p>
        </w:tc>
        <w:tc>
          <w:tcPr>
            <w:tcW w:w="4171" w:type="dxa"/>
            <w:vMerge w:val="continue"/>
            <w:tcBorders>
              <w:top w:val="nil"/>
              <w:left w:val="single" w:color="auto" w:sz="4" w:space="0"/>
              <w:bottom w:val="single" w:color="auto" w:sz="4" w:space="0"/>
              <w:right w:val="single" w:color="auto" w:sz="4" w:space="0"/>
            </w:tcBorders>
            <w:vAlign w:val="center"/>
          </w:tcPr>
          <w:p w14:paraId="3C0D2AF9">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70EA5217">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vAlign w:val="center"/>
          </w:tcPr>
          <w:p w14:paraId="77099CE3">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6</w:t>
            </w:r>
          </w:p>
        </w:tc>
        <w:tc>
          <w:tcPr>
            <w:tcW w:w="1080" w:type="dxa"/>
            <w:tcBorders>
              <w:top w:val="nil"/>
              <w:left w:val="nil"/>
              <w:bottom w:val="single" w:color="auto" w:sz="4" w:space="0"/>
              <w:right w:val="single" w:color="auto" w:sz="4" w:space="0"/>
            </w:tcBorders>
            <w:shd w:val="clear" w:color="auto" w:fill="FFFFFF"/>
            <w:vAlign w:val="center"/>
          </w:tcPr>
          <w:p w14:paraId="1015334C">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626C242D">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1F7B1B48">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AF0CEC7">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390BA1C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vAlign w:val="center"/>
          </w:tcPr>
          <w:p w14:paraId="4FFFA855">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795F4156">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14:paraId="563DC364">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14:paraId="64A4D825">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63B0D06B">
        <w:tblPrEx>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431171DD">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7AC78424">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1A5012CC">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省市县重点民生实事完成情况</w:t>
            </w:r>
          </w:p>
        </w:tc>
        <w:tc>
          <w:tcPr>
            <w:tcW w:w="4171" w:type="dxa"/>
            <w:vMerge w:val="continue"/>
            <w:tcBorders>
              <w:top w:val="nil"/>
              <w:left w:val="single" w:color="auto" w:sz="4" w:space="0"/>
              <w:bottom w:val="single" w:color="auto" w:sz="4" w:space="0"/>
              <w:right w:val="single" w:color="auto" w:sz="4" w:space="0"/>
            </w:tcBorders>
            <w:vAlign w:val="center"/>
          </w:tcPr>
          <w:p w14:paraId="1908DC16">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6AB6075C">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14:paraId="4F8F54CA">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14:paraId="267E7A8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24696D8F">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018EECE3">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6E250121">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5D0D6E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省市县重点工程和重大项目建设完成情况</w:t>
            </w:r>
          </w:p>
        </w:tc>
        <w:tc>
          <w:tcPr>
            <w:tcW w:w="4171" w:type="dxa"/>
            <w:vMerge w:val="continue"/>
            <w:tcBorders>
              <w:top w:val="nil"/>
              <w:left w:val="single" w:color="auto" w:sz="4" w:space="0"/>
              <w:bottom w:val="single" w:color="auto" w:sz="4" w:space="0"/>
              <w:right w:val="single" w:color="auto" w:sz="4" w:space="0"/>
            </w:tcBorders>
            <w:vAlign w:val="center"/>
          </w:tcPr>
          <w:p w14:paraId="46F9C206">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0F125F2C">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14:paraId="11F2C3AD">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14:paraId="5B653D15">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77245192">
        <w:tblPrEx>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6F4C3660">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1842928F">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4C453124">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vAlign w:val="center"/>
          </w:tcPr>
          <w:p w14:paraId="7EF41DAD">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64AB8B9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vAlign w:val="center"/>
          </w:tcPr>
          <w:p w14:paraId="39EC0BF7">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3.5</w:t>
            </w:r>
          </w:p>
        </w:tc>
        <w:tc>
          <w:tcPr>
            <w:tcW w:w="1080" w:type="dxa"/>
            <w:tcBorders>
              <w:top w:val="nil"/>
              <w:left w:val="nil"/>
              <w:bottom w:val="single" w:color="auto" w:sz="4" w:space="0"/>
              <w:right w:val="single" w:color="auto" w:sz="4" w:space="0"/>
            </w:tcBorders>
            <w:shd w:val="clear" w:color="auto" w:fill="FFFFFF"/>
            <w:vAlign w:val="center"/>
          </w:tcPr>
          <w:p w14:paraId="766F87A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6B03B312">
        <w:tblPrEx>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04926D2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效  果</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939" w:type="dxa"/>
            <w:vMerge w:val="restart"/>
            <w:tcBorders>
              <w:top w:val="nil"/>
              <w:left w:val="single" w:color="auto" w:sz="4" w:space="0"/>
              <w:bottom w:val="single" w:color="auto" w:sz="4" w:space="0"/>
              <w:right w:val="single" w:color="auto" w:sz="4" w:space="0"/>
            </w:tcBorders>
            <w:vAlign w:val="center"/>
          </w:tcPr>
          <w:p w14:paraId="7B0DF985">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履职效益</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1389" w:type="dxa"/>
            <w:tcBorders>
              <w:top w:val="nil"/>
              <w:left w:val="nil"/>
              <w:bottom w:val="single" w:color="auto" w:sz="4" w:space="0"/>
              <w:right w:val="single" w:color="auto" w:sz="4" w:space="0"/>
            </w:tcBorders>
            <w:vAlign w:val="center"/>
          </w:tcPr>
          <w:p w14:paraId="2653D78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vAlign w:val="center"/>
          </w:tcPr>
          <w:p w14:paraId="59D70BFF">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p>
        </w:tc>
        <w:tc>
          <w:tcPr>
            <w:tcW w:w="619" w:type="dxa"/>
            <w:vMerge w:val="restart"/>
            <w:tcBorders>
              <w:top w:val="nil"/>
              <w:left w:val="single" w:color="auto" w:sz="4" w:space="0"/>
              <w:bottom w:val="single" w:color="auto" w:sz="4" w:space="0"/>
              <w:right w:val="single" w:color="auto" w:sz="4" w:space="0"/>
            </w:tcBorders>
            <w:vAlign w:val="center"/>
          </w:tcPr>
          <w:p w14:paraId="3A5A13C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vAlign w:val="center"/>
          </w:tcPr>
          <w:p w14:paraId="6A425A0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4.5</w:t>
            </w:r>
          </w:p>
        </w:tc>
        <w:tc>
          <w:tcPr>
            <w:tcW w:w="1080" w:type="dxa"/>
            <w:tcBorders>
              <w:top w:val="nil"/>
              <w:left w:val="nil"/>
              <w:bottom w:val="single" w:color="auto" w:sz="4" w:space="0"/>
              <w:right w:val="single" w:color="auto" w:sz="4" w:space="0"/>
            </w:tcBorders>
            <w:shd w:val="clear" w:color="auto" w:fill="FFFFFF"/>
            <w:vAlign w:val="center"/>
          </w:tcPr>
          <w:p w14:paraId="70F9E35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4B7C2956">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7A3F07D0">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713E59C0">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0346A6C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vAlign w:val="center"/>
          </w:tcPr>
          <w:p w14:paraId="199BAF4C">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14:paraId="2260CF41">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14:paraId="79C0900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4.5</w:t>
            </w:r>
          </w:p>
        </w:tc>
        <w:tc>
          <w:tcPr>
            <w:tcW w:w="1080" w:type="dxa"/>
            <w:tcBorders>
              <w:top w:val="nil"/>
              <w:left w:val="nil"/>
              <w:bottom w:val="single" w:color="auto" w:sz="4" w:space="0"/>
              <w:right w:val="single" w:color="auto" w:sz="4" w:space="0"/>
            </w:tcBorders>
            <w:shd w:val="clear" w:color="auto" w:fill="FFFFFF"/>
            <w:vAlign w:val="center"/>
          </w:tcPr>
          <w:p w14:paraId="7D67AD3B">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1D4295FA">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1F733462">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FAFBC5E">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61DF6674">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vAlign w:val="center"/>
          </w:tcPr>
          <w:p w14:paraId="0BDC6706">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14:paraId="35D3325A">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14:paraId="34798C2B">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14:paraId="2107B517">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5B72B561">
        <w:tblPrEx>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484E05EB">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4358B83">
            <w:pPr>
              <w:keepNext w:val="0"/>
              <w:keepLines w:val="0"/>
              <w:widowControl/>
              <w:suppressLineNumbers w:val="0"/>
              <w:spacing w:before="0" w:beforeAutospacing="0" w:after="0" w:afterAutospacing="0"/>
              <w:ind w:left="0" w:right="0"/>
              <w:jc w:val="left"/>
              <w:rPr>
                <w:rFonts w:hint="default"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5294AAAA">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vAlign w:val="center"/>
          </w:tcPr>
          <w:p w14:paraId="759E47E8">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95%（含）以上计5分；</w:t>
            </w:r>
          </w:p>
          <w:p w14:paraId="57F5FAC0">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85%（含）-95%，计3分；</w:t>
            </w:r>
          </w:p>
          <w:p w14:paraId="0286816F">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75%（含）-85%，计1分；</w:t>
            </w:r>
          </w:p>
          <w:p w14:paraId="065C896B">
            <w:pPr>
              <w:keepNext w:val="0"/>
              <w:keepLines w:val="0"/>
              <w:widowControl/>
              <w:suppressLineNumbers w:val="0"/>
              <w:spacing w:before="0" w:beforeAutospacing="0" w:after="0" w:afterAutospacing="0" w:line="240" w:lineRule="exact"/>
              <w:ind w:left="0" w:right="0"/>
              <w:jc w:val="left"/>
              <w:rPr>
                <w:rFonts w:hint="default" w:ascii="仿宋_GB2312" w:hAnsi="宋体" w:eastAsia="仿宋_GB2312" w:cs="宋体"/>
                <w:kern w:val="0"/>
                <w:sz w:val="18"/>
                <w:szCs w:val="18"/>
              </w:rPr>
            </w:pPr>
            <w:r>
              <w:rPr>
                <w:rFonts w:hint="eastAsia" w:ascii="仿宋_GB2312" w:hAnsi="宋体" w:eastAsia="仿宋_GB2312" w:cs="宋体"/>
                <w:kern w:val="0"/>
                <w:sz w:val="18"/>
                <w:szCs w:val="18"/>
              </w:rPr>
              <w:t>低于75%计0分。</w:t>
            </w:r>
          </w:p>
        </w:tc>
        <w:tc>
          <w:tcPr>
            <w:tcW w:w="619" w:type="dxa"/>
            <w:tcBorders>
              <w:top w:val="nil"/>
              <w:left w:val="nil"/>
              <w:bottom w:val="single" w:color="auto" w:sz="4" w:space="0"/>
              <w:right w:val="single" w:color="auto" w:sz="4" w:space="0"/>
            </w:tcBorders>
            <w:vAlign w:val="center"/>
          </w:tcPr>
          <w:p w14:paraId="0933E11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6A37C8E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14:paraId="218A5761">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kern w:val="0"/>
                <w:sz w:val="18"/>
                <w:szCs w:val="18"/>
              </w:rPr>
            </w:pPr>
          </w:p>
        </w:tc>
      </w:tr>
      <w:tr w14:paraId="6A5DBA04">
        <w:tblPrEx>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vAlign w:val="center"/>
          </w:tcPr>
          <w:p w14:paraId="28FF590E">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r>
              <w:rPr>
                <w:rFonts w:hint="eastAsia" w:ascii="仿宋_GB2312" w:hAnsi="宋体" w:eastAsia="仿宋_GB2312" w:cs="宋体"/>
                <w:b/>
                <w:bCs/>
                <w:kern w:val="0"/>
                <w:sz w:val="18"/>
                <w:szCs w:val="18"/>
              </w:rPr>
              <w:t>总 分</w:t>
            </w:r>
          </w:p>
        </w:tc>
        <w:tc>
          <w:tcPr>
            <w:tcW w:w="939" w:type="dxa"/>
            <w:tcBorders>
              <w:top w:val="nil"/>
              <w:left w:val="nil"/>
              <w:bottom w:val="single" w:color="auto" w:sz="4" w:space="0"/>
              <w:right w:val="single" w:color="auto" w:sz="4" w:space="0"/>
            </w:tcBorders>
            <w:vAlign w:val="center"/>
          </w:tcPr>
          <w:p w14:paraId="27B5971D">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vAlign w:val="center"/>
          </w:tcPr>
          <w:p w14:paraId="749A2AE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vAlign w:val="center"/>
          </w:tcPr>
          <w:p w14:paraId="1095455F">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vAlign w:val="center"/>
          </w:tcPr>
          <w:p w14:paraId="2C625B02">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spacing w:val="-8"/>
                <w:kern w:val="0"/>
                <w:sz w:val="18"/>
                <w:szCs w:val="18"/>
              </w:rPr>
            </w:pPr>
            <w:r>
              <w:rPr>
                <w:rFonts w:hint="eastAsia"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vAlign w:val="center"/>
          </w:tcPr>
          <w:p w14:paraId="5A81DEA0">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lang w:val="en-US" w:eastAsia="zh-CN"/>
              </w:rPr>
            </w:pPr>
            <w:r>
              <w:rPr>
                <w:rFonts w:hint="eastAsia" w:ascii="仿宋_GB2312" w:hAnsi="宋体" w:eastAsia="仿宋_GB2312" w:cs="宋体"/>
                <w:b/>
                <w:bCs/>
                <w:kern w:val="0"/>
                <w:sz w:val="18"/>
                <w:szCs w:val="18"/>
                <w:lang w:val="en-US" w:eastAsia="zh-CN"/>
              </w:rPr>
              <w:t>95.5</w:t>
            </w:r>
          </w:p>
        </w:tc>
        <w:tc>
          <w:tcPr>
            <w:tcW w:w="1080" w:type="dxa"/>
            <w:tcBorders>
              <w:top w:val="nil"/>
              <w:left w:val="nil"/>
              <w:bottom w:val="single" w:color="auto" w:sz="4" w:space="0"/>
              <w:right w:val="single" w:color="auto" w:sz="4" w:space="0"/>
            </w:tcBorders>
            <w:vAlign w:val="center"/>
          </w:tcPr>
          <w:p w14:paraId="64174A89">
            <w:pPr>
              <w:keepNext w:val="0"/>
              <w:keepLines w:val="0"/>
              <w:widowControl/>
              <w:suppressLineNumbers w:val="0"/>
              <w:spacing w:before="0" w:beforeAutospacing="0" w:after="0" w:afterAutospacing="0" w:line="240" w:lineRule="exact"/>
              <w:ind w:left="0" w:right="0"/>
              <w:jc w:val="center"/>
              <w:rPr>
                <w:rFonts w:hint="default" w:ascii="仿宋_GB2312" w:hAnsi="宋体" w:eastAsia="仿宋_GB2312" w:cs="宋体"/>
                <w:b/>
                <w:bCs/>
                <w:kern w:val="0"/>
                <w:sz w:val="18"/>
                <w:szCs w:val="18"/>
              </w:rPr>
            </w:pPr>
          </w:p>
        </w:tc>
      </w:tr>
    </w:tbl>
    <w:p w14:paraId="29062C99">
      <w:pPr>
        <w:spacing w:beforeLines="50"/>
        <w:rPr>
          <w:rFonts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备注：如部门（单位）根据本部门实际情况修改调整了附件3《部门整体支出绩效评价指标体系（参考样表）》，须相应修改调整本表中的对应部分。</w:t>
      </w:r>
    </w:p>
    <w:p w14:paraId="10FE4308">
      <w:pPr>
        <w:spacing w:beforeLines="50"/>
        <w:rPr>
          <w:rFonts w:ascii="黑体" w:hAnsi="黑体" w:eastAsia="黑体"/>
          <w:sz w:val="32"/>
          <w:szCs w:val="32"/>
        </w:rPr>
      </w:pPr>
    </w:p>
    <w:p w14:paraId="714C92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18E4A"/>
    <w:multiLevelType w:val="singleLevel"/>
    <w:tmpl w:val="AD318E4A"/>
    <w:lvl w:ilvl="0" w:tentative="0">
      <w:start w:val="1"/>
      <w:numFmt w:val="chineseCounting"/>
      <w:suff w:val="nothing"/>
      <w:lvlText w:val="（%1）"/>
      <w:lvlJc w:val="left"/>
      <w:pPr>
        <w:ind w:left="1120" w:leftChars="0" w:firstLine="0" w:firstLineChars="0"/>
      </w:pPr>
      <w:rPr>
        <w:rFonts w:hint="eastAsia"/>
      </w:rPr>
    </w:lvl>
  </w:abstractNum>
  <w:abstractNum w:abstractNumId="1">
    <w:nsid w:val="FC4556BD"/>
    <w:multiLevelType w:val="singleLevel"/>
    <w:tmpl w:val="FC4556BD"/>
    <w:lvl w:ilvl="0" w:tentative="0">
      <w:start w:val="2"/>
      <w:numFmt w:val="chineseCounting"/>
      <w:suff w:val="nothing"/>
      <w:lvlText w:val="%1、"/>
      <w:lvlJc w:val="left"/>
      <w:rPr>
        <w:rFonts w:hint="eastAsia"/>
      </w:rPr>
    </w:lvl>
  </w:abstractNum>
  <w:abstractNum w:abstractNumId="2">
    <w:nsid w:val="7E75D889"/>
    <w:multiLevelType w:val="singleLevel"/>
    <w:tmpl w:val="7E75D889"/>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NmJjNWFiOWEyZTFlZDI0N2IxYmY4YjEwZjMyNjYifQ=="/>
  </w:docVars>
  <w:rsids>
    <w:rsidRoot w:val="62790FE9"/>
    <w:rsid w:val="02117FFD"/>
    <w:rsid w:val="06686492"/>
    <w:rsid w:val="09B24440"/>
    <w:rsid w:val="0EAC4429"/>
    <w:rsid w:val="1E78741C"/>
    <w:rsid w:val="24D2717B"/>
    <w:rsid w:val="2DBD61AD"/>
    <w:rsid w:val="2FF47A67"/>
    <w:rsid w:val="36607880"/>
    <w:rsid w:val="382256B7"/>
    <w:rsid w:val="3FBC263E"/>
    <w:rsid w:val="4E0E7A8B"/>
    <w:rsid w:val="505310D3"/>
    <w:rsid w:val="51162E9B"/>
    <w:rsid w:val="5217416F"/>
    <w:rsid w:val="53007A98"/>
    <w:rsid w:val="551058E6"/>
    <w:rsid w:val="57D17874"/>
    <w:rsid w:val="59674B64"/>
    <w:rsid w:val="5F6B37BB"/>
    <w:rsid w:val="5F9F2119"/>
    <w:rsid w:val="5FDF267D"/>
    <w:rsid w:val="605367DB"/>
    <w:rsid w:val="61C81BEB"/>
    <w:rsid w:val="62790FE9"/>
    <w:rsid w:val="7B804E6A"/>
    <w:rsid w:val="7DA33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5516</Words>
  <Characters>6033</Characters>
  <Lines>0</Lines>
  <Paragraphs>0</Paragraphs>
  <TotalTime>17</TotalTime>
  <ScaleCrop>false</ScaleCrop>
  <LinksUpToDate>false</LinksUpToDate>
  <CharactersWithSpaces>7121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2022-08-28T02:55:00Z</dcterms:created>
  <dc:creator>花开灿烂</dc:creator>
  <cp:lastModifiedBy>lhy</cp:lastModifiedBy>
  <dcterms:modified xsi:type="dcterms:W3CDTF">2024-10-09T07:22:57Z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F76195F49AE846CE8E989DCC1CECA660</vt:lpwstr>
  </property>
</Properties>
</file>