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FF490F">
      <w:pPr>
        <w:ind w:firstLine="883"/>
        <w:jc w:val="center"/>
        <w:rPr>
          <w:rFonts w:ascii="方正小标宋简体" w:hAnsi="Times New Roman" w:eastAsia="方正小标宋简体" w:cs="Times New Roman"/>
          <w:sz w:val="44"/>
          <w:szCs w:val="44"/>
          <w:lang w:eastAsia="zh-CN"/>
        </w:rPr>
      </w:pPr>
    </w:p>
    <w:p w14:paraId="18B4D0D8">
      <w:pPr>
        <w:ind w:firstLine="883"/>
        <w:jc w:val="both"/>
        <w:rPr>
          <w:rFonts w:ascii="方正小标宋简体" w:hAnsi="Times New Roman" w:eastAsia="方正小标宋简体" w:cs="Times New Roman"/>
          <w:sz w:val="44"/>
          <w:szCs w:val="44"/>
          <w:lang w:eastAsia="zh-CN"/>
        </w:rPr>
      </w:pPr>
    </w:p>
    <w:p w14:paraId="1DABFF93">
      <w:pPr>
        <w:ind w:firstLine="883"/>
        <w:jc w:val="center"/>
        <w:rPr>
          <w:rFonts w:ascii="方正小标宋简体" w:hAnsi="Times New Roman" w:eastAsia="方正小标宋简体" w:cs="Times New Roman"/>
          <w:sz w:val="44"/>
          <w:szCs w:val="44"/>
          <w:lang w:eastAsia="zh-CN"/>
        </w:rPr>
      </w:pPr>
      <w:r>
        <w:rPr>
          <w:rFonts w:ascii="方正小标宋简体" w:eastAsia="方正小标宋简体" w:cs="方正小标宋简体"/>
          <w:sz w:val="44"/>
          <w:szCs w:val="44"/>
          <w:lang w:eastAsia="zh-CN"/>
        </w:rPr>
        <w:t>202</w:t>
      </w:r>
      <w:r>
        <w:rPr>
          <w:rFonts w:hint="eastAsia" w:ascii="方正小标宋简体" w:eastAsia="方正小标宋简体" w:cs="方正小标宋简体"/>
          <w:sz w:val="44"/>
          <w:szCs w:val="44"/>
          <w:lang w:eastAsia="zh-CN"/>
        </w:rPr>
        <w:t>4</w:t>
      </w:r>
      <w:r>
        <w:rPr>
          <w:rFonts w:hint="eastAsia" w:ascii="方正小标宋简体" w:hAnsi="宋体" w:eastAsia="方正小标宋简体" w:cs="方正小标宋简体"/>
          <w:sz w:val="44"/>
          <w:szCs w:val="44"/>
          <w:lang w:eastAsia="zh-CN"/>
        </w:rPr>
        <w:t>年度</w:t>
      </w:r>
      <w:r>
        <w:rPr>
          <w:rFonts w:hint="eastAsia" w:ascii="方正小标宋简体" w:eastAsia="方正小标宋简体" w:cs="方正小标宋简体"/>
          <w:sz w:val="44"/>
          <w:szCs w:val="44"/>
          <w:lang w:eastAsia="zh-CN"/>
        </w:rPr>
        <w:t>岳阳县荣家湾街道办事处</w:t>
      </w:r>
    </w:p>
    <w:p w14:paraId="61BBF594">
      <w:pPr>
        <w:ind w:firstLine="883"/>
        <w:jc w:val="center"/>
        <w:rPr>
          <w:rFonts w:ascii="方正小标宋简体" w:hAnsi="Times New Roman" w:eastAsia="方正小标宋简体" w:cs="Times New Roman"/>
          <w:sz w:val="44"/>
          <w:szCs w:val="44"/>
          <w:lang w:eastAsia="zh-CN"/>
        </w:rPr>
      </w:pPr>
      <w:r>
        <w:rPr>
          <w:rFonts w:hint="eastAsia" w:ascii="方正小标宋简体" w:hAnsi="宋体" w:eastAsia="方正小标宋简体" w:cs="方正小标宋简体"/>
          <w:sz w:val="44"/>
          <w:szCs w:val="44"/>
          <w:lang w:eastAsia="zh-CN"/>
        </w:rPr>
        <w:t>整体支出绩效自评报告</w:t>
      </w:r>
    </w:p>
    <w:p w14:paraId="76CD6BF1">
      <w:pPr>
        <w:pStyle w:val="2"/>
        <w:spacing w:before="78" w:line="221" w:lineRule="auto"/>
        <w:ind w:firstLine="528"/>
        <w:jc w:val="center"/>
        <w:rPr>
          <w:rFonts w:ascii="楷体_GB2312" w:eastAsia="楷体_GB2312" w:cs="Times New Roman"/>
          <w:b/>
          <w:bCs/>
          <w:spacing w:val="-28"/>
          <w:sz w:val="32"/>
          <w:szCs w:val="32"/>
          <w:lang w:eastAsia="zh-CN"/>
        </w:rPr>
      </w:pPr>
    </w:p>
    <w:p w14:paraId="45FA0C78">
      <w:pPr>
        <w:pStyle w:val="2"/>
        <w:spacing w:before="78" w:line="221" w:lineRule="auto"/>
        <w:ind w:firstLine="528"/>
        <w:jc w:val="center"/>
        <w:rPr>
          <w:rFonts w:ascii="楷体_GB2312" w:eastAsia="楷体_GB2312" w:cs="Times New Roman"/>
          <w:b/>
          <w:bCs/>
          <w:spacing w:val="-28"/>
          <w:sz w:val="32"/>
          <w:szCs w:val="32"/>
          <w:lang w:eastAsia="zh-CN"/>
        </w:rPr>
      </w:pPr>
    </w:p>
    <w:p w14:paraId="167F9902">
      <w:pPr>
        <w:pStyle w:val="2"/>
        <w:spacing w:before="78" w:line="221" w:lineRule="auto"/>
        <w:ind w:firstLine="528"/>
        <w:jc w:val="center"/>
        <w:rPr>
          <w:rFonts w:ascii="楷体_GB2312" w:eastAsia="楷体_GB2312" w:cs="Times New Roman"/>
          <w:b/>
          <w:bCs/>
          <w:spacing w:val="-28"/>
          <w:sz w:val="32"/>
          <w:szCs w:val="32"/>
          <w:lang w:eastAsia="zh-CN"/>
        </w:rPr>
      </w:pPr>
    </w:p>
    <w:p w14:paraId="40B81124">
      <w:pPr>
        <w:pStyle w:val="2"/>
        <w:spacing w:before="78" w:line="221" w:lineRule="auto"/>
        <w:ind w:firstLine="528"/>
        <w:jc w:val="center"/>
        <w:rPr>
          <w:rFonts w:ascii="楷体_GB2312" w:eastAsia="楷体_GB2312" w:cs="Times New Roman"/>
          <w:b/>
          <w:bCs/>
          <w:spacing w:val="-28"/>
          <w:sz w:val="32"/>
          <w:szCs w:val="32"/>
          <w:lang w:eastAsia="zh-CN"/>
        </w:rPr>
      </w:pPr>
    </w:p>
    <w:p w14:paraId="23E3351F">
      <w:pPr>
        <w:pStyle w:val="2"/>
        <w:spacing w:before="78" w:line="221" w:lineRule="auto"/>
        <w:ind w:firstLine="528"/>
        <w:jc w:val="center"/>
        <w:rPr>
          <w:rFonts w:ascii="楷体_GB2312" w:eastAsia="楷体_GB2312" w:cs="Times New Roman"/>
          <w:b/>
          <w:bCs/>
          <w:spacing w:val="-28"/>
          <w:sz w:val="32"/>
          <w:szCs w:val="32"/>
          <w:lang w:eastAsia="zh-CN"/>
        </w:rPr>
      </w:pPr>
    </w:p>
    <w:p w14:paraId="538B47E3">
      <w:pPr>
        <w:pStyle w:val="2"/>
        <w:spacing w:before="78" w:line="221" w:lineRule="auto"/>
        <w:ind w:firstLine="528"/>
        <w:jc w:val="center"/>
        <w:rPr>
          <w:rFonts w:ascii="楷体_GB2312" w:eastAsia="楷体_GB2312" w:cs="Times New Roman"/>
          <w:b/>
          <w:bCs/>
          <w:spacing w:val="-28"/>
          <w:sz w:val="32"/>
          <w:szCs w:val="32"/>
          <w:lang w:eastAsia="zh-CN"/>
        </w:rPr>
      </w:pPr>
    </w:p>
    <w:p w14:paraId="3C85A804">
      <w:pPr>
        <w:pStyle w:val="2"/>
        <w:spacing w:before="78" w:line="221" w:lineRule="auto"/>
        <w:ind w:firstLine="528"/>
        <w:jc w:val="center"/>
        <w:rPr>
          <w:rFonts w:ascii="楷体_GB2312" w:eastAsia="楷体_GB2312" w:cs="Times New Roman"/>
          <w:b/>
          <w:bCs/>
          <w:spacing w:val="-28"/>
          <w:sz w:val="32"/>
          <w:szCs w:val="32"/>
          <w:lang w:eastAsia="zh-CN"/>
        </w:rPr>
      </w:pPr>
    </w:p>
    <w:p w14:paraId="74687472">
      <w:pPr>
        <w:pStyle w:val="2"/>
        <w:spacing w:before="78" w:line="221" w:lineRule="auto"/>
        <w:ind w:firstLine="528"/>
        <w:jc w:val="center"/>
        <w:rPr>
          <w:rFonts w:ascii="楷体_GB2312" w:eastAsia="楷体_GB2312" w:cs="Times New Roman"/>
          <w:b/>
          <w:bCs/>
          <w:spacing w:val="-28"/>
          <w:sz w:val="32"/>
          <w:szCs w:val="32"/>
          <w:lang w:eastAsia="zh-CN"/>
        </w:rPr>
      </w:pPr>
    </w:p>
    <w:p w14:paraId="75245EDD">
      <w:pPr>
        <w:pStyle w:val="2"/>
        <w:spacing w:before="78" w:line="221" w:lineRule="auto"/>
        <w:ind w:firstLine="528"/>
        <w:jc w:val="center"/>
        <w:rPr>
          <w:rFonts w:ascii="楷体_GB2312" w:eastAsia="楷体_GB2312" w:cs="Times New Roman"/>
          <w:b/>
          <w:bCs/>
          <w:spacing w:val="-28"/>
          <w:sz w:val="32"/>
          <w:szCs w:val="32"/>
          <w:lang w:eastAsia="zh-CN"/>
        </w:rPr>
      </w:pPr>
    </w:p>
    <w:p w14:paraId="6895703A">
      <w:pPr>
        <w:pStyle w:val="2"/>
        <w:spacing w:before="78" w:line="221" w:lineRule="auto"/>
        <w:ind w:firstLine="528"/>
        <w:jc w:val="center"/>
        <w:rPr>
          <w:rFonts w:ascii="楷体_GB2312" w:eastAsia="楷体_GB2312" w:cs="Times New Roman"/>
          <w:b/>
          <w:bCs/>
          <w:spacing w:val="-28"/>
          <w:sz w:val="32"/>
          <w:szCs w:val="32"/>
          <w:lang w:eastAsia="zh-CN"/>
        </w:rPr>
      </w:pPr>
    </w:p>
    <w:p w14:paraId="4CF98939">
      <w:pPr>
        <w:pStyle w:val="2"/>
        <w:spacing w:before="78" w:line="221" w:lineRule="auto"/>
        <w:ind w:firstLine="528"/>
        <w:jc w:val="center"/>
        <w:rPr>
          <w:rFonts w:ascii="楷体_GB2312" w:eastAsia="楷体_GB2312" w:cs="Times New Roman"/>
          <w:b/>
          <w:bCs/>
          <w:spacing w:val="-28"/>
          <w:sz w:val="32"/>
          <w:szCs w:val="32"/>
          <w:lang w:eastAsia="zh-CN"/>
        </w:rPr>
      </w:pPr>
    </w:p>
    <w:p w14:paraId="63658032">
      <w:pPr>
        <w:pStyle w:val="2"/>
        <w:spacing w:before="78" w:line="221" w:lineRule="auto"/>
        <w:ind w:firstLine="528"/>
        <w:jc w:val="center"/>
        <w:rPr>
          <w:rFonts w:ascii="楷体_GB2312" w:eastAsia="楷体_GB2312" w:cs="Times New Roman"/>
          <w:b/>
          <w:bCs/>
          <w:spacing w:val="-28"/>
          <w:sz w:val="32"/>
          <w:szCs w:val="32"/>
          <w:lang w:eastAsia="zh-CN"/>
        </w:rPr>
      </w:pPr>
    </w:p>
    <w:p w14:paraId="7D2700AE">
      <w:pPr>
        <w:pStyle w:val="2"/>
        <w:spacing w:before="78" w:line="221" w:lineRule="auto"/>
        <w:ind w:firstLine="528"/>
        <w:jc w:val="center"/>
        <w:rPr>
          <w:rFonts w:ascii="楷体_GB2312" w:eastAsia="楷体_GB2312" w:cs="Times New Roman"/>
          <w:b/>
          <w:bCs/>
          <w:spacing w:val="-28"/>
          <w:sz w:val="32"/>
          <w:szCs w:val="32"/>
          <w:lang w:eastAsia="zh-CN"/>
        </w:rPr>
      </w:pPr>
    </w:p>
    <w:p w14:paraId="241342EC">
      <w:pPr>
        <w:pStyle w:val="2"/>
        <w:spacing w:before="78" w:line="221" w:lineRule="auto"/>
        <w:ind w:firstLine="528"/>
        <w:jc w:val="center"/>
        <w:rPr>
          <w:rFonts w:ascii="楷体_GB2312" w:eastAsia="楷体_GB2312" w:cs="Times New Roman"/>
          <w:b/>
          <w:bCs/>
          <w:spacing w:val="-28"/>
          <w:sz w:val="32"/>
          <w:szCs w:val="32"/>
          <w:lang w:eastAsia="zh-CN"/>
        </w:rPr>
      </w:pPr>
    </w:p>
    <w:p w14:paraId="53039461">
      <w:pPr>
        <w:pStyle w:val="2"/>
        <w:spacing w:before="78" w:line="221" w:lineRule="auto"/>
        <w:ind w:firstLine="528"/>
        <w:jc w:val="center"/>
        <w:rPr>
          <w:rFonts w:ascii="楷体_GB2312" w:eastAsia="楷体_GB2312" w:cs="Times New Roman"/>
          <w:b/>
          <w:bCs/>
          <w:spacing w:val="-28"/>
          <w:sz w:val="32"/>
          <w:szCs w:val="32"/>
          <w:lang w:eastAsia="zh-CN"/>
        </w:rPr>
      </w:pPr>
    </w:p>
    <w:p w14:paraId="603BDC20">
      <w:pPr>
        <w:pStyle w:val="2"/>
        <w:spacing w:before="78" w:line="221" w:lineRule="auto"/>
        <w:ind w:firstLine="528"/>
        <w:jc w:val="center"/>
        <w:rPr>
          <w:rFonts w:ascii="楷体_GB2312" w:eastAsia="楷体_GB2312" w:cs="Times New Roman"/>
          <w:b/>
          <w:bCs/>
          <w:spacing w:val="-28"/>
          <w:sz w:val="32"/>
          <w:szCs w:val="32"/>
          <w:lang w:eastAsia="zh-CN"/>
        </w:rPr>
      </w:pPr>
    </w:p>
    <w:p w14:paraId="1C20837E">
      <w:pPr>
        <w:pStyle w:val="2"/>
        <w:spacing w:before="78" w:line="221" w:lineRule="auto"/>
        <w:ind w:firstLine="528"/>
        <w:jc w:val="center"/>
        <w:rPr>
          <w:rFonts w:ascii="楷体_GB2312" w:eastAsia="楷体_GB2312" w:cs="Times New Roman"/>
          <w:b/>
          <w:bCs/>
          <w:spacing w:val="-28"/>
          <w:sz w:val="32"/>
          <w:szCs w:val="32"/>
          <w:lang w:eastAsia="zh-CN"/>
        </w:rPr>
      </w:pPr>
    </w:p>
    <w:p w14:paraId="10941438">
      <w:pPr>
        <w:pStyle w:val="2"/>
        <w:spacing w:before="78" w:line="221" w:lineRule="auto"/>
        <w:ind w:firstLine="531"/>
        <w:jc w:val="center"/>
        <w:rPr>
          <w:rFonts w:ascii="楷体_GB2312" w:eastAsia="楷体_GB2312" w:cs="Times New Roman"/>
          <w:sz w:val="32"/>
          <w:szCs w:val="32"/>
          <w:u w:val="single"/>
          <w:lang w:eastAsia="zh-CN"/>
        </w:rPr>
      </w:pPr>
      <w:r>
        <w:rPr>
          <w:rFonts w:hint="eastAsia" w:ascii="楷体_GB2312" w:eastAsia="楷体_GB2312" w:cs="楷体_GB2312"/>
          <w:b/>
          <w:bCs/>
          <w:spacing w:val="-28"/>
          <w:sz w:val="32"/>
          <w:szCs w:val="32"/>
          <w:lang w:eastAsia="zh-CN"/>
        </w:rPr>
        <w:t>部门</w:t>
      </w:r>
      <w:r>
        <w:rPr>
          <w:rFonts w:ascii="楷体_GB2312" w:eastAsia="楷体_GB2312" w:cs="楷体_GB2312"/>
          <w:b/>
          <w:bCs/>
          <w:spacing w:val="-28"/>
          <w:sz w:val="32"/>
          <w:szCs w:val="32"/>
          <w:lang w:eastAsia="zh-CN"/>
        </w:rPr>
        <w:t>(</w:t>
      </w:r>
      <w:r>
        <w:rPr>
          <w:rFonts w:hint="eastAsia" w:ascii="楷体_GB2312" w:eastAsia="楷体_GB2312" w:cs="楷体_GB2312"/>
          <w:b/>
          <w:bCs/>
          <w:spacing w:val="-28"/>
          <w:sz w:val="32"/>
          <w:szCs w:val="32"/>
          <w:lang w:eastAsia="zh-CN"/>
        </w:rPr>
        <w:t>单位</w:t>
      </w:r>
      <w:r>
        <w:rPr>
          <w:rFonts w:ascii="楷体_GB2312" w:eastAsia="楷体_GB2312" w:cs="楷体_GB2312"/>
          <w:b/>
          <w:bCs/>
          <w:spacing w:val="-28"/>
          <w:sz w:val="32"/>
          <w:szCs w:val="32"/>
          <w:lang w:eastAsia="zh-CN"/>
        </w:rPr>
        <w:t>)</w:t>
      </w:r>
      <w:r>
        <w:rPr>
          <w:rFonts w:hint="eastAsia" w:ascii="楷体_GB2312" w:eastAsia="楷体_GB2312" w:cs="楷体_GB2312"/>
          <w:b/>
          <w:bCs/>
          <w:spacing w:val="-28"/>
          <w:sz w:val="32"/>
          <w:szCs w:val="32"/>
          <w:lang w:eastAsia="zh-CN"/>
        </w:rPr>
        <w:t>名称：</w:t>
      </w:r>
      <w:r>
        <w:rPr>
          <w:rFonts w:hint="eastAsia" w:ascii="楷体_GB2312" w:eastAsia="楷体_GB2312" w:cs="楷体_GB2312"/>
          <w:b/>
          <w:bCs/>
          <w:spacing w:val="-28"/>
          <w:sz w:val="32"/>
          <w:szCs w:val="32"/>
          <w:u w:val="single"/>
          <w:lang w:eastAsia="zh-CN"/>
        </w:rPr>
        <w:t>岳阳县荣家湾镇人民政府</w:t>
      </w:r>
    </w:p>
    <w:p w14:paraId="5144AED4">
      <w:pPr>
        <w:spacing w:before="274" w:line="225" w:lineRule="auto"/>
        <w:ind w:firstLine="591"/>
        <w:jc w:val="center"/>
        <w:rPr>
          <w:rFonts w:ascii="楷体_GB2312" w:hAnsi="楷体" w:eastAsia="楷体_GB2312"/>
          <w:sz w:val="32"/>
          <w:szCs w:val="32"/>
          <w:lang w:eastAsia="zh-CN"/>
        </w:rPr>
      </w:pPr>
      <w:r>
        <w:rPr>
          <w:rFonts w:ascii="楷体_GB2312" w:hAnsi="楷体" w:eastAsia="楷体_GB2312" w:cs="楷体_GB2312"/>
          <w:b/>
          <w:bCs/>
          <w:spacing w:val="-13"/>
          <w:sz w:val="32"/>
          <w:szCs w:val="32"/>
          <w:lang w:eastAsia="zh-CN"/>
        </w:rPr>
        <w:t>2024</w:t>
      </w:r>
      <w:r>
        <w:rPr>
          <w:rFonts w:hint="eastAsia" w:ascii="楷体_GB2312" w:hAnsi="楷体" w:eastAsia="楷体_GB2312" w:cs="楷体_GB2312"/>
          <w:b/>
          <w:bCs/>
          <w:spacing w:val="-13"/>
          <w:sz w:val="32"/>
          <w:szCs w:val="32"/>
          <w:lang w:eastAsia="zh-CN"/>
        </w:rPr>
        <w:t>年</w:t>
      </w:r>
      <w:r>
        <w:rPr>
          <w:rFonts w:ascii="楷体_GB2312" w:hAnsi="楷体" w:eastAsia="楷体_GB2312" w:cs="楷体_GB2312"/>
          <w:b/>
          <w:bCs/>
          <w:spacing w:val="-13"/>
          <w:sz w:val="32"/>
          <w:szCs w:val="32"/>
          <w:lang w:eastAsia="zh-CN"/>
        </w:rPr>
        <w:t xml:space="preserve"> </w:t>
      </w:r>
      <w:r>
        <w:rPr>
          <w:rFonts w:hint="eastAsia" w:ascii="楷体_GB2312" w:hAnsi="楷体" w:eastAsia="楷体_GB2312" w:cs="楷体_GB2312"/>
          <w:b/>
          <w:bCs/>
          <w:spacing w:val="-13"/>
          <w:sz w:val="32"/>
          <w:szCs w:val="32"/>
          <w:lang w:eastAsia="zh-CN"/>
        </w:rPr>
        <w:t>09</w:t>
      </w:r>
      <w:r>
        <w:rPr>
          <w:rFonts w:ascii="楷体_GB2312" w:hAnsi="楷体" w:eastAsia="楷体_GB2312" w:cs="楷体_GB2312"/>
          <w:b/>
          <w:bCs/>
          <w:spacing w:val="-13"/>
          <w:sz w:val="32"/>
          <w:szCs w:val="32"/>
          <w:lang w:eastAsia="zh-CN"/>
        </w:rPr>
        <w:t xml:space="preserve"> </w:t>
      </w:r>
      <w:r>
        <w:rPr>
          <w:rFonts w:hint="eastAsia" w:ascii="楷体_GB2312" w:hAnsi="楷体" w:eastAsia="楷体_GB2312" w:cs="楷体_GB2312"/>
          <w:spacing w:val="-13"/>
          <w:sz w:val="32"/>
          <w:szCs w:val="32"/>
          <w:lang w:eastAsia="zh-CN"/>
        </w:rPr>
        <w:t>月</w:t>
      </w:r>
      <w:r>
        <w:rPr>
          <w:rFonts w:ascii="楷体_GB2312" w:hAnsi="楷体" w:eastAsia="楷体_GB2312" w:cs="楷体_GB2312"/>
          <w:b/>
          <w:bCs/>
          <w:spacing w:val="-13"/>
          <w:sz w:val="32"/>
          <w:szCs w:val="32"/>
          <w:lang w:eastAsia="zh-CN"/>
        </w:rPr>
        <w:t xml:space="preserve"> </w:t>
      </w:r>
      <w:r>
        <w:rPr>
          <w:rFonts w:hint="eastAsia" w:ascii="楷体_GB2312" w:hAnsi="楷体" w:eastAsia="楷体_GB2312" w:cs="楷体_GB2312"/>
          <w:b/>
          <w:bCs/>
          <w:spacing w:val="-13"/>
          <w:sz w:val="32"/>
          <w:szCs w:val="32"/>
          <w:lang w:eastAsia="zh-CN"/>
        </w:rPr>
        <w:t>12日</w:t>
      </w:r>
    </w:p>
    <w:p w14:paraId="1F7B0318">
      <w:pPr>
        <w:pStyle w:val="2"/>
        <w:spacing w:before="211" w:line="224" w:lineRule="auto"/>
        <w:ind w:firstLine="672"/>
        <w:jc w:val="both"/>
        <w:rPr>
          <w:rFonts w:cs="Times New Roman"/>
          <w:b/>
          <w:bCs/>
          <w:spacing w:val="18"/>
          <w:sz w:val="30"/>
          <w:szCs w:val="30"/>
          <w:lang w:eastAsia="zh-CN"/>
        </w:rPr>
      </w:pPr>
    </w:p>
    <w:p w14:paraId="5757DEDC">
      <w:pPr>
        <w:pStyle w:val="3"/>
        <w:ind w:firstLine="361"/>
        <w:rPr>
          <w:rFonts w:ascii="宋体" w:hAnsi="宋体"/>
          <w:lang w:eastAsia="zh-CN"/>
        </w:rPr>
      </w:pPr>
    </w:p>
    <w:p w14:paraId="59EF3C78">
      <w:pPr>
        <w:pStyle w:val="2"/>
        <w:spacing w:before="211" w:line="224" w:lineRule="auto"/>
        <w:ind w:firstLine="672"/>
        <w:jc w:val="both"/>
        <w:rPr>
          <w:rFonts w:cs="Times New Roman"/>
          <w:b/>
          <w:bCs/>
          <w:spacing w:val="18"/>
          <w:sz w:val="30"/>
          <w:szCs w:val="30"/>
          <w:lang w:eastAsia="zh-CN"/>
        </w:rPr>
      </w:pPr>
    </w:p>
    <w:p w14:paraId="4FC1A377">
      <w:pPr>
        <w:pStyle w:val="2"/>
        <w:spacing w:before="211" w:line="224" w:lineRule="auto"/>
        <w:ind w:firstLine="640"/>
        <w:jc w:val="both"/>
        <w:rPr>
          <w:rFonts w:ascii="方正黑体_GBK" w:eastAsia="方正黑体_GBK" w:cs="Times New Roman"/>
          <w:sz w:val="32"/>
          <w:szCs w:val="32"/>
          <w:lang w:eastAsia="zh-CN"/>
        </w:rPr>
        <w:sectPr>
          <w:pgSz w:w="11906" w:h="16838"/>
          <w:pgMar w:top="1440" w:right="1800" w:bottom="1440" w:left="1800" w:header="851" w:footer="992" w:gutter="0"/>
          <w:cols w:space="425" w:num="1"/>
          <w:docGrid w:type="lines" w:linePitch="312" w:charSpace="0"/>
        </w:sectPr>
      </w:pPr>
    </w:p>
    <w:p w14:paraId="1501AE47">
      <w:pPr>
        <w:pStyle w:val="2"/>
        <w:spacing w:before="211" w:line="224" w:lineRule="auto"/>
        <w:ind w:firstLine="640"/>
        <w:jc w:val="both"/>
        <w:rPr>
          <w:rFonts w:ascii="方正黑体_GBK" w:eastAsia="方正黑体_GBK" w:cs="Times New Roman"/>
          <w:sz w:val="32"/>
          <w:szCs w:val="32"/>
          <w:lang w:eastAsia="zh-CN"/>
        </w:rPr>
      </w:pPr>
    </w:p>
    <w:p w14:paraId="65399306">
      <w:pPr>
        <w:pStyle w:val="2"/>
        <w:spacing w:before="211" w:line="224" w:lineRule="auto"/>
        <w:ind w:firstLine="643"/>
        <w:jc w:val="both"/>
        <w:rPr>
          <w:rFonts w:ascii="仿宋_GB2312" w:eastAsia="仿宋_GB2312" w:cs="Times New Roman"/>
          <w:sz w:val="32"/>
          <w:szCs w:val="32"/>
          <w:lang w:eastAsia="zh-CN"/>
        </w:rPr>
      </w:pPr>
      <w:r>
        <w:rPr>
          <w:rFonts w:hint="eastAsia" w:ascii="仿宋_GB2312" w:eastAsia="仿宋_GB2312" w:cs="方正黑体_GBK"/>
          <w:sz w:val="32"/>
          <w:szCs w:val="32"/>
          <w:lang w:eastAsia="zh-CN"/>
        </w:rPr>
        <w:t>一、部门(单位)基本情况</w:t>
      </w:r>
    </w:p>
    <w:p w14:paraId="0C1EE712">
      <w:pPr>
        <w:spacing w:line="560" w:lineRule="exact"/>
        <w:ind w:firstLine="640" w:firstLineChars="200"/>
        <w:rPr>
          <w:rFonts w:ascii="仿宋_GB2312" w:hAnsi="宋体" w:eastAsia="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岳阳县荣家湾镇在编人员440人（含退休人员172人），实有人员507人，主要职责为依法管理本级财政，执行本级预算，领导街道办事处和群众组织为辖区内村、社区、企业、社团、群众提供指导及服务。岳阳县荣家湾镇内设机构包括：政府机关及社会事业综合服务中心、综合行政执法大队、农业综合服务中心、政务（便民）服务中心、退役军人服务站5个二级机构。全部为财政全额拨款单位，执行政府会计制度。</w:t>
      </w:r>
    </w:p>
    <w:p w14:paraId="3CB8C037">
      <w:pPr>
        <w:spacing w:line="560" w:lineRule="exact"/>
        <w:ind w:firstLine="640" w:firstLineChars="200"/>
        <w:rPr>
          <w:rFonts w:ascii="仿宋_GB2312" w:hAnsi="宋体" w:eastAsia="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2024年荣家湾镇整体支出共计13800.76元，其中：一般公共预算支出8694.49万元、</w:t>
      </w:r>
      <w:r>
        <w:rPr>
          <w:rFonts w:hint="eastAsia" w:ascii="仿宋_GB2312" w:hAnsi="微软雅黑" w:eastAsia="仿宋_GB2312"/>
          <w:sz w:val="32"/>
          <w:szCs w:val="32"/>
          <w:shd w:val="clear" w:color="auto" w:fill="FFFFFF"/>
          <w:lang w:eastAsia="zh-CN"/>
        </w:rPr>
        <w:t>政府性基金预算财政拨款收入270.14</w:t>
      </w:r>
      <w:r>
        <w:rPr>
          <w:rFonts w:hint="eastAsia" w:ascii="仿宋_GB2312" w:hAnsi="宋体" w:eastAsia="仿宋_GB2312" w:cs="仿宋_GB2312"/>
          <w:color w:val="333333"/>
          <w:sz w:val="32"/>
          <w:szCs w:val="32"/>
          <w:shd w:val="clear" w:color="auto" w:fill="FFFFFF"/>
          <w:lang w:eastAsia="zh-CN"/>
        </w:rPr>
        <w:t>万元、国有资本经营预算财政拨款收入11万元，其他收入4825.13元。按支出性质分为基本支出和项目支出，分别是基本支出9721.55元,项目支出4079.21万元。</w:t>
      </w:r>
    </w:p>
    <w:p w14:paraId="3AA7F325">
      <w:pPr>
        <w:spacing w:line="600" w:lineRule="exact"/>
        <w:ind w:firstLine="643" w:firstLineChars="200"/>
        <w:jc w:val="both"/>
        <w:rPr>
          <w:rFonts w:ascii="仿宋_GB2312" w:eastAsia="仿宋_GB2312"/>
          <w:b/>
          <w:sz w:val="32"/>
          <w:szCs w:val="32"/>
          <w:lang w:eastAsia="zh-CN"/>
        </w:rPr>
      </w:pPr>
      <w:r>
        <w:rPr>
          <w:rFonts w:hint="eastAsia" w:ascii="仿宋_GB2312" w:eastAsia="仿宋_GB2312" w:cs="方正黑体_GBK"/>
          <w:b/>
          <w:sz w:val="32"/>
          <w:szCs w:val="32"/>
          <w:lang w:eastAsia="zh-CN"/>
        </w:rPr>
        <w:t>二、一般公共预算支出情况</w:t>
      </w:r>
    </w:p>
    <w:p w14:paraId="38670422">
      <w:pPr>
        <w:spacing w:line="560" w:lineRule="exact"/>
        <w:ind w:firstLine="640" w:firstLineChars="200"/>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一般公共预算支出共计8694.49万元。</w:t>
      </w:r>
    </w:p>
    <w:p w14:paraId="680C6089">
      <w:pPr>
        <w:spacing w:line="560" w:lineRule="exact"/>
        <w:ind w:firstLine="643" w:firstLineChars="200"/>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（一）基本支出情况</w:t>
      </w:r>
    </w:p>
    <w:p w14:paraId="02FD14FA">
      <w:pPr>
        <w:spacing w:line="560" w:lineRule="exact"/>
        <w:ind w:firstLine="640" w:firstLineChars="200"/>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2024年荣家湾镇基本支出共计9721.55万元。其中：</w:t>
      </w:r>
    </w:p>
    <w:p w14:paraId="2F3F3CE1">
      <w:pPr>
        <w:spacing w:line="560" w:lineRule="exact"/>
        <w:ind w:firstLine="640" w:firstLineChars="200"/>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人员经费3534.61万元，主要包括：按国家规定支出的基本工资、津贴补贴、其他社会保险缴费、伙食补助费、机关事业单位基本养老保险缴费、其他工资福利支出、离休费、退休费、生活补助、医疗费，住房公积金、其他对个人和家庭的补助支出等；</w:t>
      </w:r>
    </w:p>
    <w:p w14:paraId="4251C42C">
      <w:pPr>
        <w:spacing w:line="560" w:lineRule="exact"/>
        <w:ind w:firstLine="640" w:firstLineChars="200"/>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公用经费6186.94万元，主要包括：办公费、印刷费、咨询费、水费、电费、邮电费、物业管理费、差旅费、维修（护）费、会议费培训费、公务接待费、专用材料费、劳务费、工会经费、福利费、其他交通费用、其他商品和服务支出、办公设备购置、专用设备购置、其他资本性支出等。</w:t>
      </w:r>
    </w:p>
    <w:p w14:paraId="4AB911C9">
      <w:pPr>
        <w:spacing w:line="560" w:lineRule="exact"/>
        <w:ind w:firstLine="640" w:firstLineChars="200"/>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2024年“三公”经费合计2.04元，包括公务接待费2.04万元、公务用车及维护费0万元、因公出国（境）费用0万元。2024年“三公”经费相较2023年减少6.86万元，主要</w:t>
      </w:r>
      <w:r>
        <w:rPr>
          <w:rFonts w:ascii="仿宋_GB2312" w:hAnsi="微软雅黑" w:eastAsia="仿宋_GB2312" w:cs="仿宋_GB2312"/>
          <w:color w:val="333333"/>
          <w:sz w:val="32"/>
          <w:szCs w:val="32"/>
          <w:shd w:val="clear" w:color="auto" w:fill="FFFFFF"/>
          <w:lang w:eastAsia="zh-CN"/>
        </w:rPr>
        <w:t>是</w:t>
      </w:r>
      <w:r>
        <w:rPr>
          <w:rFonts w:hint="eastAsia" w:ascii="仿宋_GB2312" w:hAnsi="微软雅黑" w:eastAsia="仿宋_GB2312" w:cs="仿宋_GB2312"/>
          <w:color w:val="333333"/>
          <w:sz w:val="32"/>
          <w:szCs w:val="32"/>
          <w:shd w:val="clear" w:color="auto" w:fill="FFFFFF"/>
          <w:lang w:eastAsia="zh-CN"/>
        </w:rPr>
        <w:t>本年度严格控制非生产性支出</w:t>
      </w:r>
      <w:r>
        <w:rPr>
          <w:rFonts w:hint="eastAsia" w:ascii="仿宋_GB2312" w:hAnsi="宋体" w:eastAsia="仿宋_GB2312" w:cs="仿宋_GB2312"/>
          <w:color w:val="333333"/>
          <w:sz w:val="32"/>
          <w:szCs w:val="32"/>
          <w:shd w:val="clear" w:color="auto" w:fill="FFFFFF"/>
          <w:lang w:eastAsia="zh-CN"/>
        </w:rPr>
        <w:t>。</w:t>
      </w:r>
    </w:p>
    <w:p w14:paraId="0C8F3E11">
      <w:pPr>
        <w:spacing w:line="560" w:lineRule="exact"/>
        <w:ind w:firstLine="643" w:firstLineChars="200"/>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（二）项目支出情况</w:t>
      </w:r>
    </w:p>
    <w:p w14:paraId="730814CB">
      <w:pPr>
        <w:spacing w:line="560" w:lineRule="exact"/>
        <w:ind w:firstLine="640" w:firstLineChars="200"/>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2024年项目支出4079.21万元，主要用于街道各项目支出，项目资金涉及到乡村振兴、防汛支出、城关院内机关公租房建设、重点项目、一事一议、村级基础设施建设等多个项目，通过有效的项目资金管理方式，在项目资金使用上，没有出现挤占、贪污、套取等违法违规现象，资金使用和运行效果良好。</w:t>
      </w:r>
    </w:p>
    <w:p w14:paraId="72BCAECB">
      <w:pPr>
        <w:spacing w:line="600" w:lineRule="exact"/>
        <w:ind w:firstLine="643"/>
        <w:jc w:val="both"/>
        <w:rPr>
          <w:rFonts w:ascii="仿宋_GB2312" w:eastAsia="仿宋_GB2312"/>
          <w:b/>
          <w:sz w:val="32"/>
          <w:szCs w:val="32"/>
          <w:lang w:eastAsia="zh-CN"/>
        </w:rPr>
      </w:pPr>
      <w:r>
        <w:rPr>
          <w:rFonts w:hint="eastAsia" w:ascii="仿宋_GB2312" w:eastAsia="仿宋_GB2312" w:cs="方正黑体_GBK"/>
          <w:b/>
          <w:sz w:val="32"/>
          <w:szCs w:val="32"/>
          <w:lang w:eastAsia="zh-CN"/>
        </w:rPr>
        <w:t>三、</w:t>
      </w:r>
      <w:r>
        <w:rPr>
          <w:rFonts w:hint="eastAsia" w:ascii="仿宋_GB2312" w:hAnsi="微软雅黑" w:eastAsia="仿宋_GB2312"/>
          <w:sz w:val="32"/>
          <w:szCs w:val="32"/>
          <w:shd w:val="clear" w:color="auto" w:fill="FFFFFF"/>
          <w:lang w:eastAsia="zh-CN"/>
        </w:rPr>
        <w:t>政府性基金预算财政拨款支出270.14</w:t>
      </w:r>
      <w:r>
        <w:rPr>
          <w:rFonts w:hint="eastAsia" w:ascii="仿宋_GB2312" w:hAnsi="宋体" w:eastAsia="仿宋_GB2312" w:cs="仿宋_GB2312"/>
          <w:color w:val="333333"/>
          <w:sz w:val="32"/>
          <w:szCs w:val="32"/>
          <w:shd w:val="clear" w:color="auto" w:fill="FFFFFF"/>
          <w:lang w:eastAsia="zh-CN"/>
        </w:rPr>
        <w:t>万元</w:t>
      </w:r>
    </w:p>
    <w:p w14:paraId="7B7FC2BF">
      <w:pPr>
        <w:pStyle w:val="9"/>
        <w:spacing w:line="600" w:lineRule="exact"/>
        <w:ind w:firstLine="640"/>
        <w:jc w:val="both"/>
        <w:rPr>
          <w:rFonts w:ascii="仿宋_GB2312" w:hAnsi="宋体" w:eastAsia="仿宋_GB2312"/>
          <w:color w:val="333333"/>
          <w:sz w:val="32"/>
          <w:szCs w:val="32"/>
          <w:shd w:val="clear" w:color="auto" w:fill="FFFFFF"/>
          <w:lang w:eastAsia="zh-CN"/>
        </w:rPr>
      </w:pPr>
      <w:r>
        <w:rPr>
          <w:rFonts w:hint="eastAsia" w:ascii="仿宋_GB2312" w:hAnsi="微软雅黑" w:eastAsia="仿宋_GB2312"/>
          <w:sz w:val="32"/>
          <w:szCs w:val="32"/>
          <w:shd w:val="clear" w:color="auto" w:fill="FFFFFF"/>
          <w:lang w:eastAsia="zh-CN"/>
        </w:rPr>
        <w:t>政府性基金预算财政拨款支出270.14</w:t>
      </w:r>
      <w:r>
        <w:rPr>
          <w:rFonts w:hint="eastAsia" w:ascii="仿宋_GB2312" w:hAnsi="宋体" w:eastAsia="仿宋_GB2312" w:cs="仿宋_GB2312"/>
          <w:color w:val="333333"/>
          <w:sz w:val="32"/>
          <w:szCs w:val="32"/>
          <w:shd w:val="clear" w:color="auto" w:fill="FFFFFF"/>
          <w:lang w:eastAsia="zh-CN"/>
        </w:rPr>
        <w:t>万元，分别是土地开发支出7.1万元，农村基础设施建设支出5万元，其他国有土地使用权出让收入安排的支出144.89万元，城市环境卫生支出109.15万元，其他政府性基金安排的支出2万元，用于社会福利的彩票公益金支出2万元。</w:t>
      </w:r>
    </w:p>
    <w:p w14:paraId="053AA72E">
      <w:pPr>
        <w:spacing w:line="600" w:lineRule="exact"/>
        <w:ind w:firstLine="640" w:firstLineChars="200"/>
        <w:jc w:val="both"/>
        <w:rPr>
          <w:rFonts w:ascii="仿宋_GB2312" w:eastAsia="仿宋_GB2312" w:cs="方正黑体_GBK"/>
          <w:sz w:val="32"/>
          <w:szCs w:val="32"/>
          <w:lang w:eastAsia="zh-CN"/>
        </w:rPr>
      </w:pPr>
      <w:r>
        <w:rPr>
          <w:rFonts w:hint="eastAsia" w:ascii="仿宋_GB2312" w:eastAsia="仿宋_GB2312" w:cs="方正黑体_GBK"/>
          <w:sz w:val="32"/>
          <w:szCs w:val="32"/>
          <w:lang w:eastAsia="zh-CN"/>
        </w:rPr>
        <w:t>四、国有资本经营预算支出11万元</w:t>
      </w:r>
    </w:p>
    <w:p w14:paraId="4BEF49F5">
      <w:pPr>
        <w:spacing w:line="600" w:lineRule="exact"/>
        <w:ind w:firstLine="640" w:firstLineChars="200"/>
        <w:jc w:val="both"/>
        <w:rPr>
          <w:rFonts w:ascii="仿宋_GB2312" w:eastAsia="仿宋_GB2312" w:cs="方正黑体_GBK"/>
          <w:sz w:val="32"/>
          <w:szCs w:val="32"/>
          <w:lang w:eastAsia="zh-CN"/>
        </w:rPr>
      </w:pPr>
      <w:r>
        <w:rPr>
          <w:rFonts w:hint="eastAsia" w:ascii="仿宋_GB2312" w:eastAsia="仿宋_GB2312" w:cs="方正黑体_GBK"/>
          <w:sz w:val="32"/>
          <w:szCs w:val="32"/>
          <w:lang w:eastAsia="zh-CN"/>
        </w:rPr>
        <w:t>国有资本经营预算支出11万元为其他国有资本经营预算支出</w:t>
      </w:r>
    </w:p>
    <w:p w14:paraId="41305D41">
      <w:pPr>
        <w:spacing w:line="600" w:lineRule="exact"/>
        <w:ind w:firstLine="640" w:firstLineChars="200"/>
        <w:jc w:val="both"/>
        <w:rPr>
          <w:rFonts w:ascii="仿宋_GB2312" w:eastAsia="仿宋_GB2312"/>
          <w:sz w:val="32"/>
          <w:szCs w:val="32"/>
          <w:lang w:eastAsia="zh-CN"/>
        </w:rPr>
      </w:pPr>
      <w:r>
        <w:rPr>
          <w:rFonts w:hint="eastAsia" w:ascii="仿宋_GB2312" w:eastAsia="仿宋_GB2312" w:cs="方正黑体_GBK"/>
          <w:sz w:val="32"/>
          <w:szCs w:val="32"/>
          <w:lang w:eastAsia="zh-CN"/>
        </w:rPr>
        <w:t>五、社会保险基金预算支出情况：无</w:t>
      </w:r>
    </w:p>
    <w:p w14:paraId="412ABEC0">
      <w:pPr>
        <w:spacing w:line="600" w:lineRule="exact"/>
        <w:ind w:firstLine="640" w:firstLineChars="200"/>
        <w:jc w:val="both"/>
        <w:rPr>
          <w:rFonts w:ascii="仿宋_GB2312" w:eastAsia="仿宋_GB2312"/>
          <w:sz w:val="32"/>
          <w:szCs w:val="32"/>
          <w:lang w:eastAsia="zh-CN"/>
        </w:rPr>
      </w:pPr>
      <w:r>
        <w:rPr>
          <w:rFonts w:hint="eastAsia" w:ascii="仿宋_GB2312" w:eastAsia="仿宋_GB2312" w:cs="方正黑体_GBK"/>
          <w:sz w:val="32"/>
          <w:szCs w:val="32"/>
          <w:lang w:eastAsia="zh-CN"/>
        </w:rPr>
        <w:t>六、部门整体支出绩效情况</w:t>
      </w:r>
    </w:p>
    <w:p w14:paraId="0DE737EF">
      <w:pPr>
        <w:shd w:val="clear" w:color="auto" w:fill="FFFFFF"/>
        <w:spacing w:line="560" w:lineRule="atLeast"/>
        <w:ind w:firstLine="643"/>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2024年，岳阳县荣家湾街道办事处在县委和县政府的正确领导下，紧紧围绕中心，服务大局，积极履职，主动作为，圆满完成了全年工作任务。</w:t>
      </w:r>
    </w:p>
    <w:p w14:paraId="401B5A74">
      <w:pPr>
        <w:spacing w:line="560" w:lineRule="exact"/>
        <w:ind w:left="420" w:leftChars="200" w:firstLine="643"/>
        <w:rPr>
          <w:rFonts w:ascii="仿宋_GB2312" w:hAnsi="黑体" w:eastAsia="仿宋_GB2312"/>
          <w:sz w:val="32"/>
          <w:szCs w:val="32"/>
          <w:lang w:eastAsia="zh-CN"/>
        </w:rPr>
      </w:pPr>
      <w:r>
        <w:rPr>
          <w:rFonts w:hint="eastAsia" w:ascii="仿宋_GB2312" w:hAnsi="黑体" w:eastAsia="仿宋_GB2312" w:cs="黑体"/>
          <w:sz w:val="32"/>
          <w:szCs w:val="32"/>
          <w:lang w:eastAsia="zh-CN"/>
        </w:rPr>
        <w:t>（一）经济效益</w:t>
      </w:r>
    </w:p>
    <w:p w14:paraId="00D84104">
      <w:pPr>
        <w:shd w:val="clear" w:color="auto" w:fill="FFFFFF"/>
        <w:spacing w:line="560" w:lineRule="atLeast"/>
        <w:ind w:firstLine="643"/>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2024年全镇全年完成税收6907万元。全镇农村居民人均可支配收入达</w:t>
      </w:r>
      <w:r>
        <w:rPr>
          <w:rFonts w:hint="eastAsia" w:ascii="仿宋_GB2312" w:hAnsi="宋体" w:eastAsia="仿宋_GB2312" w:cs="仿宋_GB2312"/>
          <w:color w:val="auto"/>
          <w:sz w:val="32"/>
          <w:szCs w:val="32"/>
          <w:shd w:val="clear" w:color="auto" w:fill="FFFFFF"/>
          <w:lang w:eastAsia="zh-CN"/>
        </w:rPr>
        <w:t>26073</w:t>
      </w:r>
      <w:r>
        <w:rPr>
          <w:rFonts w:hint="eastAsia" w:ascii="仿宋_GB2312" w:hAnsi="宋体" w:eastAsia="仿宋_GB2312" w:cs="仿宋_GB2312"/>
          <w:color w:val="333333"/>
          <w:sz w:val="32"/>
          <w:szCs w:val="32"/>
          <w:shd w:val="clear" w:color="auto" w:fill="FFFFFF"/>
          <w:lang w:eastAsia="zh-CN"/>
        </w:rPr>
        <w:t>元，同时我镇千方百计发展集体经济，村集体经营收入达</w:t>
      </w:r>
      <w:r>
        <w:rPr>
          <w:rFonts w:hint="eastAsia" w:ascii="仿宋_GB2312" w:hAnsi="宋体" w:eastAsia="仿宋_GB2312" w:cs="仿宋_GB2312"/>
          <w:color w:val="auto"/>
          <w:sz w:val="32"/>
          <w:szCs w:val="32"/>
          <w:shd w:val="clear" w:color="auto" w:fill="FFFFFF"/>
          <w:lang w:eastAsia="zh-CN"/>
        </w:rPr>
        <w:t>778.63元，村均23.59万元。</w:t>
      </w:r>
    </w:p>
    <w:p w14:paraId="76C3CC7D">
      <w:pPr>
        <w:shd w:val="clear" w:color="auto" w:fill="FFFFFF"/>
        <w:spacing w:line="560" w:lineRule="atLeast"/>
        <w:ind w:firstLine="643"/>
        <w:textAlignment w:val="center"/>
        <w:rPr>
          <w:rFonts w:ascii="仿宋_GB2312" w:hAnsi="黑体" w:eastAsia="仿宋_GB2312"/>
          <w:color w:val="333333"/>
          <w:sz w:val="32"/>
          <w:szCs w:val="32"/>
          <w:shd w:val="clear" w:color="auto" w:fill="FFFFFF"/>
          <w:lang w:eastAsia="zh-CN"/>
        </w:rPr>
      </w:pPr>
      <w:r>
        <w:rPr>
          <w:rFonts w:hint="eastAsia" w:ascii="仿宋_GB2312" w:hAnsi="黑体" w:eastAsia="仿宋_GB2312"/>
          <w:color w:val="333333"/>
          <w:sz w:val="32"/>
          <w:szCs w:val="32"/>
          <w:shd w:val="clear" w:color="auto" w:fill="FFFFFF"/>
          <w:lang w:eastAsia="zh-CN"/>
        </w:rPr>
        <w:t>（二）</w:t>
      </w:r>
      <w:r>
        <w:rPr>
          <w:rFonts w:hint="eastAsia" w:ascii="仿宋_GB2312" w:hAnsi="黑体" w:eastAsia="仿宋_GB2312" w:cs="黑体"/>
          <w:color w:val="333333"/>
          <w:sz w:val="32"/>
          <w:szCs w:val="32"/>
          <w:shd w:val="clear" w:color="auto" w:fill="FFFFFF"/>
          <w:lang w:eastAsia="zh-CN"/>
        </w:rPr>
        <w:t>社会效益</w:t>
      </w:r>
    </w:p>
    <w:p w14:paraId="6285191F">
      <w:pPr>
        <w:shd w:val="clear" w:color="auto" w:fill="FFFFFF"/>
        <w:spacing w:line="560" w:lineRule="atLeast"/>
        <w:ind w:firstLine="640" w:firstLineChars="200"/>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2024年荣家湾镇积极履行三大职能，为带动荣家湾镇经济发展起到了推动作用。本单位在民政、计划生育、文化教育、卫生和体育等社会公益事业都有长足发展，积极响应民众反应的问题并且有效的进行调节和处理民事纠纷和综治维稳工作稳步推进，社会稳定。</w:t>
      </w:r>
    </w:p>
    <w:p w14:paraId="077A5D23">
      <w:pPr>
        <w:shd w:val="clear" w:color="auto" w:fill="FFFFFF"/>
        <w:spacing w:line="560" w:lineRule="atLeast"/>
        <w:ind w:firstLine="643"/>
        <w:textAlignment w:val="center"/>
        <w:rPr>
          <w:rFonts w:ascii="仿宋_GB2312" w:hAnsi="黑体" w:eastAsia="仿宋_GB2312"/>
          <w:color w:val="333333"/>
          <w:sz w:val="32"/>
          <w:szCs w:val="32"/>
          <w:shd w:val="clear" w:color="auto" w:fill="FFFFFF"/>
          <w:lang w:eastAsia="zh-CN"/>
        </w:rPr>
      </w:pPr>
      <w:r>
        <w:rPr>
          <w:rFonts w:hint="eastAsia" w:ascii="仿宋_GB2312" w:hAnsi="黑体" w:eastAsia="仿宋_GB2312"/>
          <w:color w:val="333333"/>
          <w:sz w:val="32"/>
          <w:szCs w:val="32"/>
          <w:shd w:val="clear" w:color="auto" w:fill="FFFFFF"/>
          <w:lang w:eastAsia="zh-CN"/>
        </w:rPr>
        <w:t>（三）</w:t>
      </w:r>
      <w:r>
        <w:rPr>
          <w:rFonts w:hint="eastAsia" w:ascii="仿宋_GB2312" w:hAnsi="黑体" w:eastAsia="仿宋_GB2312" w:cs="黑体"/>
          <w:color w:val="333333"/>
          <w:sz w:val="32"/>
          <w:szCs w:val="32"/>
          <w:shd w:val="clear" w:color="auto" w:fill="FFFFFF"/>
          <w:lang w:eastAsia="zh-CN"/>
        </w:rPr>
        <w:t>环境效益</w:t>
      </w:r>
    </w:p>
    <w:p w14:paraId="2D2219E6">
      <w:pPr>
        <w:shd w:val="clear" w:color="auto" w:fill="FFFFFF"/>
        <w:spacing w:line="560" w:lineRule="atLeast"/>
        <w:ind w:firstLine="640" w:firstLineChars="200"/>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2024年荣家湾镇为全面提升33个村(社区）农村环境水平，对33个村（社区）进行垃圾分类改造，已基本完成33个村（社区）垃圾分类点改造，生活垃圾定点存放清运率达95%,加快改善了我镇村容村貌，提升了我镇可持续性发展水平。</w:t>
      </w:r>
    </w:p>
    <w:p w14:paraId="381562F6">
      <w:pPr>
        <w:spacing w:line="600" w:lineRule="exact"/>
        <w:ind w:firstLine="640" w:firstLineChars="200"/>
        <w:jc w:val="both"/>
        <w:rPr>
          <w:rFonts w:ascii="仿宋_GB2312" w:eastAsia="仿宋_GB2312"/>
          <w:sz w:val="32"/>
          <w:szCs w:val="32"/>
          <w:lang w:eastAsia="zh-CN"/>
        </w:rPr>
      </w:pPr>
      <w:r>
        <w:rPr>
          <w:rFonts w:hint="eastAsia" w:ascii="仿宋_GB2312" w:eastAsia="仿宋_GB2312" w:cs="方正黑体_GBK"/>
          <w:sz w:val="32"/>
          <w:szCs w:val="32"/>
          <w:lang w:eastAsia="zh-CN"/>
        </w:rPr>
        <w:t>七、存在的问题及原因分析</w:t>
      </w:r>
    </w:p>
    <w:p w14:paraId="5A06272E">
      <w:pPr>
        <w:shd w:val="clear" w:color="auto" w:fill="FFFFFF"/>
        <w:spacing w:line="560" w:lineRule="atLeast"/>
        <w:ind w:firstLine="643" w:firstLineChars="200"/>
        <w:textAlignment w:val="center"/>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（一）预算及预算绩效管理方面</w:t>
      </w:r>
    </w:p>
    <w:p w14:paraId="06966666">
      <w:pPr>
        <w:shd w:val="clear" w:color="auto" w:fill="FFFFFF"/>
        <w:spacing w:line="560" w:lineRule="atLeast"/>
        <w:ind w:firstLine="640" w:firstLineChars="200"/>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1.部分绩效目标设置不够完备。绩效指标虽然设置了一级、二级、三级指标，但是部分指标设置不够明确、细化、量化。</w:t>
      </w:r>
    </w:p>
    <w:p w14:paraId="1EEE6D02">
      <w:pPr>
        <w:shd w:val="clear" w:color="auto" w:fill="FFFFFF"/>
        <w:spacing w:line="560" w:lineRule="atLeast"/>
        <w:ind w:firstLine="640" w:firstLineChars="200"/>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2.预算约束性不够。存在预算编制不够扎实，在预算执行过程中调整变动较大，客观存在实际支出与年初预算支出发生偏差。</w:t>
      </w:r>
    </w:p>
    <w:p w14:paraId="72E34567">
      <w:pPr>
        <w:shd w:val="clear" w:color="auto" w:fill="FFFFFF"/>
        <w:spacing w:line="560" w:lineRule="atLeast"/>
        <w:ind w:firstLine="643" w:firstLineChars="200"/>
        <w:textAlignment w:val="center"/>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（二）资金分配、使用和管理方面</w:t>
      </w:r>
    </w:p>
    <w:p w14:paraId="3FFB083A">
      <w:pPr>
        <w:shd w:val="clear" w:color="auto" w:fill="FFFFFF"/>
        <w:spacing w:line="560" w:lineRule="atLeast"/>
        <w:ind w:firstLine="640" w:firstLineChars="200"/>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存在部分项目预算执行率偏低。主要原因：一是部分项目资金下达时间晚，一定程度上影响了资金的计划统筹使用；二是部分项目实施周期较长，处于建设期，预算执行缓慢，相对比较集中。</w:t>
      </w:r>
    </w:p>
    <w:p w14:paraId="5C19FA35">
      <w:pPr>
        <w:shd w:val="clear" w:color="auto" w:fill="FFFFFF"/>
        <w:spacing w:line="560" w:lineRule="atLeast"/>
        <w:ind w:firstLine="643" w:firstLineChars="200"/>
        <w:textAlignment w:val="center"/>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（三）资产和财务管理方面</w:t>
      </w:r>
    </w:p>
    <w:p w14:paraId="36EF08D6">
      <w:pPr>
        <w:shd w:val="clear" w:color="auto" w:fill="FFFFFF"/>
        <w:spacing w:line="560" w:lineRule="atLeast"/>
        <w:ind w:firstLine="640" w:firstLineChars="200"/>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存在资产管理重购置轻管理。资产管理制度流于形式，使得资产管理处于无序状态，未设立专职部门和专职人员具体负责实物的管理，导致采购后的固定资产核算与管理脱节，加之固定资产处置流程繁琐，乡镇机关未定期进行清理，存在账实不符的情况。</w:t>
      </w:r>
    </w:p>
    <w:p w14:paraId="6DD56741">
      <w:pPr>
        <w:shd w:val="clear" w:color="auto" w:fill="FFFFFF"/>
        <w:spacing w:line="560" w:lineRule="atLeast"/>
        <w:ind w:firstLine="643" w:firstLineChars="200"/>
        <w:textAlignment w:val="center"/>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（四）政府采购方面</w:t>
      </w:r>
    </w:p>
    <w:p w14:paraId="478F50D9">
      <w:pPr>
        <w:shd w:val="clear" w:color="auto" w:fill="FFFFFF"/>
        <w:spacing w:line="560" w:lineRule="atLeast"/>
        <w:ind w:firstLine="640" w:firstLineChars="200"/>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因年初采购预算编制不全面，导致部分采购存在无预算分散采购，没有集中竞价采购，采购随意性较大。</w:t>
      </w:r>
    </w:p>
    <w:p w14:paraId="70265327">
      <w:pPr>
        <w:spacing w:line="600" w:lineRule="exact"/>
        <w:ind w:firstLine="640" w:firstLineChars="200"/>
        <w:jc w:val="both"/>
        <w:rPr>
          <w:rFonts w:ascii="仿宋_GB2312" w:hAnsi="宋体" w:eastAsia="仿宋_GB2312" w:cs="仿宋_GB2312"/>
          <w:color w:val="333333"/>
          <w:sz w:val="32"/>
          <w:szCs w:val="32"/>
          <w:shd w:val="clear" w:color="auto" w:fill="FFFFFF"/>
          <w:lang w:eastAsia="zh-CN"/>
        </w:rPr>
      </w:pPr>
      <w:r>
        <w:rPr>
          <w:rFonts w:hint="eastAsia" w:ascii="仿宋_GB2312" w:eastAsia="仿宋_GB2312" w:cs="方正黑体_GBK"/>
          <w:sz w:val="32"/>
          <w:szCs w:val="32"/>
          <w:lang w:eastAsia="zh-CN"/>
        </w:rPr>
        <w:t>八、下一步改进措施</w:t>
      </w:r>
    </w:p>
    <w:p w14:paraId="15FC67B7">
      <w:pPr>
        <w:shd w:val="clear" w:color="auto" w:fill="FFFFFF"/>
        <w:spacing w:line="560" w:lineRule="atLeast"/>
        <w:ind w:firstLine="643"/>
        <w:textAlignment w:val="center"/>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（一）预算及预算绩效管理方面</w:t>
      </w:r>
    </w:p>
    <w:p w14:paraId="3B9FCBA5">
      <w:pPr>
        <w:shd w:val="clear" w:color="auto" w:fill="FFFFFF"/>
        <w:spacing w:line="560" w:lineRule="atLeast"/>
        <w:ind w:firstLine="643"/>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1.进一步规范绩效目标编制。在编制资金绩效目标时，要求指向明确，细化量化、合理可行、相应匹配。以利于对工作的有效指导、过程的有效控制、结果的精确评价。</w:t>
      </w:r>
    </w:p>
    <w:p w14:paraId="5D729F58">
      <w:pPr>
        <w:shd w:val="clear" w:color="auto" w:fill="FFFFFF"/>
        <w:spacing w:line="560" w:lineRule="atLeast"/>
        <w:ind w:firstLine="643"/>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2.加快预算执行力度，强化预算约束。积极争取财政支持，力争年初预算安排足额到位。增强预算的刚性约束，严格做到“无预算不支出”，强化预算对执行的控制。财政所加强对各项支出的审核管理，严格执行各项经费开支标准。</w:t>
      </w:r>
    </w:p>
    <w:p w14:paraId="717E4F4E">
      <w:pPr>
        <w:shd w:val="clear" w:color="auto" w:fill="FFFFFF"/>
        <w:spacing w:line="560" w:lineRule="atLeast"/>
        <w:ind w:firstLine="643"/>
        <w:textAlignment w:val="center"/>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（二）资金分配、使用和管理方面</w:t>
      </w:r>
    </w:p>
    <w:p w14:paraId="3DCC5223">
      <w:pPr>
        <w:shd w:val="clear" w:color="auto" w:fill="FFFFFF"/>
        <w:spacing w:line="560" w:lineRule="atLeast"/>
        <w:ind w:firstLine="643"/>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一是合理安排项目资金，加快支出支付进度。对于年初下达的基本支出预算要及时、足额保障单位正常运转；项目支出预算要加快执行，根据项目实施进度合法、合规、及时办理资金支付手续。二是优化资金分配，提高资金使用效益。坚决落实过“紧日子”要求，建立节约型财政保证机制，精准保障重点刚性支出，严控一般性支出，集中财力办大事。</w:t>
      </w:r>
    </w:p>
    <w:p w14:paraId="584991C5">
      <w:pPr>
        <w:shd w:val="clear" w:color="auto" w:fill="FFFFFF"/>
        <w:spacing w:line="560" w:lineRule="atLeast"/>
        <w:ind w:firstLine="643" w:firstLineChars="200"/>
        <w:textAlignment w:val="center"/>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（三）资产和财务管理方面</w:t>
      </w:r>
    </w:p>
    <w:p w14:paraId="1AEB1A95">
      <w:pPr>
        <w:shd w:val="clear" w:color="auto" w:fill="FFFFFF"/>
        <w:spacing w:line="560" w:lineRule="atLeast"/>
        <w:ind w:firstLine="640" w:firstLineChars="200"/>
        <w:textAlignment w:val="center"/>
        <w:rPr>
          <w:rFonts w:ascii="仿宋_GB2312" w:hAnsi="宋体" w:eastAsia="仿宋_GB2312" w:cs="仿宋_GB2312"/>
          <w:color w:val="333333"/>
          <w:sz w:val="32"/>
          <w:szCs w:val="32"/>
          <w:shd w:val="clear" w:color="auto" w:fill="FFFFFF"/>
          <w:lang w:eastAsia="zh-CN"/>
        </w:rPr>
      </w:pPr>
      <w:r>
        <w:rPr>
          <w:rFonts w:hint="eastAsia" w:ascii="仿宋_GB2312" w:hAnsi="仿宋" w:eastAsia="仿宋_GB2312" w:cs="仿宋"/>
          <w:sz w:val="32"/>
          <w:szCs w:val="32"/>
          <w:lang w:eastAsia="zh-CN"/>
        </w:rPr>
        <w:t>对于资产管理，一方面要强化主要领导责任意识，将国有资产管理使用作为乡镇考核的一项重要指标，从思想上重视起来，成立国有资产管理部门，将固定资产管理落实到人，另一方面，国有资产管理部门可以简化处置程序，定期组织对乡镇国有资产进行清查，对于长期未进行清查的单位统一组织第三方公司进行清理，费用由被清查单位自理。</w:t>
      </w:r>
    </w:p>
    <w:p w14:paraId="49DDFE34">
      <w:pPr>
        <w:shd w:val="clear" w:color="auto" w:fill="FFFFFF"/>
        <w:spacing w:line="560" w:lineRule="atLeast"/>
        <w:ind w:firstLine="630" w:firstLineChars="196"/>
        <w:textAlignment w:val="center"/>
        <w:rPr>
          <w:rFonts w:ascii="仿宋_GB2312" w:hAnsi="宋体" w:eastAsia="仿宋_GB2312" w:cs="仿宋_GB2312"/>
          <w:b/>
          <w:bCs/>
          <w:color w:val="333333"/>
          <w:sz w:val="32"/>
          <w:szCs w:val="32"/>
          <w:shd w:val="clear" w:color="auto" w:fill="FFFFFF"/>
          <w:lang w:eastAsia="zh-CN"/>
        </w:rPr>
      </w:pPr>
      <w:r>
        <w:rPr>
          <w:rFonts w:hint="eastAsia" w:ascii="仿宋_GB2312" w:hAnsi="宋体" w:eastAsia="仿宋_GB2312" w:cs="仿宋_GB2312"/>
          <w:b/>
          <w:bCs/>
          <w:color w:val="333333"/>
          <w:sz w:val="32"/>
          <w:szCs w:val="32"/>
          <w:shd w:val="clear" w:color="auto" w:fill="FFFFFF"/>
          <w:lang w:eastAsia="zh-CN"/>
        </w:rPr>
        <w:t>（四）政府采购方面</w:t>
      </w:r>
    </w:p>
    <w:p w14:paraId="40025BAA">
      <w:pPr>
        <w:shd w:val="clear" w:color="auto" w:fill="FFFFFF"/>
        <w:spacing w:line="560" w:lineRule="atLeast"/>
        <w:ind w:firstLine="643"/>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 xml:space="preserve"> 严格按照年初采购预算执行，要求每年年初结合本单位实际编制年度采购计划，采购达到竞价金额的，必须通过竞价方式采购，不得将限额以上的采购项目化整为零通过电子卖场采购，也不得利用拆分项目或将同类采购项目化整为零规避电子卖场竞价采购。</w:t>
      </w:r>
    </w:p>
    <w:p w14:paraId="02DA3E04">
      <w:pPr>
        <w:spacing w:line="600" w:lineRule="exact"/>
        <w:ind w:firstLine="640" w:firstLineChars="200"/>
        <w:jc w:val="both"/>
        <w:rPr>
          <w:rFonts w:ascii="仿宋_GB2312" w:eastAsia="仿宋_GB2312"/>
          <w:sz w:val="32"/>
          <w:szCs w:val="32"/>
          <w:lang w:eastAsia="zh-CN"/>
        </w:rPr>
      </w:pPr>
      <w:r>
        <w:rPr>
          <w:rFonts w:hint="eastAsia" w:ascii="仿宋_GB2312" w:eastAsia="仿宋_GB2312" w:cs="方正黑体_GBK"/>
          <w:sz w:val="32"/>
          <w:szCs w:val="32"/>
          <w:lang w:eastAsia="zh-CN"/>
        </w:rPr>
        <w:t>九、部门整体支出绩效自评结果拟应用和公开情况</w:t>
      </w:r>
    </w:p>
    <w:p w14:paraId="003E038A">
      <w:pPr>
        <w:shd w:val="clear" w:color="auto" w:fill="FFFFFF"/>
        <w:spacing w:line="560" w:lineRule="atLeast"/>
        <w:ind w:firstLine="643"/>
        <w:textAlignment w:val="center"/>
        <w:rPr>
          <w:rFonts w:ascii="仿宋_GB2312" w:hAnsi="宋体" w:eastAsia="仿宋_GB2312" w:cs="仿宋_GB2312"/>
          <w:color w:val="333333"/>
          <w:sz w:val="32"/>
          <w:szCs w:val="32"/>
          <w:shd w:val="clear" w:color="auto" w:fill="FFFFFF"/>
          <w:lang w:eastAsia="zh-CN"/>
        </w:rPr>
      </w:pPr>
      <w:r>
        <w:rPr>
          <w:rFonts w:hint="eastAsia" w:ascii="仿宋_GB2312" w:hAnsi="宋体" w:eastAsia="仿宋_GB2312" w:cs="仿宋_GB2312"/>
          <w:color w:val="333333"/>
          <w:sz w:val="32"/>
          <w:szCs w:val="32"/>
          <w:shd w:val="clear" w:color="auto" w:fill="FFFFFF"/>
          <w:lang w:eastAsia="zh-CN"/>
        </w:rPr>
        <w:t>此次绩效自评结果主要以《2024年度部门整体支出绩效自评表》、2024年度部门整体支出绩效自评报告的形式体现，自评表及自评报告内容完整、权重合理，数据真实、结果客观，我镇将绩效自评结果作为完善和改进管理的重要依据，同时加强评价结果的应用，对有效支出安排预算、低效支出压减预算、无效支出进行问责，切实提高部门预算绩效管理水平。自评结果将在县政府门户网站预决算公开专栏公示，主动接受社会监督。</w:t>
      </w:r>
    </w:p>
    <w:p w14:paraId="1C2F8829">
      <w:pPr>
        <w:spacing w:line="600" w:lineRule="exact"/>
        <w:ind w:firstLine="640" w:firstLineChars="200"/>
        <w:jc w:val="both"/>
        <w:rPr>
          <w:rFonts w:ascii="仿宋_GB2312" w:eastAsia="仿宋_GB2312"/>
          <w:sz w:val="32"/>
          <w:szCs w:val="32"/>
          <w:lang w:eastAsia="zh-CN"/>
        </w:rPr>
      </w:pPr>
      <w:r>
        <w:rPr>
          <w:rFonts w:hint="eastAsia" w:ascii="仿宋_GB2312" w:eastAsia="仿宋_GB2312" w:cs="黑体"/>
          <w:sz w:val="32"/>
          <w:szCs w:val="32"/>
          <w:lang w:eastAsia="zh-CN"/>
        </w:rPr>
        <w:t>十、其他需要说明的情况：无</w:t>
      </w:r>
    </w:p>
    <w:p w14:paraId="38967BE4">
      <w:pPr>
        <w:spacing w:line="600" w:lineRule="exact"/>
        <w:ind w:firstLine="640" w:firstLineChars="200"/>
        <w:jc w:val="both"/>
        <w:rPr>
          <w:rFonts w:ascii="仿宋_GB2312" w:eastAsia="仿宋_GB2312"/>
          <w:sz w:val="32"/>
          <w:szCs w:val="32"/>
          <w:lang w:eastAsia="zh-CN"/>
        </w:rPr>
      </w:pPr>
    </w:p>
    <w:p w14:paraId="5EE5598B">
      <w:pPr>
        <w:spacing w:line="600" w:lineRule="exact"/>
        <w:ind w:firstLine="643"/>
        <w:jc w:val="both"/>
        <w:rPr>
          <w:rFonts w:eastAsia="仿宋_GB2312"/>
          <w:sz w:val="32"/>
          <w:szCs w:val="32"/>
          <w:lang w:eastAsia="zh-CN"/>
        </w:rPr>
      </w:pPr>
      <w:bookmarkStart w:id="0" w:name="_GoBack"/>
      <w:bookmarkEnd w:id="0"/>
    </w:p>
    <w:p w14:paraId="05465BA1">
      <w:pPr>
        <w:kinsoku/>
        <w:autoSpaceDE/>
        <w:autoSpaceDN/>
        <w:adjustRightInd/>
        <w:snapToGrid/>
        <w:ind w:firstLine="643"/>
        <w:jc w:val="both"/>
        <w:textAlignment w:val="auto"/>
        <w:rPr>
          <w:lang w:eastAsia="zh-CN"/>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82016" w:usb3="00000000" w:csb0="00040001" w:csb1="00000000"/>
  </w:font>
  <w:font w:name="Arial Unicode MS">
    <w:altName w:val="Arial"/>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644D7">
    <w:pPr>
      <w:pStyle w:val="3"/>
      <w:ind w:firstLine="361"/>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2073F25">
                <w:pPr>
                  <w:pStyle w:val="3"/>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ThhM2RkM2M2YjQ0ZDI0NTlmMjU0YjJkODZiZDc2NzMifQ=="/>
  </w:docVars>
  <w:rsids>
    <w:rsidRoot w:val="58F827D2"/>
    <w:rsid w:val="00014A51"/>
    <w:rsid w:val="00065A16"/>
    <w:rsid w:val="00066234"/>
    <w:rsid w:val="000D562D"/>
    <w:rsid w:val="001613A2"/>
    <w:rsid w:val="001864ED"/>
    <w:rsid w:val="001E03AA"/>
    <w:rsid w:val="002B6ECD"/>
    <w:rsid w:val="002F1FF4"/>
    <w:rsid w:val="002F4DB2"/>
    <w:rsid w:val="00327FEA"/>
    <w:rsid w:val="00362E92"/>
    <w:rsid w:val="00363614"/>
    <w:rsid w:val="003C2973"/>
    <w:rsid w:val="003E7058"/>
    <w:rsid w:val="00460B8F"/>
    <w:rsid w:val="00465A39"/>
    <w:rsid w:val="004664C1"/>
    <w:rsid w:val="0046680A"/>
    <w:rsid w:val="0047272C"/>
    <w:rsid w:val="004938AD"/>
    <w:rsid w:val="00494E31"/>
    <w:rsid w:val="005215D3"/>
    <w:rsid w:val="00540C71"/>
    <w:rsid w:val="00542571"/>
    <w:rsid w:val="0057280D"/>
    <w:rsid w:val="005874FC"/>
    <w:rsid w:val="00602245"/>
    <w:rsid w:val="0063281C"/>
    <w:rsid w:val="00645798"/>
    <w:rsid w:val="0067154F"/>
    <w:rsid w:val="006B418C"/>
    <w:rsid w:val="006F63CC"/>
    <w:rsid w:val="0074234E"/>
    <w:rsid w:val="007446A0"/>
    <w:rsid w:val="00751B0F"/>
    <w:rsid w:val="0076022B"/>
    <w:rsid w:val="007961EE"/>
    <w:rsid w:val="007B7E5E"/>
    <w:rsid w:val="007C4FF7"/>
    <w:rsid w:val="008155F9"/>
    <w:rsid w:val="008815D0"/>
    <w:rsid w:val="00A01A21"/>
    <w:rsid w:val="00A5411F"/>
    <w:rsid w:val="00AB5EF9"/>
    <w:rsid w:val="00B1663A"/>
    <w:rsid w:val="00B226B0"/>
    <w:rsid w:val="00B70ECC"/>
    <w:rsid w:val="00B9414C"/>
    <w:rsid w:val="00BC12DA"/>
    <w:rsid w:val="00CB15CB"/>
    <w:rsid w:val="00CE0C1F"/>
    <w:rsid w:val="00D262E6"/>
    <w:rsid w:val="00D41CCA"/>
    <w:rsid w:val="00E81A90"/>
    <w:rsid w:val="00EA7AF7"/>
    <w:rsid w:val="00EF41BC"/>
    <w:rsid w:val="00F16589"/>
    <w:rsid w:val="00F907CC"/>
    <w:rsid w:val="00FE2E00"/>
    <w:rsid w:val="00FF72B4"/>
    <w:rsid w:val="016025FC"/>
    <w:rsid w:val="01E054EB"/>
    <w:rsid w:val="037A7FB6"/>
    <w:rsid w:val="039708F0"/>
    <w:rsid w:val="0689070B"/>
    <w:rsid w:val="087B5F6E"/>
    <w:rsid w:val="0C2030B4"/>
    <w:rsid w:val="0E5E7EC3"/>
    <w:rsid w:val="102E38C6"/>
    <w:rsid w:val="10F36962"/>
    <w:rsid w:val="13D45A91"/>
    <w:rsid w:val="14F00B99"/>
    <w:rsid w:val="16236884"/>
    <w:rsid w:val="17B11A0C"/>
    <w:rsid w:val="17DF472D"/>
    <w:rsid w:val="187622AE"/>
    <w:rsid w:val="18D4409A"/>
    <w:rsid w:val="19F811CC"/>
    <w:rsid w:val="1D3F7112"/>
    <w:rsid w:val="1D97229B"/>
    <w:rsid w:val="257007B0"/>
    <w:rsid w:val="28717098"/>
    <w:rsid w:val="2C3F0EDD"/>
    <w:rsid w:val="2E376A70"/>
    <w:rsid w:val="30F7631A"/>
    <w:rsid w:val="34A423DB"/>
    <w:rsid w:val="37A25268"/>
    <w:rsid w:val="38F20100"/>
    <w:rsid w:val="39A71643"/>
    <w:rsid w:val="3CD96218"/>
    <w:rsid w:val="3CD97AFF"/>
    <w:rsid w:val="405E5684"/>
    <w:rsid w:val="40D169B8"/>
    <w:rsid w:val="41A20999"/>
    <w:rsid w:val="43993299"/>
    <w:rsid w:val="458D44E1"/>
    <w:rsid w:val="459F301E"/>
    <w:rsid w:val="45B82711"/>
    <w:rsid w:val="45D24718"/>
    <w:rsid w:val="46ED1809"/>
    <w:rsid w:val="47A86305"/>
    <w:rsid w:val="490E76E3"/>
    <w:rsid w:val="4BDF46DB"/>
    <w:rsid w:val="4C944268"/>
    <w:rsid w:val="4EAA6232"/>
    <w:rsid w:val="5043249A"/>
    <w:rsid w:val="54E81862"/>
    <w:rsid w:val="5746213C"/>
    <w:rsid w:val="58AF03AE"/>
    <w:rsid w:val="58F827D2"/>
    <w:rsid w:val="5E565696"/>
    <w:rsid w:val="61023CAB"/>
    <w:rsid w:val="635A799A"/>
    <w:rsid w:val="658A795C"/>
    <w:rsid w:val="658B0713"/>
    <w:rsid w:val="687D1368"/>
    <w:rsid w:val="68C424BD"/>
    <w:rsid w:val="694D575B"/>
    <w:rsid w:val="6B4E2499"/>
    <w:rsid w:val="6D631076"/>
    <w:rsid w:val="72823FD3"/>
    <w:rsid w:val="73EE0653"/>
    <w:rsid w:val="76295E58"/>
    <w:rsid w:val="768A40CF"/>
    <w:rsid w:val="78A059E2"/>
    <w:rsid w:val="79C008CD"/>
    <w:rsid w:val="7A1545F8"/>
    <w:rsid w:val="7AB7069C"/>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宋体" w:cs="Arial"/>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autoRedefine/>
    <w:semiHidden/>
    <w:qFormat/>
    <w:uiPriority w:val="99"/>
    <w:pPr>
      <w:spacing w:before="20" w:line="222" w:lineRule="auto"/>
    </w:pPr>
    <w:rPr>
      <w:rFonts w:ascii="仿宋" w:hAnsi="仿宋" w:eastAsia="仿宋" w:cs="仿宋"/>
      <w:sz w:val="35"/>
      <w:szCs w:val="35"/>
    </w:rPr>
  </w:style>
  <w:style w:type="paragraph" w:styleId="3">
    <w:name w:val="footer"/>
    <w:basedOn w:val="1"/>
    <w:link w:val="8"/>
    <w:autoRedefine/>
    <w:qFormat/>
    <w:uiPriority w:val="99"/>
    <w:pPr>
      <w:tabs>
        <w:tab w:val="center" w:pos="4153"/>
        <w:tab w:val="right" w:pos="8306"/>
      </w:tabs>
      <w:spacing w:line="560" w:lineRule="exact"/>
    </w:pPr>
    <w:rPr>
      <w:sz w:val="18"/>
      <w:szCs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character" w:customStyle="1" w:styleId="7">
    <w:name w:val="正文文本 Char"/>
    <w:basedOn w:val="6"/>
    <w:link w:val="2"/>
    <w:semiHidden/>
    <w:qFormat/>
    <w:uiPriority w:val="99"/>
    <w:rPr>
      <w:rFonts w:ascii="Arial" w:hAnsi="Arial" w:cs="Arial"/>
      <w:color w:val="000000"/>
      <w:kern w:val="0"/>
      <w:szCs w:val="21"/>
      <w:lang w:eastAsia="en-US"/>
    </w:rPr>
  </w:style>
  <w:style w:type="character" w:customStyle="1" w:styleId="8">
    <w:name w:val="页脚 Char"/>
    <w:basedOn w:val="6"/>
    <w:link w:val="3"/>
    <w:semiHidden/>
    <w:qFormat/>
    <w:uiPriority w:val="99"/>
    <w:rPr>
      <w:rFonts w:ascii="Arial" w:hAnsi="Arial" w:cs="Arial"/>
      <w:color w:val="000000"/>
      <w:kern w:val="0"/>
      <w:sz w:val="18"/>
      <w:szCs w:val="18"/>
      <w:lang w:eastAsia="en-US"/>
    </w:rPr>
  </w:style>
  <w:style w:type="paragraph" w:styleId="9">
    <w:name w:val="List Paragraph"/>
    <w:basedOn w:val="1"/>
    <w:autoRedefine/>
    <w:qFormat/>
    <w:uiPriority w:val="99"/>
    <w:pPr>
      <w:ind w:firstLine="420" w:firstLineChars="200"/>
    </w:pPr>
  </w:style>
  <w:style w:type="table" w:customStyle="1" w:styleId="10">
    <w:name w:val="Table Normal1"/>
    <w:semiHidden/>
    <w:qFormat/>
    <w:uiPriority w:val="99"/>
    <w:rPr>
      <w:rFonts w:cs="Calibri"/>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62</Words>
  <Characters>70</Characters>
  <Lines>21</Lines>
  <Paragraphs>5</Paragraphs>
  <TotalTime>287</TotalTime>
  <ScaleCrop>false</ScaleCrop>
  <LinksUpToDate>false</LinksUpToDate>
  <CharactersWithSpaces>73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2024-04-16T07:36:00Z</dcterms:created>
  <dc:creator>Administrator</dc:creator>
  <cp:lastModifiedBy>NTKO</cp:lastModifiedBy>
  <cp:lastPrinted>2024-06-17T02:58:00Z</cp:lastPrinted>
  <dcterms:modified xsi:type="dcterms:W3CDTF">2025-10-11T01:00:03Z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BA6FD4B04D3543F7BAEB14D9629F26AC_11</vt:lpwstr>
  </property>
  <property fmtid="{D5CDD505-2E9C-101B-9397-08002B2CF9AE}" pid="4" name="KSOTemplateDocerSaveRecord">
    <vt:lpwstr>eyJoZGlkIjoiODNlZWYwMTM5ZDJkYzU4Zjg1YzM0NzM5ZTg5MTIyZjUifQ==</vt:lpwstr>
  </property>
</Properties>
</file>